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b/>
          <w:bCs/>
          <w:color w:val="1F6F4D"/>
          <w:sz w:val="64"/>
          <w:szCs w:val="64"/>
        </w:rPr>
        <w:t xml:space="preserve">GuichetIA</w:t>
      </w:r>
    </w:p>
    <w:p>
      <w:pPr>
        <w:spacing w:after="400"/>
        <w:jc w:val="center"/>
      </w:pPr>
      <w:r>
        <w:rPr>
          <w:i/>
          <w:iCs/>
          <w:color w:val="404040"/>
          <w:sz w:val="28"/>
          <w:szCs w:val="28"/>
        </w:rPr>
        <w:t xml:space="preserve">Assistant administratif intelligent pour le Burkina Faso</w:t>
      </w:r>
    </w:p>
    <w:p>
      <w:pPr>
        <w:spacing w:after="100" w:before="200"/>
        <w:jc w:val="center"/>
      </w:pPr>
      <w:r>
        <w:rPr>
          <w:b/>
          <w:bCs/>
          <w:sz w:val="32"/>
          <w:szCs w:val="32"/>
        </w:rPr>
        <w:t xml:space="preserve">Cahier des charges</w:t>
      </w:r>
    </w:p>
    <w:p>
      <w:pPr>
        <w:spacing w:after="600"/>
        <w:jc w:val="center"/>
      </w:pPr>
      <w:r>
        <w:rPr>
          <w:sz w:val="22"/>
          <w:szCs w:val="22"/>
        </w:rPr>
        <w:t xml:space="preserve">Projet Data Science 2026 — Option 7 : Assistant Juridique et Administratif (Citoyenneté)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Classe</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Master 1 IFOAD</w:t>
            </w:r>
          </w:p>
        </w:tc>
      </w:tr>
      <w:tr>
        <w:tc>
          <w:tcPr>
            <w:tcW w:type="dxa" w:w="3000"/>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Enseignant</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Dr Delwende D. Arthur Sawadogo</w:t>
            </w:r>
          </w:p>
        </w:tc>
      </w:tr>
      <w:tr>
        <w:tc>
          <w:tcPr>
            <w:tcW w:type="dxa" w:w="3000"/>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Membres du groupe</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OUEDRAOGO Zeïd El Gazeli, DICKO Mamoudou, OUEDRAOGO Abdoul Kader W. Ghislan</w:t>
            </w:r>
          </w:p>
        </w:tc>
      </w:tr>
      <w:tr>
        <w:tc>
          <w:tcPr>
            <w:tcW w:type="dxa" w:w="3000"/>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Date de lancement</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26/06/2026</w:t>
            </w:r>
          </w:p>
        </w:tc>
      </w:tr>
      <w:tr>
        <w:tc>
          <w:tcPr>
            <w:tcW w:type="dxa" w:w="3000"/>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Soutenance</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Lundi 13 juillet 2026</w:t>
            </w:r>
          </w:p>
        </w:tc>
      </w:tr>
      <w:tr>
        <w:tc>
          <w:tcPr>
            <w:tcW w:type="dxa" w:w="3000"/>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Dépôt GitHub</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Obligatoire (code source, requirements.txt, README)</w:t>
            </w:r>
          </w:p>
        </w:tc>
      </w:tr>
    </w:tbl>
    <w:p>
      <w:r>
        <w:br w:type="page"/>
      </w:r>
    </w:p>
    <w:p>
      <w:pPr>
        <w:pStyle w:val="Heading1"/>
      </w:pPr>
      <w:r>
        <w:t xml:space="preserve">1. Contexte et objectifs</w:t>
      </w:r>
    </w:p>
    <w:p>
      <w:pPr>
        <w:spacing w:after="160"/>
      </w:pPr>
      <w:r>
        <w:t xml:space="preserve">Le projet GuichetIA répond à l'option 7 du sujet « Projet Data Science 2026 » : un Assistant Juridique et Administratif capable d'expliquer les démarches administratives courantes au Burkina Faso (obtention de la CNIB, du passeport, et création d'entreprise) à partir de textes officiels, en s'appuyant sur une architecture RAG (Retrieval-Augmented Generation).</w:t>
      </w:r>
    </w:p>
    <w:p>
      <w:pPr>
        <w:spacing w:after="160"/>
      </w:pPr>
      <w:r>
        <w:t xml:space="preserve">L'objectif n'est pas de produire un simple chatbot conversationnel, mais un agent capable de rechercher l'information pertinente dans une base de connaissances locale et vérifiée, puis de formuler une réponse précise, sourcée, et honnête sur ses limites (l'agent doit savoir dire « je ne sais pas » plutôt que d'inventer une réponse).</w:t>
      </w:r>
    </w:p>
    <w:p>
      <w:pPr>
        <w:pStyle w:val="Heading2"/>
      </w:pPr>
      <w:r>
        <w:t xml:space="preserve">1.1 Pourquoi ce périmètre</w:t>
      </w:r>
    </w:p>
    <w:p>
      <w:pPr>
        <w:spacing w:after="160"/>
      </w:pPr>
      <w:r>
        <w:t xml:space="preserve">Les démarches CNIB, passeport et création d'entreprise ont été retenues car elles concentrent la majorité des questions administratives courantes des citoyens burkinabè, et parce que des sources officielles fiables existent pour chacune (police.gov.bf, service-public.gov.bf), ce qui permet de construire une base de connaissances vérifiable plutôt que de s'appuyer sur des informations non sourcées.</w:t>
      </w:r>
    </w:p>
    <w:p>
      <w:pPr>
        <w:pStyle w:val="Heading2"/>
      </w:pPr>
      <w:r>
        <w:t xml:space="preserve">1.2 Équipe et organisation</w:t>
      </w:r>
    </w:p>
    <w:p>
      <w:pPr>
        <w:spacing w:after="160"/>
      </w:pPr>
      <w:r>
        <w:t xml:space="preserve">Le projet est mené par un groupe de 3 personnes (OUEDRAOGO Zeïd El Gazeli, DICKO Mamoudou, OUEDRAOGO Abdoul Kader W. Ghislan). La répartition adoptée suit une logique de bout en bout par démarche plutôt qu'un découpage strict par couche technique : chaque démarche (CNIB, passeport, création d'entreprise) est traitée intégralement (collecte, indexation, test) avant de passer à la suivante, ce qui garantit à tout moment une version fonctionnelle du système, même incomplète.</w:t>
      </w:r>
    </w:p>
    <w:p>
      <w:pPr>
        <w:pStyle w:val="Heading2"/>
      </w:pPr>
      <w:r>
        <w:t xml:space="preserve">1.3 Pourquoi le nom “GuichetIA”</w:t>
      </w:r>
    </w:p>
    <w:p>
      <w:pPr>
        <w:spacing w:after="160"/>
      </w:pPr>
      <w:r>
        <w:t xml:space="preserve">Le nom retenu associe “guichet”, terme couramment utilisé au Burkina Faso pour désigner un point de service administratif (guichet de police, guichet unique du CEFORE, etc.), et “IA” pour Intelligence Artificielle. Il traduit directement l’objectif du projet : remplacer le passage physique par un guichet par un assistant accessible à distance, tout en restant immédiatement compréhensible pour un citoyen burkinabè, sans jargon technique.</w:t>
      </w:r>
    </w:p>
    <w:p>
      <w:pPr>
        <w:pStyle w:val="Heading1"/>
      </w:pPr>
      <w:r>
        <w:t xml:space="preserve">2. Périmètre fonctionnel</w:t>
      </w:r>
    </w:p>
    <w:p>
      <w:pPr>
        <w:spacing w:after="160"/>
      </w:pPr>
      <w:r>
        <w:t xml:space="preserve">Le système répond aux questions des utilisateurs sur exactement trois démarches administratives. Toute question hors de ce périmètre doit être explicitement signalée comme telle, sans tentative de réponse approximative.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Démarche</w:t>
            </w:r>
          </w:p>
        </w:tc>
        <w:tc>
          <w:tcPr>
            <w:tcW w:type="dxa" w:w="2400"/>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Informations couvertes</w:t>
            </w:r>
          </w:p>
        </w:tc>
        <w:tc>
          <w:tcPr>
            <w:tcW w:type="dxa" w:w="4226"/>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Source officielle</w:t>
            </w:r>
          </w:p>
        </w:tc>
      </w:tr>
      <w:tr>
        <w:tc>
          <w:tcPr>
            <w:tcW w:type="dxa" w:w="24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CNIB</w:t>
            </w:r>
          </w:p>
        </w:tc>
        <w:tc>
          <w:tcPr>
            <w:tcW w:type="dxa" w:w="24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Pièces à fournir, coût (2 500 F CFA), délai (7 à 30 jours), lieu de dépôt, perte/duplicata</w:t>
            </w:r>
          </w:p>
        </w:tc>
        <w:tc>
          <w:tcPr>
            <w:tcW w:type="dxa" w:w="42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police.gov.bf, service-public.gov.bf</w:t>
            </w:r>
          </w:p>
        </w:tc>
      </w:tr>
      <w:tr>
        <w:tc>
          <w:tcPr>
            <w:tcW w:type="dxa" w:w="24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Passeport ordinaire</w:t>
            </w:r>
          </w:p>
        </w:tc>
        <w:tc>
          <w:tcPr>
            <w:tcW w:type="dxa" w:w="24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Pièces (majeurs/mineurs/militaires), coût (50 000 F + 200 F timbre), délai (72h)</w:t>
            </w:r>
          </w:p>
        </w:tc>
        <w:tc>
          <w:tcPr>
            <w:tcW w:type="dxa" w:w="42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police.gov.bf, service-public.gov.bf</w:t>
            </w:r>
          </w:p>
        </w:tc>
      </w:tr>
      <w:tr>
        <w:tc>
          <w:tcPr>
            <w:tcW w:type="dxa" w:w="24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Création d'entreprise</w:t>
            </w:r>
          </w:p>
        </w:tc>
        <w:tc>
          <w:tcPr>
            <w:tcW w:type="dxa" w:w="24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Personne physique vs morale, formalités RCCM/IFU/CPC/CNSS, coûts, délai (~3 mois), CEFORE/MEBF</w:t>
            </w:r>
          </w:p>
        </w:tc>
        <w:tc>
          <w:tcPr>
            <w:tcW w:type="dxa" w:w="42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service-public.gov.bf</w:t>
            </w:r>
          </w:p>
        </w:tc>
      </w:tr>
    </w:tbl>
    <w:p>
      <w:pPr>
        <w:spacing w:after="160"/>
      </w:pPr>
      <w:r>
        <w:t xml:space="preserve"/>
      </w:r>
    </w:p>
    <w:p>
      <w:pPr>
        <w:pStyle w:val="Heading2"/>
      </w:pPr>
      <w:r>
        <w:t xml:space="preserve">2.1 Cas d'usage type</w:t>
      </w:r>
    </w:p>
    <w:p>
      <w:pPr>
        <w:pStyle w:val="ListParagraph"/>
        <w:numPr>
          <w:ilvl w:val="0"/>
          <w:numId w:val="2"/>
        </w:numPr>
        <w:spacing w:after="80"/>
      </w:pPr>
      <w:r>
        <w:rPr>
          <w:sz w:val="22"/>
          <w:szCs w:val="22"/>
        </w:rPr>
        <w:t xml:space="preserve">Un citoyen veut savoir quelles pièces apporter pour sa première CNIB.</w:t>
      </w:r>
    </w:p>
    <w:p>
      <w:pPr>
        <w:pStyle w:val="ListParagraph"/>
        <w:numPr>
          <w:ilvl w:val="0"/>
          <w:numId w:val="2"/>
        </w:numPr>
        <w:spacing w:after="80"/>
      </w:pPr>
      <w:r>
        <w:rPr>
          <w:sz w:val="22"/>
          <w:szCs w:val="22"/>
        </w:rPr>
        <w:t xml:space="preserve">Un citoyen veut connaître le coût et le délai d'un passeport ordinaire.</w:t>
      </w:r>
    </w:p>
    <w:p>
      <w:pPr>
        <w:pStyle w:val="ListParagraph"/>
        <w:numPr>
          <w:ilvl w:val="0"/>
          <w:numId w:val="2"/>
        </w:numPr>
        <w:spacing w:after="80"/>
      </w:pPr>
      <w:r>
        <w:rPr>
          <w:sz w:val="22"/>
          <w:szCs w:val="22"/>
        </w:rPr>
        <w:t xml:space="preserve">Un futur entrepreneur veut comprendre les formalités CEFORE pour créer son entreprise.</w:t>
      </w:r>
    </w:p>
    <w:p>
      <w:pPr>
        <w:pStyle w:val="ListParagraph"/>
        <w:numPr>
          <w:ilvl w:val="0"/>
          <w:numId w:val="2"/>
        </w:numPr>
        <w:spacing w:after="80"/>
      </w:pPr>
      <w:r>
        <w:rPr>
          <w:sz w:val="22"/>
          <w:szCs w:val="22"/>
        </w:rPr>
        <w:t xml:space="preserve">Un utilisateur pose une question hors périmètre (ex : permis de conduire) : l'agent doit répondre qu'il ne dispose pas de cette information plutôt que d'inventer une réponse.</w:t>
      </w:r>
    </w:p>
    <w:p>
      <w:pPr>
        <w:pStyle w:val="Heading1"/>
      </w:pPr>
      <w:r>
        <w:t xml:space="preserve">3. Architecture technique</w:t>
      </w:r>
    </w:p>
    <w:p>
      <w:pPr>
        <w:spacing w:after="160"/>
      </w:pPr>
      <w:r>
        <w:t xml:space="preserve">L'architecture retenue correspond à l'option avancée du sujet (API FastAPI + frontend séparé), choisie pour se rapprocher d'une application de production réelle et pour permettre un déploiement découplé backend /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Étape</w:t>
            </w:r>
          </w:p>
        </w:tc>
        <w:tc>
          <w:tcPr>
            <w:tcW w:type="dxa" w:w="6026"/>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Outil retenu</w:t>
            </w:r>
          </w:p>
        </w:tc>
      </w:tr>
      <w:tr>
        <w:tc>
          <w:tcPr>
            <w:tcW w:type="dxa" w:w="30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Collecte</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PyMuPDF (extraction de texte depuis les PDFs sources)</w:t>
            </w:r>
          </w:p>
        </w:tc>
      </w:tr>
      <w:tr>
        <w:tc>
          <w:tcPr>
            <w:tcW w:type="dxa" w:w="30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Chunking</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LangChain RecursiveCharacterTextSplitter (500 caractères, 50 de recouvrement)</w:t>
            </w:r>
          </w:p>
        </w:tc>
      </w:tr>
      <w:tr>
        <w:tc>
          <w:tcPr>
            <w:tcW w:type="dxa" w:w="30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Embeddings</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sentence-transformers / paraphrase-multilingual-MiniLM-L12-v2 (HuggingFace, gratuit, multilingue)</w:t>
            </w:r>
          </w:p>
        </w:tc>
      </w:tr>
      <w:tr>
        <w:tc>
          <w:tcPr>
            <w:tcW w:type="dxa" w:w="30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Base vectorielle</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ChromaDB (légère, locale, persistante)</w:t>
            </w:r>
          </w:p>
        </w:tc>
      </w:tr>
      <w:tr>
        <w:tc>
          <w:tcPr>
            <w:tcW w:type="dxa" w:w="30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LLM</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Groq API, modèle llama-3.1-8b-instant (gratuit, très rapide)</w:t>
            </w:r>
          </w:p>
        </w:tc>
      </w:tr>
      <w:tr>
        <w:tc>
          <w:tcPr>
            <w:tcW w:type="dxa" w:w="30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Orchestration</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LangChain</w:t>
            </w:r>
          </w:p>
        </w:tc>
      </w:tr>
      <w:tr>
        <w:tc>
          <w:tcPr>
            <w:tcW w:type="dxa" w:w="30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Backend</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FastAPI + Python (endpoints /health et /ask)</w:t>
            </w:r>
          </w:p>
        </w:tc>
      </w:tr>
      <w:tr>
        <w:tc>
          <w:tcPr>
            <w:tcW w:type="dxa" w:w="30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Frontend</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React + Tailwind CSS (interface de chat)</w:t>
            </w:r>
          </w:p>
        </w:tc>
      </w:tr>
      <w:tr>
        <w:tc>
          <w:tcPr>
            <w:tcW w:type="dxa" w:w="30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Déploiement</w:t>
            </w:r>
          </w:p>
        </w:tc>
        <w:tc>
          <w:tcPr>
            <w:tcW w:type="dxa" w:w="60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Render (backend) + Vercel (frontend)</w:t>
            </w:r>
          </w:p>
        </w:tc>
      </w:tr>
    </w:tbl>
    <w:p>
      <w:pPr>
        <w:spacing w:after="160"/>
      </w:pPr>
      <w:r>
        <w:t xml:space="preserve"/>
      </w:r>
    </w:p>
    <w:p>
      <w:pPr>
        <w:pStyle w:val="Heading2"/>
      </w:pPr>
      <w:r>
        <w:t xml:space="preserve">3.1 Flux de données</w:t>
      </w:r>
    </w:p>
    <w:p>
      <w:pPr>
        <w:spacing w:after="160"/>
      </w:pPr>
      <w:r>
        <w:t xml:space="preserve">Question utilisateur (frontend React) → requête HTTP POST /ask (FastAPI) → recherche vectorielle dans ChromaDB (top-4 segments les plus proches) → construction du contexte → appel du LLM Groq avec consigne stricte de ne répondre qu'à partir du contexte fourni → réponse + sources renvoyées au frontend.</w:t>
      </w:r>
    </w:p>
    <w:p>
      <w:pPr>
        <w:pStyle w:val="Heading2"/>
      </w:pPr>
      <w:r>
        <w:t xml:space="preserve">3.2 Justification du choix par rapport au scraping HTML initial</w:t>
      </w:r>
    </w:p>
    <w:p>
      <w:pPr>
        <w:spacing w:after="160"/>
      </w:pPr>
      <w:r>
        <w:t xml:space="preserve">Une première version du pipeline collectait les données par scraping HTML direct des fiches service-public.gov.bf. Ce choix a été abandonné après la refonte du portail (v2.0, mai 2026), qui a rendu certaines fiches incomplètes ou instables à parser. Le pipeline a été remplacé par une collecte à partir de PDFs sources versionnés dans le dépôt (backend/data/pdfs/), plus stable et reproductible, le contenu officiel ayant été vérifié manuellement et compilé avec citation systématique de la source.</w:t>
      </w:r>
    </w:p>
    <w:p>
      <w:pPr>
        <w:pStyle w:val="Heading1"/>
      </w:pPr>
      <w:r>
        <w:t xml:space="preserve">4. Sources de données</w:t>
      </w:r>
    </w:p>
    <w:p>
      <w:pPr>
        <w:spacing w:after="160"/>
      </w:pPr>
      <w:r>
        <w:t xml:space="preserve">Aucun PDF officiel unique et téléchargeable ne couvre intégralement chacune des trois démarches. Le contenu a donc été vérifié manuellement sur les portails officiels ci-dessous, puis compilé en 3 PDFs sources (un par démarche), chacun citant explicitement sa source en pied de page. C'est ce contenu, et uniquement celui-ci, qui est indexé par le pipeline RAG.</w:t>
      </w:r>
    </w:p>
    <w:p>
      <w:pPr>
        <w:spacing w:after="80"/>
      </w:pPr>
      <w:hyperlink w:history="1" r:id="rIde9vinflmqlzadowkezoma">
        <w:r>
          <w:rPr>
            <w:rStyle w:val="Hyperlink"/>
            <w:sz w:val="20"/>
            <w:szCs w:val="20"/>
          </w:rPr>
          <w:t xml:space="preserve">police.gov.bf/index.php/infos-utiles/cnib</w:t>
        </w:r>
      </w:hyperlink>
    </w:p>
    <w:p>
      <w:pPr>
        <w:spacing w:after="80"/>
      </w:pPr>
      <w:hyperlink w:history="1" r:id="rIds-i1rvgivxuzs9g1j1djx">
        <w:r>
          <w:rPr>
            <w:rStyle w:val="Hyperlink"/>
            <w:sz w:val="20"/>
            <w:szCs w:val="20"/>
          </w:rPr>
          <w:t xml:space="preserve">service-public.gov.bf — demande de CNIB</w:t>
        </w:r>
      </w:hyperlink>
    </w:p>
    <w:p>
      <w:pPr>
        <w:spacing w:after="80"/>
      </w:pPr>
      <w:hyperlink w:history="1" r:id="rIddzrhvp_pegxl66cmxrir3">
        <w:r>
          <w:rPr>
            <w:rStyle w:val="Hyperlink"/>
            <w:sz w:val="20"/>
            <w:szCs w:val="20"/>
          </w:rPr>
          <w:t xml:space="preserve">police.gov.bf/index.php/infos-utiles/passeport</w:t>
        </w:r>
      </w:hyperlink>
    </w:p>
    <w:p>
      <w:pPr>
        <w:spacing w:after="80"/>
      </w:pPr>
      <w:hyperlink w:history="1" r:id="rIdukrrgmfrtp9my500e1llx">
        <w:r>
          <w:rPr>
            <w:rStyle w:val="Hyperlink"/>
            <w:sz w:val="20"/>
            <w:szCs w:val="20"/>
          </w:rPr>
          <w:t xml:space="preserve">service-public.gov.bf — création d'entreprise (personne physique)</w:t>
        </w:r>
      </w:hyperlink>
    </w:p>
    <w:p>
      <w:pPr>
        <w:spacing w:after="80"/>
      </w:pPr>
      <w:hyperlink w:history="1" r:id="rIdwe1wwaxid6c9zghjktim-">
        <w:r>
          <w:rPr>
            <w:rStyle w:val="Hyperlink"/>
            <w:sz w:val="20"/>
            <w:szCs w:val="20"/>
          </w:rPr>
          <w:t xml:space="preserve">service-public.gov.bf — création d'entreprise (personne morale)</w:t>
        </w:r>
      </w:hyperlink>
    </w:p>
    <w:p>
      <w:pPr>
        <w:pStyle w:val="Heading1"/>
      </w:pPr>
      <w:r>
        <w:t xml:space="preserve">5. Exigences fonctionnelles</w:t>
      </w:r>
    </w:p>
    <w:p>
      <w:pPr>
        <w:pStyle w:val="ListParagraph"/>
        <w:numPr>
          <w:ilvl w:val="0"/>
          <w:numId w:val="3"/>
        </w:numPr>
        <w:spacing w:after="80"/>
      </w:pPr>
      <w:r>
        <w:rPr>
          <w:sz w:val="22"/>
          <w:szCs w:val="22"/>
        </w:rPr>
        <w:t xml:space="preserve">L'utilisateur peut poser une question en français en langage naturel.</w:t>
      </w:r>
    </w:p>
    <w:p>
      <w:pPr>
        <w:pStyle w:val="ListParagraph"/>
        <w:numPr>
          <w:ilvl w:val="0"/>
          <w:numId w:val="3"/>
        </w:numPr>
        <w:spacing w:after="80"/>
      </w:pPr>
      <w:r>
        <w:rPr>
          <w:sz w:val="22"/>
          <w:szCs w:val="22"/>
        </w:rPr>
        <w:t xml:space="preserve">Le système recherche les segments de texte les plus pertinents dans la base vectorielle (top-4).</w:t>
      </w:r>
    </w:p>
    <w:p>
      <w:pPr>
        <w:pStyle w:val="ListParagraph"/>
        <w:numPr>
          <w:ilvl w:val="0"/>
          <w:numId w:val="3"/>
        </w:numPr>
        <w:spacing w:after="80"/>
      </w:pPr>
      <w:r>
        <w:rPr>
          <w:sz w:val="22"/>
          <w:szCs w:val="22"/>
        </w:rPr>
        <w:t xml:space="preserve">Le système génère une réponse appuyée uniquement sur le contexte récupéré, sans invention.</w:t>
      </w:r>
    </w:p>
    <w:p>
      <w:pPr>
        <w:pStyle w:val="ListParagraph"/>
        <w:numPr>
          <w:ilvl w:val="0"/>
          <w:numId w:val="3"/>
        </w:numPr>
        <w:spacing w:after="80"/>
      </w:pPr>
      <w:r>
        <w:rPr>
          <w:sz w:val="22"/>
          <w:szCs w:val="22"/>
        </w:rPr>
        <w:t xml:space="preserve">Le système indique la ou les démarches sources utilisées pour générer la réponse.</w:t>
      </w:r>
    </w:p>
    <w:p>
      <w:pPr>
        <w:pStyle w:val="ListParagraph"/>
        <w:numPr>
          <w:ilvl w:val="0"/>
          <w:numId w:val="3"/>
        </w:numPr>
        <w:spacing w:after="80"/>
      </w:pPr>
      <w:r>
        <w:rPr>
          <w:sz w:val="22"/>
          <w:szCs w:val="22"/>
        </w:rPr>
        <w:t xml:space="preserve">Le système répond explicitement « je ne dispose pas de cette information » pour toute question hors périmètre ou non couverte par les documents.</w:t>
      </w:r>
    </w:p>
    <w:p>
      <w:pPr>
        <w:pStyle w:val="ListParagraph"/>
        <w:numPr>
          <w:ilvl w:val="0"/>
          <w:numId w:val="3"/>
        </w:numPr>
        <w:spacing w:after="80"/>
      </w:pPr>
      <w:r>
        <w:rPr>
          <w:sz w:val="22"/>
          <w:szCs w:val="22"/>
        </w:rPr>
        <w:t xml:space="preserve">L'API expose un endpoint de santé (/health) indiquant si l'index vectoriel et la clé LLM sont disponibles.</w:t>
      </w:r>
    </w:p>
    <w:p>
      <w:pPr>
        <w:pStyle w:val="Heading1"/>
      </w:pPr>
      <w:r>
        <w:t xml:space="preserve">6. Exigences non fonctionnelles</w:t>
      </w:r>
    </w:p>
    <w:p>
      <w:pPr>
        <w:pStyle w:val="ListParagraph"/>
        <w:numPr>
          <w:ilvl w:val="0"/>
          <w:numId w:val="2"/>
        </w:numPr>
        <w:spacing w:after="80"/>
      </w:pPr>
      <w:r>
        <w:rPr>
          <w:sz w:val="22"/>
          <w:szCs w:val="22"/>
        </w:rPr>
        <w:t xml:space="preserve">Coût : uniquement des outils et API gratuits (HuggingFace, ChromaDB local, Groq free tier).</w:t>
      </w:r>
    </w:p>
    <w:p>
      <w:pPr>
        <w:pStyle w:val="ListParagraph"/>
        <w:numPr>
          <w:ilvl w:val="0"/>
          <w:numId w:val="2"/>
        </w:numPr>
        <w:spacing w:after="80"/>
      </w:pPr>
      <w:r>
        <w:rPr>
          <w:sz w:val="22"/>
          <w:szCs w:val="22"/>
        </w:rPr>
        <w:t xml:space="preserve">Reproductibilité : pipeline d'ingestion entièrement scripté (extract_pdf.py, build_index.py), rejouable à l'identique.</w:t>
      </w:r>
    </w:p>
    <w:p>
      <w:pPr>
        <w:pStyle w:val="ListParagraph"/>
        <w:numPr>
          <w:ilvl w:val="0"/>
          <w:numId w:val="2"/>
        </w:numPr>
        <w:spacing w:after="80"/>
      </w:pPr>
      <w:r>
        <w:rPr>
          <w:sz w:val="22"/>
          <w:szCs w:val="22"/>
        </w:rPr>
        <w:t xml:space="preserve">Séparation des responsabilités : backend (API + logique RAG) et frontend (interface) déployés et versionnés indépendamment.</w:t>
      </w:r>
    </w:p>
    <w:p>
      <w:pPr>
        <w:pStyle w:val="ListParagraph"/>
        <w:numPr>
          <w:ilvl w:val="0"/>
          <w:numId w:val="2"/>
        </w:numPr>
        <w:spacing w:after="80"/>
      </w:pPr>
      <w:r>
        <w:rPr>
          <w:sz w:val="22"/>
          <w:szCs w:val="22"/>
        </w:rPr>
        <w:t xml:space="preserve">Traçabilité : chaque réponse cite la démarche source ; chaque PDF source cite son URL d'origine.</w:t>
      </w:r>
    </w:p>
    <w:p>
      <w:pPr>
        <w:pStyle w:val="ListParagraph"/>
        <w:numPr>
          <w:ilvl w:val="0"/>
          <w:numId w:val="2"/>
        </w:numPr>
        <w:spacing w:after="80"/>
      </w:pPr>
      <w:r>
        <w:rPr>
          <w:sz w:val="22"/>
          <w:szCs w:val="22"/>
        </w:rPr>
        <w:t xml:space="preserve">Sécurité minimale : clé API Groq jamais committée (fichier .env exclu du dépôt via .gitignore).</w:t>
      </w:r>
    </w:p>
    <w:p>
      <w:pPr>
        <w:pStyle w:val="Heading1"/>
      </w:pPr>
      <w:r>
        <w:t xml:space="preserve">7. Méthodologie d'évaluation</w:t>
      </w:r>
    </w:p>
    <w:p>
      <w:pPr>
        <w:spacing w:after="160"/>
      </w:pPr>
      <w:r>
        <w:t xml:space="preserve">Conformément à l'étape 4 du sujet, le système est évalué sur deux axes à l'aide d'un jeu de questions de test couvrant les trois démarches et des questions hors périmètre (backend/evaluation/test_questions.json, backend/evaluation/evaluate.py) :</w:t>
      </w:r>
    </w:p>
    <w:p>
      <w:pPr>
        <w:pStyle w:val="Heading2"/>
      </w:pPr>
      <w:r>
        <w:t xml:space="preserve">7.1 Pertinence du retrieval</w:t>
      </w:r>
    </w:p>
    <w:p>
      <w:pPr>
        <w:spacing w:after="160"/>
      </w:pPr>
      <w:r>
        <w:t xml:space="preserve">Pour chaque question, on vérifie si les segments récupérés par ChromaDB correspondent bien à la démarche attendue (champ demarche_attendue comparé aux sources_recuperees dans evaluation/results.json).</w:t>
      </w:r>
    </w:p>
    <w:p>
      <w:pPr>
        <w:pStyle w:val="Heading2"/>
      </w:pPr>
      <w:r>
        <w:t xml:space="preserve">7.2 Taux d'hallucination</w:t>
      </w:r>
    </w:p>
    <w:p>
      <w:pPr>
        <w:spacing w:after="160"/>
      </w:pPr>
      <w:r>
        <w:t xml:space="preserve">Pour les questions explicitement hors périmètre (in_scope = false), on vérifie que l'agent répond bien par la formule de repli (« je ne dispose pas de cette information ») plutôt que d'inventer une procédure, un montant ou un délai.</w:t>
      </w:r>
    </w:p>
    <w:p>
      <w:pPr>
        <w:pStyle w:val="Heading1"/>
      </w:pPr>
      <w:r>
        <w:t xml:space="preserve">8. Planning (2 semaines)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Période</w:t>
            </w:r>
          </w:p>
        </w:tc>
        <w:tc>
          <w:tcPr>
            <w:tcW w:type="dxa" w:w="2400"/>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Activité</w:t>
            </w:r>
          </w:p>
        </w:tc>
        <w:tc>
          <w:tcPr>
            <w:tcW w:type="dxa" w:w="4226"/>
            <w:tcBorders>
              <w:top w:val="single" w:color="C9C9C9" w:sz="4"/>
              <w:left w:val="single" w:color="C9C9C9" w:sz="4"/>
              <w:bottom w:val="single" w:color="C9C9C9" w:sz="4"/>
              <w:right w:val="single" w:color="C9C9C9" w:sz="4"/>
            </w:tcBorders>
            <w:shd w:fill="1F6F4D" w:val="clear"/>
            <w:tcMar>
              <w:top w:type="dxa" w:w="80"/>
              <w:left w:type="dxa" w:w="120"/>
              <w:bottom w:type="dxa" w:w="80"/>
              <w:right w:type="dxa" w:w="120"/>
            </w:tcMar>
            <w:vAlign w:val="center"/>
          </w:tcPr>
          <w:p>
            <w:pPr>
              <w:jc w:val="left"/>
            </w:pPr>
            <w:r>
              <w:rPr>
                <w:b/>
                <w:bCs/>
                <w:color w:val="FFFFFF"/>
                <w:sz w:val="20"/>
                <w:szCs w:val="20"/>
              </w:rPr>
              <w:t xml:space="preserve">Livrable</w:t>
            </w:r>
          </w:p>
        </w:tc>
      </w:tr>
      <w:tr>
        <w:tc>
          <w:tcPr>
            <w:tcW w:type="dxa" w:w="24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Semaine 1</w:t>
            </w:r>
          </w:p>
        </w:tc>
        <w:tc>
          <w:tcPr>
            <w:tcW w:type="dxa" w:w="24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Cahier des charges, sourcing des données officielles, mise en place du pipeline d'ingestion et de l'API</w:t>
            </w:r>
          </w:p>
        </w:tc>
        <w:tc>
          <w:tcPr>
            <w:tcW w:type="dxa" w:w="42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Backend fonctionnel (extraction, index, API)</w:t>
            </w:r>
          </w:p>
        </w:tc>
      </w:tr>
      <w:tr>
        <w:tc>
          <w:tcPr>
            <w:tcW w:type="dxa" w:w="24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Semaine 2</w:t>
            </w:r>
          </w:p>
        </w:tc>
        <w:tc>
          <w:tcPr>
            <w:tcW w:type="dxa" w:w="2400"/>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Frontend React, intégration backend/frontend, évaluation du système, déploiement, rapport et présentation</w:t>
            </w:r>
          </w:p>
        </w:tc>
        <w:tc>
          <w:tcPr>
            <w:tcW w:type="dxa" w:w="4226"/>
            <w:tcBorders>
              <w:top w:val="single" w:color="C9C9C9" w:sz="4"/>
              <w:left w:val="single" w:color="C9C9C9" w:sz="4"/>
              <w:bottom w:val="single" w:color="C9C9C9" w:sz="4"/>
              <w:right w:val="single" w:color="C9C9C9" w:sz="4"/>
            </w:tcBorders>
            <w:tcMar>
              <w:top w:type="dxa" w:w="80"/>
              <w:left w:type="dxa" w:w="120"/>
              <w:bottom w:type="dxa" w:w="80"/>
              <w:right w:type="dxa" w:w="120"/>
            </w:tcMar>
            <w:vAlign w:val="center"/>
          </w:tcPr>
          <w:p>
            <w:pPr>
              <w:jc w:val="left"/>
            </w:pPr>
            <w:r>
              <w:rPr>
                <w:b w:val="false"/>
                <w:bCs w:val="false"/>
                <w:sz w:val="20"/>
                <w:szCs w:val="20"/>
              </w:rPr>
              <w:t xml:space="preserve">Application déployée, rapport, support de soutenance</w:t>
            </w:r>
          </w:p>
        </w:tc>
      </w:tr>
    </w:tbl>
    <w:p>
      <w:pPr>
        <w:pStyle w:val="Heading1"/>
      </w:pPr>
      <w:r>
        <w:t xml:space="preserve">9. Livrables attendus</w:t>
      </w:r>
    </w:p>
    <w:p>
      <w:pPr>
        <w:pStyle w:val="ListParagraph"/>
        <w:numPr>
          <w:ilvl w:val="0"/>
          <w:numId w:val="3"/>
        </w:numPr>
        <w:spacing w:after="80"/>
      </w:pPr>
      <w:r>
        <w:rPr>
          <w:sz w:val="22"/>
          <w:szCs w:val="22"/>
        </w:rPr>
        <w:t xml:space="preserve">Code source complet sur un dépôt GitHub : pipeline d'ingestion, API FastAPI, frontend React, fichier requirements.txt.</w:t>
      </w:r>
    </w:p>
    <w:p>
      <w:pPr>
        <w:pStyle w:val="ListParagraph"/>
        <w:numPr>
          <w:ilvl w:val="0"/>
          <w:numId w:val="3"/>
        </w:numPr>
        <w:spacing w:after="80"/>
      </w:pPr>
      <w:r>
        <w:rPr>
          <w:sz w:val="22"/>
          <w:szCs w:val="22"/>
        </w:rPr>
        <w:t xml:space="preserve">Application fonctionnelle déployée publiquement (Render pour le backend, Vercel pour le frontend).</w:t>
      </w:r>
    </w:p>
    <w:p>
      <w:pPr>
        <w:pStyle w:val="ListParagraph"/>
        <w:numPr>
          <w:ilvl w:val="0"/>
          <w:numId w:val="3"/>
        </w:numPr>
        <w:spacing w:after="80"/>
      </w:pPr>
      <w:r>
        <w:rPr>
          <w:sz w:val="22"/>
          <w:szCs w:val="22"/>
        </w:rPr>
        <w:t xml:space="preserve">Rapport technique : architecture, méthodologie (chunking, embeddings, LLM), limites et perspectives.</w:t>
      </w:r>
    </w:p>
    <w:p>
      <w:pPr>
        <w:pStyle w:val="ListParagraph"/>
        <w:numPr>
          <w:ilvl w:val="0"/>
          <w:numId w:val="3"/>
        </w:numPr>
        <w:spacing w:after="80"/>
      </w:pPr>
      <w:r>
        <w:rPr>
          <w:sz w:val="22"/>
          <w:szCs w:val="22"/>
        </w:rPr>
        <w:t xml:space="preserve">Support de présentation pour la soutenance du lundi 13 juillet 2026.</w:t>
      </w:r>
    </w:p>
    <w:p>
      <w:pPr>
        <w:pStyle w:val="Heading1"/>
      </w:pPr>
      <w:r>
        <w:t xml:space="preserve">10. Limites et perspectives</w:t>
      </w:r>
    </w:p>
    <w:p>
      <w:pPr>
        <w:pStyle w:val="ListParagraph"/>
        <w:numPr>
          <w:ilvl w:val="0"/>
          <w:numId w:val="2"/>
        </w:numPr>
        <w:spacing w:after="80"/>
      </w:pPr>
      <w:r>
        <w:rPr>
          <w:sz w:val="22"/>
          <w:szCs w:val="22"/>
        </w:rPr>
        <w:t xml:space="preserve">Couverture limitée à trois démarches : toute extension nécessiterait de sourcer et vérifier de nouveaux contenus officiels.</w:t>
      </w:r>
    </w:p>
    <w:p>
      <w:pPr>
        <w:pStyle w:val="ListParagraph"/>
        <w:numPr>
          <w:ilvl w:val="0"/>
          <w:numId w:val="2"/>
        </w:numPr>
        <w:spacing w:after="80"/>
      </w:pPr>
      <w:r>
        <w:rPr>
          <w:sz w:val="22"/>
          <w:szCs w:val="22"/>
        </w:rPr>
        <w:t xml:space="preserve">Dépendance à la disponibilité et à la stabilité des portails officiels pour les mises à jour réglementaires (montants, délais).</w:t>
      </w:r>
    </w:p>
    <w:p>
      <w:pPr>
        <w:pStyle w:val="ListParagraph"/>
        <w:numPr>
          <w:ilvl w:val="0"/>
          <w:numId w:val="2"/>
        </w:numPr>
        <w:spacing w:after="80"/>
      </w:pPr>
      <w:r>
        <w:rPr>
          <w:sz w:val="22"/>
          <w:szCs w:val="22"/>
        </w:rPr>
        <w:t xml:space="preserve">Le modèle d'embeddings multilingue généraliste pourrait être affiné par un modèle spécialisé sur le français administratif si davantage de données étaient disponibles.</w:t>
      </w:r>
    </w:p>
    <w:p>
      <w:pPr>
        <w:pStyle w:val="ListParagraph"/>
        <w:numPr>
          <w:ilvl w:val="0"/>
          <w:numId w:val="2"/>
        </w:numPr>
        <w:spacing w:after="80"/>
      </w:pPr>
      <w:r>
        <w:rPr>
          <w:sz w:val="22"/>
          <w:szCs w:val="22"/>
        </w:rPr>
        <w:t xml:space="preserve">Perspective : étendre à d'autres démarches (permis de conduire, état civil) en réutilisant le même pipeline PDF → index → API.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GuichetIA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6F4D"/>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6F4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9vinflmqlzadowkezoma" Type="http://schemas.openxmlformats.org/officeDocument/2006/relationships/hyperlink" Target="https://police.gov.bf/index.php/infos-utiles/cnib" TargetMode="External"/><Relationship Id="rIds-i1rvgivxuzs9g1j1djx" Type="http://schemas.openxmlformats.org/officeDocument/2006/relationships/hyperlink" Target="https://service-public.gov.bf/thematiques/etat-civil-identite-famille/demande-detablissement-ou-de-renouvellement-de-la-cnib" TargetMode="External"/><Relationship Id="rIddzrhvp_pegxl66cmxrir3" Type="http://schemas.openxmlformats.org/officeDocument/2006/relationships/hyperlink" Target="https://police.gov.bf/index.php/infos-utiles/passeport" TargetMode="External"/><Relationship Id="rIdukrrgmfrtp9my500e1llx" Type="http://schemas.openxmlformats.org/officeDocument/2006/relationships/hyperlink" Target="https://service-public.gov.bf/thematiques/creation-dentreprise/creation-dentreprise-demande-de-creation-dentreprises-pour-les-personnes-physiques" TargetMode="External"/><Relationship Id="rIdwe1wwaxid6c9zghjktim-" Type="http://schemas.openxmlformats.org/officeDocument/2006/relationships/hyperlink" Target="https://service-public.gov.bf/thematiques/creation-dentreprise/creation-dentreprise-demande-de-creation-dentreprises-pour-les-personnes-morale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2026-06-29T16:13:52.127Z</dcterms:created>
  <dcterms:modified xsi:type="dcterms:W3CDTF">2026-06-29T16:13:52.127Z</dcterms:modified>
</cp:coreProperties>
</file>

<file path=docProps/custom.xml><?xml version="1.0" encoding="utf-8"?>
<Properties xmlns="http://schemas.openxmlformats.org/officeDocument/2006/custom-properties" xmlns:vt="http://schemas.openxmlformats.org/officeDocument/2006/docPropsVTypes"/>
</file>