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9970"/>
        <w:gridCol w:w="1039495"/>
        <w:gridCol w:w="1029970"/>
        <w:gridCol w:w="619125"/>
        <w:gridCol w:w="1459865"/>
        <w:gridCol w:w="1029970"/>
        <w:gridCol w:w="1437640"/>
      </w:tblGrid>
      <w:tr>
        <w:trPr/>
        <w:tc>
          <w:tcPr>
            <w:tcW w:type="dxa" w:w="10080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 w:val="0"/>
                <w:color w:val="FFFFFF"/>
                <w:sz w:val="28"/>
              </w:rPr>
              <w:t>DOWNTIME INCIDENT REPORT</w:t>
            </w:r>
          </w:p>
        </w:tc>
      </w:tr>
      <w:tr>
        <w:trPr/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</w:rPr>
              <w:t>Start Date:</w:t>
              <w:br/>
            </w:r>
            <w:r>
              <w:rPr>
                <w:b w:val="0"/>
                <w:sz w:val="22"/>
              </w:rPr>
              <w:t>19/08/2026</w:t>
            </w:r>
          </w:p>
        </w:tc>
        <w:tc>
          <w:tcPr>
            <w:tcW w:type="dxa" w:w="288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</w:rPr>
              <w:t>Start Time:</w:t>
              <w:br/>
            </w:r>
            <w:r>
              <w:rPr>
                <w:b w:val="0"/>
                <w:sz w:val="22"/>
              </w:rPr>
              <w:t>9:00 AM</w:t>
            </w:r>
          </w:p>
        </w:tc>
        <w:tc>
          <w:tcPr>
            <w:tcW w:type="dxa" w:w="432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</w:rPr>
              <w:t>Downtime ID:</w:t>
              <w:br/>
            </w:r>
            <w:r>
              <w:rPr>
                <w:b w:val="0"/>
                <w:sz w:val="22"/>
              </w:rPr>
              <w:t>SOC/19082026/001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</w:rPr>
              <w:t>Downtime Duration:</w:t>
              <w:br/>
            </w:r>
            <w:r>
              <w:rPr>
                <w:b w:val="0"/>
                <w:sz w:val="22"/>
              </w:rPr>
              <w:t>5 Hours 30 Minutes</w:t>
            </w:r>
          </w:p>
        </w:tc>
      </w:tr>
      <w:tr>
        <w:trPr/>
        <w:tc>
          <w:tcPr>
            <w:tcW w:type="dxa" w:w="432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</w:rPr>
              <w:t xml:space="preserve">Reported By: </w:t>
            </w:r>
            <w:r>
              <w:rPr>
                <w:b w:val="0"/>
                <w:sz w:val="22"/>
              </w:rPr>
              <w:t>David Odigie</w:t>
            </w:r>
          </w:p>
        </w:tc>
        <w:tc>
          <w:tcPr>
            <w:tcW w:type="dxa" w:w="576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</w:rPr>
              <w:t xml:space="preserve">Position: </w:t>
            </w:r>
            <w:r>
              <w:rPr>
                <w:b w:val="0"/>
                <w:sz w:val="22"/>
              </w:rPr>
              <w:t>Security Monitoring Analyst</w:t>
            </w:r>
          </w:p>
        </w:tc>
      </w:tr>
      <w:tr>
        <w:trPr/>
        <w:tc>
          <w:tcPr>
            <w:tcW w:type="dxa" w:w="10080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</w:rPr>
              <w:t xml:space="preserve">System/Service Affected: </w:t>
            </w:r>
            <w:r>
              <w:rPr>
                <w:b w:val="0"/>
                <w:sz w:val="22"/>
              </w:rPr>
              <w:t>IBM QRadar SIEM</w:t>
            </w:r>
          </w:p>
        </w:tc>
      </w:tr>
      <w:tr>
        <w:trPr/>
        <w:tc>
          <w:tcPr>
            <w:tcW w:type="dxa" w:w="10080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</w:rPr>
              <w:t xml:space="preserve">Severity Level: </w:t>
            </w:r>
            <w:r>
              <w:rPr>
                <w:b w:val="0"/>
                <w:sz w:val="22"/>
              </w:rPr>
              <w:t>High</w:t>
            </w:r>
          </w:p>
        </w:tc>
      </w:tr>
      <w:tr>
        <w:trPr/>
        <w:tc>
          <w:tcPr>
            <w:tcW w:type="dxa" w:w="10080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Impact Summary: 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On 19th August 2026, IBM QRadar SIEM experienced a service disruption affecting the log ingestion pipeline, resulting in delayed event correlation and an inability to execute real-time searches. The incident impacted the Security Operations Centre's ability to monitor and respond to security alerts during the outage window. No permanent data loss was recorded; however, a temporary delay in log processing of approximately 2 hours was observed. Full restoration of normal operations was confirmed at 2:30 PM on 19th August 2026.</w:t>
            </w:r>
          </w:p>
        </w:tc>
      </w:tr>
      <w:tr>
        <w:trPr/>
        <w:tc>
          <w:tcPr>
            <w:tcW w:type="dxa" w:w="576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Detection and Notification: 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The SOC team identified the issue at 9:00 AM when log ingestion counters dropped to zero across multiple data sources.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An alert was raised on the QRadar console indicating pipeline failure.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The incident was immediately escalated to the SIEM administration team and the MSSP vendor (Inspira) for investigation.</w:t>
            </w:r>
          </w:p>
        </w:tc>
        <w:tc>
          <w:tcPr>
            <w:tcW w:type="dxa" w:w="432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Root Cause Analysis: 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Preliminary investigation revealed that the QRadar Event Collector service crashed due to a misconfigured log source that submitted malformed syslog packets at a rate exceeding the collector's processing threshold, causing a service thread deadlock.</w:t>
            </w:r>
          </w:p>
        </w:tc>
      </w:tr>
      <w:tr>
        <w:trPr/>
        <w:tc>
          <w:tcPr>
            <w:tcW w:type="dxa" w:w="576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Mitigation and Recovery Actions: 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The malformed log source was identified and temporarily disabled.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The QRadar Event Collector service was restarted across all affected nodes.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Log backfill was initiated to recover delayed events from the pipeline buffer.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Normal ingestion rates were confirmed restored at 2:30 PM.</w:t>
            </w:r>
          </w:p>
        </w:tc>
        <w:tc>
          <w:tcPr>
            <w:tcW w:type="dxa" w:w="432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Preventive Measures: 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1. Implement input validation rules on all log sources to reject malformed syslog packets.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2. Configure QRadar pipeline health dashboards with automated alerting thresholds.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3. Conduct a quarterly review of all active log sources to ensure compliance with ingestion format standards.</w:t>
            </w:r>
          </w:p>
        </w:tc>
      </w:tr>
      <w:tr>
        <w:trPr/>
        <w:tc>
          <w:tcPr>
            <w:tcW w:type="dxa" w:w="288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Internal Communication: 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Notified the Unit Head, Security Monitoring.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Notified the ISMS Group Head.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Notified the Infrastructure and Network teams.</w:t>
            </w:r>
          </w:p>
        </w:tc>
        <w:tc>
          <w:tcPr>
            <w:tcW w:type="dxa" w:w="432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b/>
                <w:sz w:val="22"/>
              </w:rPr>
              <w:t xml:space="preserve">External Communication: 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Escalated to Inspira (MSSP) for remote investigation and remediation support.</w:t>
            </w:r>
          </w:p>
        </w:tc>
        <w:tc>
          <w:tcPr>
            <w:tcW w:type="dxa" w:w="288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</w:rPr>
              <w:t xml:space="preserve">Resource: </w:t>
            </w:r>
            <w:r>
              <w:rPr>
                <w:b w:val="0"/>
                <w:sz w:val="22"/>
              </w:rPr>
              <w:t>N/A</w:t>
            </w:r>
          </w:p>
        </w:tc>
      </w:tr>
      <w:tr>
        <w:trPr/>
        <w:tc>
          <w:tcPr>
            <w:tcW w:type="dxa" w:w="576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</w:rPr>
              <w:t xml:space="preserve">End Date:   </w:t>
            </w:r>
            <w:r>
              <w:rPr>
                <w:b w:val="0"/>
                <w:sz w:val="22"/>
              </w:rPr>
              <w:t>19/08/2026</w:t>
            </w:r>
          </w:p>
        </w:tc>
        <w:tc>
          <w:tcPr>
            <w:tcW w:type="dxa" w:w="432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</w:rPr>
              <w:t xml:space="preserve">End Time: </w:t>
            </w:r>
            <w:r>
              <w:rPr>
                <w:b w:val="0"/>
                <w:sz w:val="22"/>
              </w:rPr>
              <w:t>2:30 PM</w:t>
            </w:r>
          </w:p>
        </w:tc>
      </w:tr>
      <w:tr>
        <w:trPr/>
        <w:tc>
          <w:tcPr>
            <w:tcW w:type="dxa" w:w="576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b/>
                <w:sz w:val="22"/>
              </w:rPr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Reviewed by: Fatima Jinadu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Position: Unit Head, Security Monitoring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Date: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Signature:</w:t>
            </w:r>
          </w:p>
        </w:tc>
        <w:tc>
          <w:tcPr>
            <w:tcW w:type="dxa" w:w="432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b/>
                <w:sz w:val="22"/>
              </w:rPr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Approved by: Jacobsen Brai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Position: Group Head, ISMS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Date:</w:t>
            </w:r>
          </w:p>
          <w:p>
            <w:pPr>
              <w:spacing w:before="0" w:after="0"/>
            </w:pPr>
            <w:r>
              <w:rPr>
                <w:b w:val="0"/>
                <w:sz w:val="22"/>
              </w:rPr>
              <w:t>Signature: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