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muqw83qvse2p" w:id="0"/>
      <w:bookmarkEnd w:id="0"/>
      <w:r w:rsidDel="00000000" w:rsidR="00000000" w:rsidRPr="00000000">
        <w:rPr>
          <w:rtl w:val="0"/>
        </w:rPr>
        <w:t xml:space="preserve">Análise Técnica e Estratégica do Ecossistema GNU/Linux: Da Arquitetura ao Mercado Global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xlsnkurf45ku" w:id="1"/>
      <w:bookmarkEnd w:id="1"/>
      <w:r w:rsidDel="00000000" w:rsidR="00000000" w:rsidRPr="00000000">
        <w:rPr>
          <w:rtl w:val="0"/>
        </w:rPr>
        <w:t xml:space="preserve">1. Fundamentos e Evolução Histórica: O Paradigma da Neutralidade em P&amp;D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 surgimento do ecossistema GNU/Linux não foi apenas um marco no desenvolvimento de software, mas uma ruptura fundamental no modelo de governança tecnológica. Iniciado em 1984 com o Projeto GNU (Richard Stallman) e catalisado em 1991 pelo kernel de Linus Torvalds, a distinção terminológica entre "Kernel" e "Sistema Operacional" é vital. Enquanto o Linux atua como o árbitro de hardware, o sistema GNU provê a infraestrutura de espaço de usuário que viabiliza a computação moderna. Do ponto de vista estratégico, essa separação permitiu que o sistema evoluísse de uma alternativa ao Minix para o padrão dominante da indústria.A transição do modelo Unix/Minix para o Linux foi impulsionada pela necessidade de multitarefa real e suporte multiusuário em hardware commodity (Intel 386). Ao contrário do Minix, cujas restrições de licenciamento limitavam a modificação, o Linux adotou a licença GPL.  </w:t>
      </w:r>
      <w:r w:rsidDel="00000000" w:rsidR="00000000" w:rsidRPr="00000000">
        <w:rPr>
          <w:b w:val="1"/>
          <w:bCs w:val="1"/>
          <w:rtl w:val="0"/>
        </w:rPr>
        <w:t xml:space="preserve">E daí?</w:t>
      </w:r>
      <w:r w:rsidDel="00000000" w:rsidR="00000000" w:rsidRPr="00000000">
        <w:rPr>
          <w:rtl w:val="0"/>
        </w:rPr>
        <w:t xml:space="preserve">  O impacto estratégico foi a criação de um "terreno neutro" de Pesquisa e Desenvolvimento (P&amp;D). Gigantes como IBM, Intel e HP perceberam que poderiam colaborar no núcleo comum do sistema, compartilhando custos de infraestrutura básica enquanto competiam em serviços e hardware. A GPL agiu como uma salvaguarda jurídica contra a exploração comercial exclusiva, garantindo que a inovação de um contribuidor beneficiasse todo o ecossistema.</w:t>
      </w:r>
    </w:p>
    <w:p w:rsidR="00000000" w:rsidDel="00000000" w:rsidP="00000000" w:rsidRDefault="00000000" w:rsidRPr="00000000" w14:paraId="00000004">
      <w:pPr>
        <w:pStyle w:val="Heading4"/>
        <w:rPr/>
      </w:pPr>
      <w:bookmarkStart w:colFirst="0" w:colLast="0" w:name="_phxy1q1rgnax" w:id="2"/>
      <w:bookmarkEnd w:id="2"/>
      <w:r w:rsidDel="00000000" w:rsidR="00000000" w:rsidRPr="00000000">
        <w:rPr>
          <w:rtl w:val="0"/>
        </w:rPr>
        <w:t xml:space="preserve">2. Anatomia do Kernel Linux: Gestão de Recursos e Trade-offs de Engenharia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Como Arquiteto de Sistemas, vejo o kernel não apenas como código, mas como um gestor de recursos crítico que isola o hardware do espaço de usuário. Sua estabilidade é o alicerce de qualquer SLA corporativo.</w:t>
      </w:r>
    </w:p>
    <w:p w:rsidR="00000000" w:rsidDel="00000000" w:rsidP="00000000" w:rsidRDefault="00000000" w:rsidRPr="00000000" w14:paraId="00000006">
      <w:pPr>
        <w:pStyle w:val="Heading5"/>
        <w:rPr/>
      </w:pPr>
      <w:bookmarkStart w:colFirst="0" w:colLast="0" w:name="_kdlbmqhoa7my" w:id="3"/>
      <w:bookmarkEnd w:id="3"/>
      <w:r w:rsidDel="00000000" w:rsidR="00000000" w:rsidRPr="00000000">
        <w:rPr>
          <w:rtl w:val="0"/>
        </w:rPr>
        <w:t xml:space="preserve">Subsistemas Críticos e Estratégia Técnica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System Call Interface (SCI):</w:t>
      </w:r>
      <w:r w:rsidDel="00000000" w:rsidR="00000000" w:rsidRPr="00000000">
        <w:rPr>
          <w:rtl w:val="0"/>
        </w:rPr>
        <w:t xml:space="preserve">  Camada de multiplexação que gerencia a transição segura entre os espaços de endereçamento. A eficiência aqui (via glibc) é o que define o throughput de aplicações de alta performance.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Process Management:</w:t>
      </w:r>
      <w:r w:rsidDel="00000000" w:rsidR="00000000" w:rsidRPr="00000000">
        <w:rPr>
          <w:rtl w:val="0"/>
        </w:rPr>
        <w:t xml:space="preserve">  Baseado na task_struct, o kernel implementa threads como "processos leves" (LWP). O uso do escalonador O(1) é fundamental para sistemas de larga escala, pois garante que o custo de processamento de contexto permaneça constante, independentemente da carga.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Memory Management:</w:t>
      </w:r>
      <w:r w:rsidDel="00000000" w:rsidR="00000000" w:rsidRPr="00000000">
        <w:rPr>
          <w:rtl w:val="0"/>
        </w:rPr>
        <w:t xml:space="preserve">  O kernel gerencia memória virtual e paginação (usualmente 4KB) de forma sofisticada. O uso do  </w:t>
      </w:r>
      <w:r w:rsidDel="00000000" w:rsidR="00000000" w:rsidRPr="00000000">
        <w:rPr>
          <w:i w:val="1"/>
          <w:iCs w:val="1"/>
          <w:rtl w:val="0"/>
        </w:rPr>
        <w:t xml:space="preserve">slab allocator</w:t>
      </w:r>
      <w:r w:rsidDel="00000000" w:rsidR="00000000" w:rsidRPr="00000000">
        <w:rPr>
          <w:rtl w:val="0"/>
        </w:rPr>
        <w:t xml:space="preserve">  permite que o sistema cresça e encolha dinamicamente, otimizando a RAM física. Arquitetos devem notar que, em ambientes corporativos (como Oracle Linux), a escolha entre o  </w:t>
      </w:r>
      <w:r w:rsidDel="00000000" w:rsidR="00000000" w:rsidRPr="00000000">
        <w:rPr>
          <w:b w:val="1"/>
          <w:bCs w:val="1"/>
          <w:rtl w:val="0"/>
        </w:rPr>
        <w:t xml:space="preserve">Unbreakable Enterprise Kernel (UEK)</w:t>
      </w:r>
      <w:r w:rsidDel="00000000" w:rsidR="00000000" w:rsidRPr="00000000">
        <w:rPr>
          <w:rtl w:val="0"/>
        </w:rPr>
        <w:t xml:space="preserve">  e o  </w:t>
      </w:r>
      <w:r w:rsidDel="00000000" w:rsidR="00000000" w:rsidRPr="00000000">
        <w:rPr>
          <w:b w:val="1"/>
          <w:bCs w:val="1"/>
          <w:rtl w:val="0"/>
        </w:rPr>
        <w:t xml:space="preserve">Red Hat Compatible Kernel (RHCK)</w:t>
      </w:r>
      <w:r w:rsidDel="00000000" w:rsidR="00000000" w:rsidRPr="00000000">
        <w:rPr>
          <w:rtl w:val="0"/>
        </w:rPr>
        <w:t xml:space="preserve">  impacta diretamente a performance e a estabilidade de workloads específicos.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Virtual File System (VFS):</w:t>
      </w:r>
      <w:r w:rsidDel="00000000" w:rsidR="00000000" w:rsidRPr="00000000">
        <w:rPr>
          <w:rtl w:val="0"/>
        </w:rPr>
        <w:t xml:space="preserve">  Uma abstração que permite a coexistência de mais de 50 sistemas de arquivos (EXT4, XFS, NFS). Estruturas como  </w:t>
      </w:r>
      <w:r w:rsidDel="00000000" w:rsidR="00000000" w:rsidRPr="00000000">
        <w:rPr>
          <w:i w:val="1"/>
          <w:iCs w:val="1"/>
          <w:rtl w:val="0"/>
        </w:rPr>
        <w:t xml:space="preserve">superblocks</w:t>
      </w:r>
      <w:r w:rsidDel="00000000" w:rsidR="00000000" w:rsidRPr="00000000">
        <w:rPr>
          <w:rtl w:val="0"/>
        </w:rPr>
        <w:t xml:space="preserve"> ,  </w:t>
      </w:r>
      <w:r w:rsidDel="00000000" w:rsidR="00000000" w:rsidRPr="00000000">
        <w:rPr>
          <w:i w:val="1"/>
          <w:iCs w:val="1"/>
          <w:rtl w:val="0"/>
        </w:rPr>
        <w:t xml:space="preserve">inodes</w:t>
      </w:r>
      <w:r w:rsidDel="00000000" w:rsidR="00000000" w:rsidRPr="00000000">
        <w:rPr>
          <w:rtl w:val="0"/>
        </w:rPr>
        <w:t xml:space="preserve">  e  </w:t>
      </w:r>
      <w:r w:rsidDel="00000000" w:rsidR="00000000" w:rsidRPr="00000000">
        <w:rPr>
          <w:i w:val="1"/>
          <w:iCs w:val="1"/>
          <w:rtl w:val="0"/>
        </w:rPr>
        <w:t xml:space="preserve">dentries</w:t>
      </w:r>
      <w:r w:rsidDel="00000000" w:rsidR="00000000" w:rsidRPr="00000000">
        <w:rPr>
          <w:rtl w:val="0"/>
        </w:rPr>
        <w:t xml:space="preserve">  permitem que o sistema gerencie dados de forma agnóstica ao hardware de armazenamento.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Network Stack:</w:t>
      </w:r>
      <w:r w:rsidDel="00000000" w:rsidR="00000000" w:rsidRPr="00000000">
        <w:rPr>
          <w:rtl w:val="0"/>
        </w:rPr>
        <w:t xml:space="preserve">  Organizada em camadas (TCP/IP), utiliza camadas agnósticas de protocolo e de dispositivo. O uso de  </w:t>
      </w:r>
      <w:r w:rsidDel="00000000" w:rsidR="00000000" w:rsidRPr="00000000">
        <w:rPr>
          <w:i w:val="1"/>
          <w:iCs w:val="1"/>
          <w:rtl w:val="0"/>
        </w:rPr>
        <w:t xml:space="preserve">socket buffers</w:t>
      </w:r>
      <w:r w:rsidDel="00000000" w:rsidR="00000000" w:rsidRPr="00000000">
        <w:rPr>
          <w:rtl w:val="0"/>
        </w:rPr>
        <w:t xml:space="preserve">  para mover PDUs (Protocol Data Units) entre camadas minimiza a latência e é essencial para o throughput de rede em clouds privadas.</w:t>
      </w:r>
    </w:p>
    <w:p w:rsidR="00000000" w:rsidDel="00000000" w:rsidP="00000000" w:rsidRDefault="00000000" w:rsidRPr="00000000" w14:paraId="0000000C">
      <w:pPr>
        <w:pStyle w:val="Heading5"/>
        <w:rPr/>
      </w:pPr>
      <w:bookmarkStart w:colFirst="0" w:colLast="0" w:name="_9c2u2frieoq4" w:id="4"/>
      <w:bookmarkEnd w:id="4"/>
      <w:r w:rsidDel="00000000" w:rsidR="00000000" w:rsidRPr="00000000">
        <w:rPr>
          <w:rtl w:val="0"/>
        </w:rPr>
        <w:t xml:space="preserve">O Debate Arquitetural: Monolítico vs. Microkernel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 escolha do Linux pelo modelo  </w:t>
      </w:r>
      <w:r w:rsidDel="00000000" w:rsidR="00000000" w:rsidRPr="00000000">
        <w:rPr>
          <w:b w:val="1"/>
          <w:bCs w:val="1"/>
          <w:rtl w:val="0"/>
        </w:rPr>
        <w:t xml:space="preserve">Monolítico</w:t>
      </w:r>
      <w:r w:rsidDel="00000000" w:rsidR="00000000" w:rsidRPr="00000000">
        <w:rPr>
          <w:rtl w:val="0"/>
        </w:rPr>
        <w:t xml:space="preserve">  (onde drivers e gestão de arquivos rodam em modo kernel) prioriza a eficiência técnica ao minimizar  </w:t>
      </w:r>
      <w:r w:rsidDel="00000000" w:rsidR="00000000" w:rsidRPr="00000000">
        <w:rPr>
          <w:i w:val="1"/>
          <w:iCs w:val="1"/>
          <w:rtl w:val="0"/>
        </w:rPr>
        <w:t xml:space="preserve">context switching</w:t>
      </w:r>
      <w:r w:rsidDel="00000000" w:rsidR="00000000" w:rsidRPr="00000000">
        <w:rPr>
          <w:rtl w:val="0"/>
        </w:rPr>
        <w:t xml:space="preserve"> . O trade-off, no entanto, é o isolamento de falhas: um driver defeituoso no modelo monolítico pode derrubar o sistema inteiro, ao passo que em um  </w:t>
      </w:r>
      <w:r w:rsidDel="00000000" w:rsidR="00000000" w:rsidRPr="00000000">
        <w:rPr>
          <w:b w:val="1"/>
          <w:bCs w:val="1"/>
          <w:rtl w:val="0"/>
        </w:rPr>
        <w:t xml:space="preserve">Microkernel</w:t>
      </w:r>
      <w:r w:rsidDel="00000000" w:rsidR="00000000" w:rsidRPr="00000000">
        <w:rPr>
          <w:rtl w:val="0"/>
        </w:rPr>
        <w:t xml:space="preserve">  (como o Minix), drivers rodam em espaço de usuário, oferecendo maior segurança teórica ao custo de uma degradação severa no desempenho devido à comunicação entre servidores.</w:t>
      </w:r>
    </w:p>
    <w:p w:rsidR="00000000" w:rsidDel="00000000" w:rsidP="00000000" w:rsidRDefault="00000000" w:rsidRPr="00000000" w14:paraId="0000000E">
      <w:pPr>
        <w:pStyle w:val="Heading4"/>
        <w:rPr/>
      </w:pPr>
      <w:bookmarkStart w:colFirst="0" w:colLast="0" w:name="_djx9gunsfgzm" w:id="5"/>
      <w:bookmarkEnd w:id="5"/>
      <w:r w:rsidDel="00000000" w:rsidR="00000000" w:rsidRPr="00000000">
        <w:rPr>
          <w:rtl w:val="0"/>
        </w:rPr>
        <w:t xml:space="preserve">3. Paisagem das Distribuições: Segmentação e Ciclos de Vida (2024–2026)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 diversidade de distribuições reflete uma especialização necessária. Contudo, para o arquiteto, essa escolha envolve riscos de suporte e compatibilidade binária.</w:t>
      </w:r>
    </w:p>
    <w:p w:rsidR="00000000" w:rsidDel="00000000" w:rsidP="00000000" w:rsidRDefault="00000000" w:rsidRPr="00000000" w14:paraId="00000010">
      <w:pPr>
        <w:pStyle w:val="Heading5"/>
        <w:rPr/>
      </w:pPr>
      <w:bookmarkStart w:colFirst="0" w:colLast="0" w:name="_h2tw26ws8dun" w:id="6"/>
      <w:bookmarkEnd w:id="6"/>
      <w:r w:rsidDel="00000000" w:rsidR="00000000" w:rsidRPr="00000000">
        <w:rPr>
          <w:rtl w:val="0"/>
        </w:rPr>
        <w:t xml:space="preserve">Famílias de Distribuições e Pivos Estratégicos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Enterprise e o Vácuo do CentOS:</w:t>
      </w:r>
      <w:r w:rsidDel="00000000" w:rsidR="00000000" w:rsidRPr="00000000">
        <w:rPr>
          <w:rtl w:val="0"/>
        </w:rPr>
        <w:t xml:space="preserve">  Com o fim do suporte do  </w:t>
      </w:r>
      <w:r w:rsidDel="00000000" w:rsidR="00000000" w:rsidRPr="00000000">
        <w:rPr>
          <w:b w:val="1"/>
          <w:bCs w:val="1"/>
          <w:rtl w:val="0"/>
        </w:rPr>
        <w:t xml:space="preserve">CentOS 7 em junho de 2024</w:t>
      </w:r>
      <w:r w:rsidDel="00000000" w:rsidR="00000000" w:rsidRPr="00000000">
        <w:rPr>
          <w:rtl w:val="0"/>
        </w:rPr>
        <w:t xml:space="preserve"> , o mercado enfrenta um pivô arquitetural obrigatório. Rocky Linux e AlmaLinux surgem como clones 1:1 do RHEL para preencher essa lacuna de produção sem custos de subscrição.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Minimalismo e Compatibilidade:</w:t>
      </w:r>
      <w:r w:rsidDel="00000000" w:rsidR="00000000" w:rsidRPr="00000000">
        <w:rPr>
          <w:rtl w:val="0"/>
        </w:rPr>
        <w:t xml:space="preserve">  O Alpine Linux é onipresente em containers devido ao seu tamanho reduzido. No entanto, o uso da  </w:t>
      </w:r>
      <w:r w:rsidDel="00000000" w:rsidR="00000000" w:rsidRPr="00000000">
        <w:rPr>
          <w:b w:val="1"/>
          <w:bCs w:val="1"/>
          <w:rtl w:val="0"/>
        </w:rPr>
        <w:t xml:space="preserve">musl libc</w:t>
      </w:r>
      <w:r w:rsidDel="00000000" w:rsidR="00000000" w:rsidRPr="00000000">
        <w:rPr>
          <w:rtl w:val="0"/>
        </w:rPr>
        <w:t xml:space="preserve">  em vez da  </w:t>
      </w:r>
      <w:r w:rsidDel="00000000" w:rsidR="00000000" w:rsidRPr="00000000">
        <w:rPr>
          <w:b w:val="1"/>
          <w:bCs w:val="1"/>
          <w:rtl w:val="0"/>
        </w:rPr>
        <w:t xml:space="preserve">glibc</w:t>
      </w:r>
      <w:r w:rsidDel="00000000" w:rsidR="00000000" w:rsidRPr="00000000">
        <w:rPr>
          <w:rtl w:val="0"/>
        </w:rPr>
        <w:t xml:space="preserve">  padrão gera desafios de compatibilidade binária para aplicações pré-compiladas, um "gotcha" técnico frequente em migrações para Kubernetes.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Infraestrutura Imutável:</w:t>
      </w:r>
      <w:r w:rsidDel="00000000" w:rsidR="00000000" w:rsidRPr="00000000">
        <w:rPr>
          <w:rtl w:val="0"/>
        </w:rPr>
        <w:t xml:space="preserve">  O paradigma de "raízes imutáveis" (NixOS, Talos, Flatcar) encerra a era do "servidor snowflake" (configurações manuais únicas). Nesses sistemas, a deriva de configuração é impossível, pois o estado do SO é definido declarativamente ou via partições A/B.</w:t>
      </w:r>
    </w:p>
    <w:p w:rsidR="00000000" w:rsidDel="00000000" w:rsidP="00000000" w:rsidRDefault="00000000" w:rsidRPr="00000000" w14:paraId="00000014">
      <w:pPr>
        <w:pStyle w:val="Heading5"/>
        <w:rPr/>
      </w:pPr>
      <w:bookmarkStart w:colFirst="0" w:colLast="0" w:name="_wlnxbsau1bsx" w:id="7"/>
      <w:bookmarkEnd w:id="7"/>
      <w:r w:rsidDel="00000000" w:rsidR="00000000" w:rsidRPr="00000000">
        <w:rPr>
          <w:rtl w:val="0"/>
        </w:rPr>
        <w:t xml:space="preserve">Matriz de Comparação e Ciclo de Vida (Projeção 2024-2026)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Distribuição,Licença,Foco de Mercado,Status / Janela Crítica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Ubuntu 26.04 LTS,GPL/Outras,Cloud &amp; Desktop,Ativa (Lançamento Abril 2026)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"Debian 13 ""Trixie""",BSD/GPL,Servidores/Estabilidade,Ativa (Lançamento Agosto 2025)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RHEL 10,GPL,Missão Crítica/Corp.,Ativa (Lançamento Maio 2025)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Rocky/Alma 10.2,BSD/GPL,Workloads RHEL-comp.,Ativa (Lançamento Maio 2026)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Alpine Linux 3.24,GPL/Outras,Containers/Docker,Ativa (Lançamento Junho 2026)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Amazon Linux 2,Proprietária/OS,Cloud (AWS),EOL Junho 2026 (Migração Crítica)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Clear Linux,GPL/Outras,Performance (Intel),Descontinuada (Julho 2025)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Scientific Linux 7,GPL,Acadêmico,EOL Junho 2024</w:t>
      </w:r>
    </w:p>
    <w:p w:rsidR="00000000" w:rsidDel="00000000" w:rsidP="00000000" w:rsidRDefault="00000000" w:rsidRPr="00000000" w14:paraId="0000001E">
      <w:pPr>
        <w:pStyle w:val="Heading4"/>
        <w:rPr/>
      </w:pPr>
      <w:bookmarkStart w:colFirst="0" w:colLast="0" w:name="_txpfymkf5c1" w:id="8"/>
      <w:bookmarkEnd w:id="8"/>
      <w:r w:rsidDel="00000000" w:rsidR="00000000" w:rsidRPr="00000000">
        <w:rPr>
          <w:rtl w:val="0"/>
        </w:rPr>
        <w:t xml:space="preserve">4. Dinâmica Competitiva, Virtualização e Soberania Digital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 relação entre Linux e Microsoft evoluiu de uma rivalidade existencial (disputas com SCO e campanhas "Get the Facts") para uma colaboração pragmática. Contudo, os dados revelam nuances: embora a Microsoft tenha sido a 17ª maior contribuidora do kernel em 2011, em 2015 ela já não figurava entre os 30 maiores. Isso sugere que, embora o suporte para o Azure Linux e kernels otimizados para nuvem seja prioritário, a Microsoft não é a força motriz da arquitetura central.No âmbito da virtualização, o  </w:t>
      </w:r>
      <w:r w:rsidDel="00000000" w:rsidR="00000000" w:rsidRPr="00000000">
        <w:rPr>
          <w:b w:val="1"/>
          <w:bCs w:val="1"/>
          <w:rtl w:val="0"/>
        </w:rPr>
        <w:t xml:space="preserve">Proxmox VE</w:t>
      </w:r>
      <w:r w:rsidDel="00000000" w:rsidR="00000000" w:rsidRPr="00000000">
        <w:rPr>
          <w:rtl w:val="0"/>
        </w:rPr>
        <w:t xml:space="preserve">  (baseado em Debian) consolidou-se como uma referência europeia para a soberania digital. Em um cenário de instabilidade em hypervisors proprietários (como as mudanças pós-aquisição da VMware pela Broadcom), o Proxmox oferece uma rota de fuga estratégica contra o  </w:t>
      </w:r>
      <w:r w:rsidDel="00000000" w:rsidR="00000000" w:rsidRPr="00000000">
        <w:rPr>
          <w:i w:val="1"/>
          <w:iCs w:val="1"/>
          <w:rtl w:val="0"/>
        </w:rPr>
        <w:t xml:space="preserve">vendor lock-in</w:t>
      </w:r>
      <w:r w:rsidDel="00000000" w:rsidR="00000000" w:rsidRPr="00000000">
        <w:rPr>
          <w:rtl w:val="0"/>
        </w:rPr>
        <w:t xml:space="preserve"> , integrando KVM e LXC em uma stack aberta.</w:t>
      </w:r>
    </w:p>
    <w:p w:rsidR="00000000" w:rsidDel="00000000" w:rsidP="00000000" w:rsidRDefault="00000000" w:rsidRPr="00000000" w14:paraId="00000020">
      <w:pPr>
        <w:pStyle w:val="Heading4"/>
        <w:rPr/>
      </w:pPr>
      <w:bookmarkStart w:colFirst="0" w:colLast="0" w:name="_1tq8jvi3ueyq" w:id="9"/>
      <w:bookmarkEnd w:id="9"/>
      <w:r w:rsidDel="00000000" w:rsidR="00000000" w:rsidRPr="00000000">
        <w:rPr>
          <w:rtl w:val="0"/>
        </w:rPr>
        <w:t xml:space="preserve">5. Conclusão Analítica: A Infraestrutura de Próxima Geração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O sucesso do ecossistema GNU/Linux reside em três pilares:  </w:t>
      </w:r>
      <w:r w:rsidDel="00000000" w:rsidR="00000000" w:rsidRPr="00000000">
        <w:rPr>
          <w:b w:val="1"/>
          <w:bCs w:val="1"/>
          <w:rtl w:val="0"/>
        </w:rPr>
        <w:t xml:space="preserve">Arquitetura Monolítica Eficiente</w:t>
      </w:r>
      <w:r w:rsidDel="00000000" w:rsidR="00000000" w:rsidRPr="00000000">
        <w:rPr>
          <w:rtl w:val="0"/>
        </w:rPr>
        <w:t xml:space="preserve"> ,  </w:t>
      </w:r>
      <w:r w:rsidDel="00000000" w:rsidR="00000000" w:rsidRPr="00000000">
        <w:rPr>
          <w:b w:val="1"/>
          <w:bCs w:val="1"/>
          <w:rtl w:val="0"/>
        </w:rPr>
        <w:t xml:space="preserve">Comunidade Global Colaborativa</w:t>
      </w:r>
      <w:r w:rsidDel="00000000" w:rsidR="00000000" w:rsidRPr="00000000">
        <w:rPr>
          <w:rtl w:val="0"/>
        </w:rPr>
        <w:t xml:space="preserve">  e o  </w:t>
      </w:r>
      <w:r w:rsidDel="00000000" w:rsidR="00000000" w:rsidRPr="00000000">
        <w:rPr>
          <w:b w:val="1"/>
          <w:bCs w:val="1"/>
          <w:rtl w:val="0"/>
        </w:rPr>
        <w:t xml:space="preserve">Licenciamento GPL</w:t>
      </w:r>
      <w:r w:rsidDel="00000000" w:rsidR="00000000" w:rsidRPr="00000000">
        <w:rPr>
          <w:rtl w:val="0"/>
        </w:rPr>
        <w:t xml:space="preserve">  que garante a neutralidade comercial do núcleo.Para ambientes de alta performance, a recomendação técnica foca em  </w:t>
      </w:r>
      <w:r w:rsidDel="00000000" w:rsidR="00000000" w:rsidRPr="00000000">
        <w:rPr>
          <w:b w:val="1"/>
          <w:bCs w:val="1"/>
          <w:rtl w:val="0"/>
        </w:rPr>
        <w:t xml:space="preserve">Bare-Metal</w:t>
      </w:r>
      <w:r w:rsidDel="00000000" w:rsidR="00000000" w:rsidRPr="00000000">
        <w:rPr>
          <w:rtl w:val="0"/>
        </w:rPr>
        <w:t xml:space="preserve">  e  </w:t>
      </w:r>
      <w:r w:rsidDel="00000000" w:rsidR="00000000" w:rsidRPr="00000000">
        <w:rPr>
          <w:b w:val="1"/>
          <w:bCs w:val="1"/>
          <w:rtl w:val="0"/>
        </w:rPr>
        <w:t xml:space="preserve">Private Cloud</w:t>
      </w:r>
      <w:r w:rsidDel="00000000" w:rsidR="00000000" w:rsidRPr="00000000">
        <w:rPr>
          <w:rtl w:val="0"/>
        </w:rPr>
        <w:t xml:space="preserve"> . Nesses cenários, o Linux oferece desempenho previsível e controle total do stack de hardware, eliminando o problema de "vizinhos barulhentos" ( </w:t>
      </w:r>
      <w:r w:rsidDel="00000000" w:rsidR="00000000" w:rsidRPr="00000000">
        <w:rPr>
          <w:i w:val="1"/>
          <w:iCs w:val="1"/>
          <w:rtl w:val="0"/>
        </w:rPr>
        <w:t xml:space="preserve">noisy neighbors</w:t>
      </w:r>
      <w:r w:rsidDel="00000000" w:rsidR="00000000" w:rsidRPr="00000000">
        <w:rPr>
          <w:rtl w:val="0"/>
        </w:rPr>
        <w:t xml:space="preserve"> ) inerente a ambientes de nuvem pública saturados. Seja adotando sistemas imutáveis como o NixOS para resolver a deriva de configuração ou migrando sistemas legados do CentOS para o Rocky Linux antes da janela crítica de 2026, o Linux permanece como a única fundação capaz de garantir autonomia técnica e soberania digital a longo prazo.</w:t>
      </w:r>
      <w:r w:rsidDel="00000000" w:rsidR="00000000" w:rsidRPr="00000000">
        <w:rPr>
          <w:b w:val="1"/>
          <w:bCs w:val="1"/>
          <w:rtl w:val="0"/>
        </w:rPr>
        <w:t xml:space="preserve">Fontes Documentais: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Debian Project: "O que é GNU/Linux?"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IBM Developer: "Anatomy of the Linux Kernel"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Stackscale: "39 popular Linux distributions and OS List (2024-2026)"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IC-Unicamp: "Arquitetura do Kernel Linux (Mello, A. G. S.)"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