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Viabilidade do painel AADR 1240K para doenças monogênicas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Cruzamento entre doenças-alvo da HPO, variantes patogênicas do ClinVar e posições genotipadas do AADR</w:t>
      </w:r>
    </w:p>
    <w:p>
      <w:pPr>
        <w:pBdr>
          <w:bottom w:val="single" w:color="2E5597" w:sz="6" w:space="6"/>
        </w:pBdr>
        <w:spacing w:after="2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Odimar Sousa Falcão Filho · PPGMT/NPDM/UFC · 21 de setembro de 2026 · resultado preliminar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Resumo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Das 6.484 doenças com gene mendeliano declarado e perfil fenotípico na HPO,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33 (0,5%)</w:t>
      </w:r>
      <w:r>
        <w:rPr>
          <w:rFonts w:ascii="Calibri" w:cs="Calibri" w:eastAsia="Calibri" w:hAnsi="Calibri"/>
          <w:sz w:val="22"/>
          <w:szCs w:val="22"/>
        </w:rPr>
        <w:t xml:space="preserve"> têm ao menos uma variante patogênica cujo alelo é ensaiado pelo painel 1240K do AADR. Incluindo o Orphanet, são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56 de 9.142</w:t>
      </w:r>
      <w:r>
        <w:rPr>
          <w:rFonts w:ascii="Calibri" w:cs="Calibri" w:eastAsia="Calibri" w:hAnsi="Calibri"/>
          <w:sz w:val="22"/>
          <w:szCs w:val="22"/>
        </w:rPr>
        <w:t xml:space="preserve">. Todas se concentram 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17 genes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Das 178.934 variantes patogênicas de nucleotídeo único (SNV) do ClinVar, só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108</w:t>
      </w:r>
      <w:r>
        <w:rPr>
          <w:rFonts w:ascii="Calibri" w:cs="Calibri" w:eastAsia="Calibri" w:hAnsi="Calibri"/>
          <w:sz w:val="22"/>
          <w:szCs w:val="22"/>
        </w:rPr>
        <w:t xml:space="preserve"> caem numa posição ensaiada, e em apenas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54</w:t>
      </w:r>
      <w:r>
        <w:rPr>
          <w:rFonts w:ascii="Calibri" w:cs="Calibri" w:eastAsia="Calibri" w:hAnsi="Calibri"/>
          <w:sz w:val="22"/>
          <w:szCs w:val="22"/>
        </w:rPr>
        <w:t xml:space="preserve"> o painel distingue exatamente os dois alelos envolvidos.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resultado não muda quando se incluem variantes de origem não declarada: o conjunto de doenças alcançadas é idêntico nos dois recortes.</w:t>
      </w:r>
    </w:p>
    <w:p>
      <w:pPr>
        <w:pBdr>
          <w:left w:val="single" w:color="2E5597" w:sz="18" w:space="8"/>
        </w:pBdr>
        <w:shd w:fill="F2F2F2" w:color="auto" w:val="clear"/>
        <w:spacing w:after="200" w:before="120" w:line="276"/>
        <w:ind w:left="200" w:righ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Conclusão: </w:t>
      </w:r>
      <w:r>
        <w:rPr>
          <w:rFonts w:ascii="Calibri" w:cs="Calibri" w:eastAsia="Calibri" w:hAnsi="Calibri"/>
          <w:sz w:val="22"/>
          <w:szCs w:val="22"/>
        </w:rPr>
        <w:t xml:space="preserve">com os genótipos do 1240K, o escopo de inferência de doenças monogênicas em DNA antigo cobre algumas dezenas de doenças, não milhares. O gargalo é a informação disponível nos dados, não o modelo de aprendizado de máquina.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Pergunta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painel 1240K é o conjunto de cerca de 1,2 milhão de posições do genoma que o AADR usa para genotipar indivíduos antigos. Ele foi desenhado para estudos de ancestralidade e história populacional.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pergunta é: de quantas doenças monogênicas esse painel permite perguntar se um indivíduo antigo carrega a variante causadora? Para isso, a variante patogênica precisa estar numa posição ensaiada e o painel precisa distinguir os dois alelos daquela variante.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Fontes 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39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Proveniência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HPO phenotype.hpoa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release 2026-06-23 (declarada no cabeçalho)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sha256 89004f85…5eb31dff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HPO genes_to_disease.txt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mesma release (não declara versão)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sha256 a247027a…4f39286a; 83% de sobreposição de doenças com o phenotype.hpoa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ClinVar variant_summary.txt.gz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avaliação mais recente: 2026-09-11 (não declara versão)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sha256 f25970aa…143e7e44e; MD5 conferido contra o publicado pelo NCBI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AADR 1240K (.snp)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v66.p1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sha256 1189e253…dd93b55bf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Tabela 1. Todos os hashes completos estão nos manifestos em data/processed/*_metadata.json.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Método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análise foi feita com a CLI do repositório hpo-ptbr-lab (scripts/hpo_panel_cli.py), em quatro etapas, cada uma com manifesto de proveniência e contagem explícita do que é excluído.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Doenças-alvo. </w:t>
      </w:r>
      <w:r>
        <w:rPr>
          <w:rFonts w:ascii="Calibri" w:cs="Calibri" w:eastAsia="Calibri" w:hAnsi="Calibri"/>
          <w:sz w:val="22"/>
          <w:szCs w:val="22"/>
        </w:rPr>
        <w:t xml:space="preserve">Doenças com perfil fenotípico na HPO e ao menos um gene associado. Relatam-se dois universos: gene declarado mendeliano pelo OMIM (6.484) e qualquer gene associado (9.142). A diferença é o Orphanet, que não classifica o tipo de associação.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Variantes patogênicas. </w:t>
      </w:r>
      <w:r>
        <w:rPr>
          <w:rFonts w:ascii="Calibri" w:cs="Calibri" w:eastAsia="Calibri" w:hAnsi="Calibri"/>
          <w:sz w:val="22"/>
          <w:szCs w:val="22"/>
        </w:rPr>
        <w:t xml:space="preserve">ClinVar filtrado para GRCh37, origem germinativa e classificação Pathogenic, Likely pathogenic ou Pathogenic/Likely pathogenic. Classificações conflitantes são excluídas e contadas à parte.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Ligação variante → doença. </w:t>
      </w:r>
      <w:r>
        <w:rPr>
          <w:rFonts w:ascii="Calibri" w:cs="Calibri" w:eastAsia="Calibri" w:hAnsi="Calibri"/>
          <w:sz w:val="22"/>
          <w:szCs w:val="22"/>
        </w:rPr>
        <w:t xml:space="preserve">Direta, pelo campo PhenotypeIDS do ClinVar, e não pelo gene. Uma variante num gene não é evidência para todas as doenças daquele gene.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Cruzamento com o painel. </w:t>
      </w:r>
      <w:r>
        <w:rPr>
          <w:rFonts w:ascii="Calibri" w:cs="Calibri" w:eastAsia="Calibri" w:hAnsi="Calibri"/>
          <w:sz w:val="22"/>
          <w:szCs w:val="22"/>
        </w:rPr>
        <w:t xml:space="preserve">Somente SNV, porque um painel de SNPs não observa inserções, deleções ou variação estrutural. Para cada SNV em posição ensaiada, compara-se o par de alelos do painel com o par referência/alternativo da variante.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Cada doença é classificada pelo ponto mais fundo que alcança. Só o último nível,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alelo patogênico ensaiado</w:t>
      </w:r>
      <w:r>
        <w:rPr>
          <w:rFonts w:ascii="Calibri" w:cs="Calibri" w:eastAsia="Calibri" w:hAnsi="Calibri"/>
          <w:sz w:val="22"/>
          <w:szCs w:val="22"/>
        </w:rPr>
        <w:t xml:space="preserve">, permite perguntar se um indivíduo carrega a variante.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Resultados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5.1 Funil do ClinVar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2500"/>
        <w:gridCol w:w="2500"/>
      </w:tblGrid>
      <w:tr>
        <w:trPr>
          <w:tblHeader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Conservador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Origem ampliada</w:t>
            </w:r>
          </w:p>
        </w:tc>
      </w:tr>
      <w:tr>
        <w:trPr>
          <w:tblHeader w:val="false"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Linhas no arquivo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9.056.310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9.056.310</w:t>
            </w:r>
          </w:p>
        </w:tc>
      </w:tr>
      <w:tr>
        <w:trPr>
          <w:tblHeader w:val="false"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build GRCh37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4.547.596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4.547.596</w:t>
            </w:r>
          </w:p>
        </w:tc>
      </w:tr>
      <w:tr>
        <w:trPr>
          <w:tblHeader w:val="false"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Origem aceita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4.210.492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4.296.489</w:t>
            </w:r>
          </w:p>
        </w:tc>
      </w:tr>
      <w:tr>
        <w:trPr>
          <w:tblHeader w:val="false"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Patogênica ou provável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339.453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378.395</w:t>
            </w:r>
          </w:p>
        </w:tc>
      </w:tr>
      <w:tr>
        <w:trPr>
          <w:tblHeader w:val="false"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Retidas (com posição, sem duplicata)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320.712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347.603</w:t>
            </w:r>
          </w:p>
        </w:tc>
      </w:tr>
      <w:tr>
        <w:trPr>
          <w:tblHeader w:val="false"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das quais SNV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178.934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190.848</w:t>
            </w:r>
          </w:p>
        </w:tc>
      </w:tr>
      <w:tr>
        <w:trPr>
          <w:tblHeader w:val="false"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Excluídas por classificação conflitante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166.485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166.586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Tabela 2. Conservador: só origem germinativa declarada. Origem ampliada: inclui também "unknown" e "not provided", que somam 38.942 patogênicas excluídas no recorte conservador.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5.2 Variantes no painel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2500"/>
        <w:gridCol w:w="2500"/>
      </w:tblGrid>
      <w:tr>
        <w:trPr>
          <w:tblHeader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SNV patogênicas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Conservador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Origem ampliada</w:t>
            </w:r>
          </w:p>
        </w:tc>
      </w:tr>
      <w:tr>
        <w:trPr>
          <w:tblHeader w:val="false"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Consideradas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178.934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190.848</w:t>
            </w:r>
          </w:p>
        </w:tc>
      </w:tr>
      <w:tr>
        <w:trPr>
          <w:tblHeader w:val="false"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 posição ensaiada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111</w:t>
            </w:r>
          </w:p>
        </w:tc>
      </w:tr>
      <w:tr>
        <w:trPr>
          <w:tblHeader w:val="false"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  alelo patogênico ensaiado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54</w:t>
            </w:r>
          </w:p>
        </w:tc>
      </w:tr>
      <w:tr>
        <w:trPr>
          <w:tblHeader w:val="false"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  posição certa, alelos diferentes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</w:tr>
      <w:tr>
        <w:trPr>
          <w:tblHeader w:val="false"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  alelo pela fita oposta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Tabela 3. "Alelos diferentes": o painel ensaia a posição, mas pergunta por outra troca de base (por exemplo, G/A quando a variante é G&gt;T), e portanto não observa a variante. Os 54 registros com alelo ensaiado correspondem a 52 variantes distintas.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5.3 Doenças alcançadas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350"/>
        <w:gridCol w:w="1350"/>
        <w:gridCol w:w="1350"/>
        <w:gridCol w:w="1350"/>
      </w:tblGrid>
      <w:tr>
        <w:trPr>
          <w:tblHeader/>
        </w:trPr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Nível mais fundo alcançado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OMIM mendeliana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Qualquer gene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</w:t>
            </w:r>
          </w:p>
        </w:tc>
      </w:tr>
      <w:tr>
        <w:trPr>
          <w:tblHeader w:val="false"/>
        </w:trPr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 variante patogênica ligada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327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848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9,3</w:t>
            </w:r>
          </w:p>
        </w:tc>
      </w:tr>
      <w:tr>
        <w:trPr>
          <w:tblHeader w:val="false"/>
        </w:trPr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Só variantes que não são SNV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3,1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258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2,8</w:t>
            </w:r>
          </w:p>
        </w:tc>
      </w:tr>
      <w:tr>
        <w:trPr>
          <w:tblHeader w:val="false"/>
        </w:trPr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SNV, mas nenhuma em posição ensaiada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5.900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91,0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7.939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86,8</w:t>
            </w:r>
          </w:p>
        </w:tc>
      </w:tr>
      <w:tr>
        <w:trPr>
          <w:tblHeader w:val="false"/>
        </w:trPr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Posição ensaiada, alelos diferentes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0,4</w:t>
            </w:r>
          </w:p>
        </w:tc>
      </w:tr>
      <w:tr>
        <w:trPr>
          <w:tblHeader w:val="false"/>
        </w:trPr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Alelo pela fita oposta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0,0</w:t>
            </w:r>
          </w:p>
        </w:tc>
      </w:tr>
      <w:tr>
        <w:trPr>
          <w:tblHeader w:val="false"/>
        </w:trPr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Alelo patogênico ensaiado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0,5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56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0,6</w:t>
            </w:r>
          </w:p>
        </w:tc>
      </w:tr>
      <w:tr>
        <w:trPr>
          <w:tblHeader w:val="false"/>
        </w:trPr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6.484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9.142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Tabela 4. Recorte de origem ampliada. No conservador, o nível final é idêntico (33 e 56) e o conjunto de doenças é o mesmo; as diferenças ficam nos níveis intermediários.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maior parte das doenças,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91%</w:t>
      </w:r>
      <w:r>
        <w:rPr>
          <w:rFonts w:ascii="Calibri" w:cs="Calibri" w:eastAsia="Calibri" w:hAnsi="Calibri"/>
          <w:sz w:val="22"/>
          <w:szCs w:val="22"/>
        </w:rPr>
        <w:t xml:space="preserve">, tem variante patogênica do tipo SNV conhecida, mas em nenhuma posição que o painel ensaia.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Verificações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número não é artefato. </w:t>
      </w:r>
      <w:r>
        <w:rPr>
          <w:rFonts w:ascii="Calibri" w:cs="Calibri" w:eastAsia="Calibri" w:hAnsi="Calibri"/>
          <w:sz w:val="22"/>
          <w:szCs w:val="22"/>
        </w:rPr>
        <w:t xml:space="preserve">O 1240K cobre 1,23 milhão das cerca de 3,1 bilhões de posições do genoma. Se as 178.934 SNV patogênicas caíssem ao acaso, o esperado seriam cerca de 71 no painel. Observaram-se 108, compatível com um painel que não foi desenhado para doença.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 verificado. </w:t>
      </w:r>
      <w:r>
        <w:rPr>
          <w:rFonts w:ascii="Calibri" w:cs="Calibri" w:eastAsia="Calibri" w:hAnsi="Calibri"/>
          <w:sz w:val="22"/>
          <w:szCs w:val="22"/>
        </w:rPr>
        <w:t xml:space="preserve">O painel foi declarado GRCh37 e a declaração foi conferida contra o próprio arquivo: 15 cromossomos têm posições que só cabem em GRCh37. Nenhum liftover foi feito; o ClinVar publica as duas montagens e usou-se a linha GRCh37.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Integridade do ClinVar. </w:t>
      </w:r>
      <w:r>
        <w:rPr>
          <w:rFonts w:ascii="Calibri" w:cs="Calibri" w:eastAsia="Calibri" w:hAnsi="Calibri"/>
          <w:sz w:val="22"/>
          <w:szCs w:val="22"/>
        </w:rPr>
        <w:t xml:space="preserve">O MD5 do arquivo baixado coincide com o publicado pelo NCBI.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Contagem independente. </w:t>
      </w:r>
      <w:r>
        <w:rPr>
          <w:rFonts w:ascii="Calibri" w:cs="Calibri" w:eastAsia="Calibri" w:hAnsi="Calibri"/>
          <w:sz w:val="22"/>
          <w:szCs w:val="22"/>
        </w:rPr>
        <w:t xml:space="preserve">As 38.535 variantes patogênicas de origem "unknown" foram contadas de duas formas (pela ferramenta e diretamente no arquivo) com o mesmo resultado.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Orientação de fita. </w:t>
      </w:r>
      <w:r>
        <w:rPr>
          <w:rFonts w:ascii="Calibri" w:cs="Calibri" w:eastAsia="Calibri" w:hAnsi="Calibri"/>
          <w:sz w:val="22"/>
          <w:szCs w:val="22"/>
        </w:rPr>
        <w:t xml:space="preserve">Nenhum casamento pela fita oposta, o que indica que os alelos do painel estão orientados na fita de referência.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Testes automatizados. </w:t>
      </w:r>
      <w:r>
        <w:rPr>
          <w:rFonts w:ascii="Calibri" w:cs="Calibri" w:eastAsia="Calibri" w:hAnsi="Calibri"/>
          <w:sz w:val="22"/>
          <w:szCs w:val="22"/>
        </w:rPr>
        <w:t xml:space="preserve">229 testes passam, incluindo casos que verificam cada nível do funil e a recusa de cruzar montagens diferentes.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Quais doenças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As 52 variantes distintas com alelo ensaiado estão em 17 genes. Um único gene, PAH (fenilcetonúria), responde por 27 delas.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62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Variantes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Condições associadas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Fenilcetonúria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Displasias ectodérmicas hipoidróticas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Deficiência de fator XI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ASPA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Doença de Canavan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EDARADD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Displasias ectodérmicas hipoidróticas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ELP1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Disautonomia familiar (neuropatia sensitivo-autonômica tipo III)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HBB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Anemia falciforme, beta-talassemias, hemoglobina 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Displasia ectodérmica ligada ao X; agenesia dentária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G6PD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Deficiência de G6PD (favismo)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LRRK2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Doença de Parkinson autossômica dominante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MAOA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Síndrome de Brunner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SERPINA1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Deficiência de alfa-1-antitripsina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SERPINC1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Deficiência de antitrombina III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SLC12A6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Agenesia do corpo caloso com neuropatia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SRD5A2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Deficiência de 5-alfa-redutase 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TNFRSF13B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Imunodeficiência comum variável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Tabela 5. Genes com ao menos uma variante patogênica cujo alelo é ensaiado pelo 1240K.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Vários desses genes (HBB, G6PD, EDAR, SERPINA1) são alvos clássicos de estudos de seleção natural, o que explica sua presença num painel de ancestralidade.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Duas ressalvas para a leitura das 33 e 56 doenças: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Há duplicação entre catálogos. </w:t>
      </w:r>
      <w:r>
        <w:rPr>
          <w:rFonts w:ascii="Calibri" w:cs="Calibri" w:eastAsia="Calibri" w:hAnsi="Calibri"/>
          <w:sz w:val="22"/>
          <w:szCs w:val="22"/>
        </w:rPr>
        <w:t xml:space="preserve">A mesma condição aparece no OMIM e no Orphanet (por exemplo, anemia falciforme como OMIM:603903 e ORPHA:232). Por isso 17 genes é uma medida mais honesta do alcance do que 56 doenças.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Nem toda entrada é alvo monogênico. </w:t>
      </w:r>
      <w:r>
        <w:rPr>
          <w:rFonts w:ascii="Calibri" w:cs="Calibri" w:eastAsia="Calibri" w:hAnsi="Calibri"/>
          <w:sz w:val="22"/>
          <w:szCs w:val="22"/>
        </w:rPr>
        <w:t xml:space="preserve">A lista inclui rótulos amplos como diabetes melito não insulinodependente, Parkinson de início tardio, DPOC e meduloblastoma, aos quais algum laboratório ligou uma variante patogênica. A lista precisa de curadoria manual antes de ser usada como conjunto de alvos.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Limitações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Mede se a pergunta pode ser feita com o painel. Não mede frequência, penetrância, nem se algum indivíduo carrega a variante.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Posição ensaiada não garante genótipo observado: cobertura, dano pós-morte e filtros de qualidade decidem isso por amostra.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Variantes do ClinVar sem vínculo com OMIM ou Orphanet (76.588 no recorte conservador) não contam para nenhuma doença.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Ligação doença–fenótipo só por anotação direta na HPO, sem expansão pela hierarquia da ontologia.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ClinVar e genes_to_disease não declaram versão; a proveniência é garantida pelos hashes registrados.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Implicação e pergunta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resultado indica que, se o projeto partir dos genótipos do 1240K, o modelo terá poucas dezenas de doenças possíveis, e a maior parte da informação patogênica simplesmente não está nos dados.</w:t>
      </w:r>
    </w:p>
    <w:p>
      <w:pPr>
        <w:pBdr>
          <w:left w:val="single" w:color="2E5597" w:sz="18" w:space="8"/>
        </w:pBdr>
        <w:shd w:fill="F2F2F2" w:color="auto" w:val="clear"/>
        <w:spacing w:after="200" w:before="120" w:line="276"/>
        <w:ind w:left="200" w:righ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Pergunta para discussão: </w:t>
      </w:r>
      <w:r>
        <w:rPr>
          <w:rFonts w:ascii="Calibri" w:cs="Calibri" w:eastAsia="Calibri" w:hAnsi="Calibri"/>
          <w:sz w:val="22"/>
          <w:szCs w:val="22"/>
        </w:rPr>
        <w:t xml:space="preserve">o AADR distribui os genótipos já reduzidos às posições do 1240K, mesmo para indivíduos sequenciados por genoma inteiro (shotgun). As leituras brutas desses indivíduos estão depositadas em repositórios públicos como o ENA. Vale trabalhar a partir delas para ter acesso às posições patogênicas, considerando que a cobertura típica em DNA antigo é baixa e que chamar variantes raras nessas condições é difícil?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Uma alternativa, ou um primeiro passo, é delimitar o escopo aos 17 genes alcançáveis, que incluem doenças com relevância populacional conhecida, como hemoglobinopatias, deficiência de G6PD e fenilcetonúria.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Página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Viabilidade do painel AADR 1240K para doenças monogênicas</dc:title>
  <dc:creator>Odimar Sousa Falcão Filho</dc:creator>
  <cp:lastModifiedBy>Un-named</cp:lastModifiedBy>
  <cp:revision>1</cp:revision>
  <dcterms:created xsi:type="dcterms:W3CDTF">2026-09-21T13:17:48.550Z</dcterms:created>
  <dcterms:modified xsi:type="dcterms:W3CDTF">2026-09-21T13:17:48.550Z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