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daad32d469414d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26.10.2023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8:00-8:20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
Радюк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415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Радиоэлектронные устройства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Конструирование РЭС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экономики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БРТА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Селиванов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БРТА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Даниленко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экономики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Мудрогелова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8:00-8:20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
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Комяк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
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
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ОИГ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ОСГН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Грунтович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
Гордеюк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Тестирование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Леонова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Дерман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
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Тестирование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Леонова
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Лобастов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
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
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
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8:00-8:20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Нырцов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3К9691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Материалы и компоненты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Шульгов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
Щербакова-Шаблова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Физическая 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Курьянович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Информационный час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ИКГ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
Радюк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
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Царегородцева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Баланович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Аналоговая и цифровая схемотехника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Бенедиктович
Тарасевич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
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микроэлектроники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Бенедиктович
Тарасевич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
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микроэлектроники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Бенедиктович
Тарасевич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
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Разработка приложений для МУ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
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заочной/дистанционной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26.10.2023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 в профессиональной деятельности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 в профессиональной деятельности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