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Documents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Financial Proposal Document (FPD)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BTK-DOC-06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Submitted - for sign-off at M3 (05 Nov 2026)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(Project Manager), Lobna Zanaty (Accounting Consultant)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Fahmy, Lobna Zanaty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Summary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163"/>
        <w:gridCol w:w="4475"/>
      </w:tblGrid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services (excl. VAT)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981,750.00 EGP</w:t>
            </w:r>
          </w:p>
        </w:tc>
      </w:tr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14% on services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137,445.00 EGP</w:t>
            </w:r>
          </w:p>
        </w:tc>
      </w:tr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services (incl. VAT)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1,119,195.00 EGP</w:t>
            </w:r>
          </w:p>
        </w:tc>
      </w:tr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Odoo subscription - year 1 (paid to Odoo)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241,200.00 EGP (US$ 4,824.00)</w:t>
            </w:r>
          </w:p>
        </w:tc>
      </w:tr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year-1 investment (excl. VAT)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1,222,950.00 EGP</w:t>
            </w:r>
          </w:p>
        </w:tc>
      </w:tr>
      <w:tr>
        <w:trPr>
          <w:cantSplit/>
        </w:trPr>
        <w:tc>
          <w:tcPr>
            <w:tcW w:type="dxa" w:w="5163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Yearly subscription from year 2 (estimate)</w:t>
            </w:r>
          </w:p>
        </w:tc>
        <w:tc>
          <w:tcPr>
            <w:tcW w:type="dxa" w:w="44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295,200.00 EGP (US$ 5,904.00) at list price</w:t>
            </w:r>
          </w:p>
        </w:tc>
      </w:tr>
    </w:tbl>
    <w:p>
      <w:pPr>
        <w:spacing w:after="160"/>
      </w:pPr>
    </w:p>
    <w:p>
      <w:pPr>
        <w:pBdr>
          <w:left w:val="single" w:color="1F4E5F" w:sz="18" w:space="6"/>
        </w:pBdr>
        <w:shd w:fill="F3F6F7" w:color="auto" w:val="clear"/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Fictional project figures for the DEPI graduation project. Day rates and the exchange rate are assumptions. Final financial terms must be reviewed by the client's finance and legal advisors.</w:t>
      </w:r>
    </w:p>
    <w:p>
      <w:pPr>
        <w:pStyle w:val="Heading1"/>
      </w:pPr>
      <w:r>
        <w:rPr>
          <w:rFonts w:ascii="Arial" w:cs="Arial" w:eastAsia="Arial" w:hAnsi="Arial"/>
        </w:rPr>
        <w:t xml:space="preserve">2. Pricing Assumptions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91"/>
        <w:gridCol w:w="2168"/>
        <w:gridCol w:w="4579"/>
      </w:tblGrid>
      <w:tr>
        <w:trPr>
          <w:tblHeader/>
        </w:trPr>
        <w:tc>
          <w:tcPr>
            <w:tcW w:type="dxa" w:w="289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7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day rate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7,500 EGP</w:t>
            </w:r>
          </w:p>
        </w:tc>
        <w:tc>
          <w:tcPr>
            <w:tcW w:type="dxa" w:w="45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 - Egyptian market, Odoo partner</w:t>
            </w:r>
          </w:p>
        </w:tc>
      </w:tr>
      <w:tr>
        <w:trPr>
          <w:cantSplit/>
        </w:trPr>
        <w:tc>
          <w:tcPr>
            <w:tcW w:type="dxa" w:w="289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consultant day rate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 EGP</w:t>
            </w:r>
          </w:p>
        </w:tc>
        <w:tc>
          <w:tcPr>
            <w:tcW w:type="dxa" w:w="457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consultant day rate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6,500 EGP</w:t>
            </w:r>
          </w:p>
        </w:tc>
        <w:tc>
          <w:tcPr>
            <w:tcW w:type="dxa" w:w="45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Assumption (Studio, reports)</w:t>
            </w:r>
          </w:p>
        </w:tc>
      </w:tr>
      <w:tr>
        <w:trPr>
          <w:cantSplit/>
        </w:trPr>
        <w:tc>
          <w:tcPr>
            <w:tcW w:type="dxa" w:w="289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contingency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 of services</w:t>
            </w:r>
          </w:p>
        </w:tc>
        <w:tc>
          <w:tcPr>
            <w:tcW w:type="dxa" w:w="457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 estimation risk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VAT on services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14%</w:t>
            </w:r>
          </w:p>
        </w:tc>
        <w:tc>
          <w:tcPr>
            <w:tcW w:type="dxa" w:w="45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be confirmed by tax specialist</w:t>
            </w:r>
          </w:p>
        </w:tc>
      </w:tr>
      <w:tr>
        <w:trPr>
          <w:cantSplit/>
        </w:trPr>
        <w:tc>
          <w:tcPr>
            <w:tcW w:type="dxa" w:w="289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/ EGP rate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50.00</w:t>
            </w:r>
          </w:p>
        </w:tc>
        <w:tc>
          <w:tcPr>
            <w:tcW w:type="dxa" w:w="457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assumption; Odoo bills in USD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Custom plan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US$ 13.40 / user / month</w:t>
            </w:r>
          </w:p>
        </w:tc>
        <w:tc>
          <w:tcPr>
            <w:tcW w:type="dxa" w:w="45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odoo.com/pricing on 25 Oct 2026; list price US$ 16.40 shown struck through with a footnote</w:t>
            </w:r>
          </w:p>
        </w:tc>
      </w:tr>
      <w:tr>
        <w:trPr>
          <w:cantSplit/>
        </w:trPr>
        <w:tc>
          <w:tcPr>
            <w:tcW w:type="dxa" w:w="289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57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Users per Department sheet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Implementation Services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482"/>
        <w:gridCol w:w="1568"/>
        <w:gridCol w:w="784"/>
        <w:gridCol w:w="1232"/>
        <w:gridCol w:w="1572"/>
      </w:tblGrid>
      <w:tr>
        <w:trPr>
          <w:tblHeader/>
        </w:trPr>
        <w:tc>
          <w:tcPr>
            <w:tcW w:type="dxa" w:w="448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5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23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(EGP)</w:t>
            </w:r>
          </w:p>
        </w:tc>
        <w:tc>
          <w:tcPr>
            <w:tcW w:type="dxa" w:w="157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(EGP)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management (planning, steering, reporting, change control)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7,500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165,000.00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Discovery &amp; analysis (workshops, BRD, GAWF, RTM)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Solution design (SSD, TPD)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Accounting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Inventory &amp; landed costs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Manufacturing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Sales &amp; CRM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Point of Sale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Purchase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- HR (Employees, Time Off, Attendances)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 (27 import files, validation, cutover loads)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Customizations (11 items - RTM register)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15.0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6,500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97,500.00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&amp; UAT support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user guides (TD, UDP)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Cutover &amp; go-live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24,000.00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(4 weeks after go-live)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</w:t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</w:t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48,000.00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142.0</w:t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892,500.00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contingency (10%)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89,250.00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total (excl. VAT)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981,750.00</w:t>
            </w:r>
          </w:p>
        </w:tc>
      </w:tr>
      <w:tr>
        <w:trPr>
          <w:cantSplit/>
        </w:trPr>
        <w:tc>
          <w:tcPr>
            <w:tcW w:type="dxa" w:w="44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VAT (14%)</w:t>
            </w:r>
          </w:p>
        </w:tc>
        <w:tc>
          <w:tcPr>
            <w:tcW w:type="dxa" w:w="15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3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137,445.00</w:t>
            </w:r>
          </w:p>
        </w:tc>
      </w:tr>
      <w:tr>
        <w:trPr>
          <w:cantSplit/>
        </w:trPr>
        <w:tc>
          <w:tcPr>
            <w:tcW w:type="dxa" w:w="44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Services total (incl. VAT)</w:t>
            </w:r>
          </w:p>
        </w:tc>
        <w:tc>
          <w:tcPr>
            <w:tcW w:type="dxa" w:w="15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1,119,195.00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142.0 consultant days: Project Manager 22, functional 105, technical 15.0 (customization effort from the RTM register).</w:t>
      </w:r>
    </w:p>
    <w:p>
      <w:pPr>
        <w:pStyle w:val="Heading1"/>
      </w:pPr>
      <w:r>
        <w:rPr>
          <w:rFonts w:ascii="Arial" w:cs="Arial" w:eastAsia="Arial" w:hAnsi="Arial"/>
        </w:rPr>
        <w:t xml:space="preserve">4. Odoo Subscription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514"/>
        <w:gridCol w:w="1257"/>
        <w:gridCol w:w="733"/>
        <w:gridCol w:w="1152"/>
        <w:gridCol w:w="1257"/>
        <w:gridCol w:w="2725"/>
      </w:tblGrid>
      <w:tr>
        <w:trPr>
          <w:tblHeader/>
        </w:trPr>
        <w:tc>
          <w:tcPr>
            <w:tcW w:type="dxa" w:w="251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25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(US$/user/month)</w:t>
            </w:r>
          </w:p>
        </w:tc>
        <w:tc>
          <w:tcPr>
            <w:tcW w:type="dxa" w:w="73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15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(US$)</w:t>
            </w:r>
          </w:p>
        </w:tc>
        <w:tc>
          <w:tcPr>
            <w:tcW w:type="dxa" w:w="125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(EGP)</w:t>
            </w:r>
          </w:p>
        </w:tc>
        <w:tc>
          <w:tcPr>
            <w:tcW w:type="dxa" w:w="272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- offer price (recommended)</w:t>
            </w:r>
          </w:p>
        </w:tc>
        <w:tc>
          <w:tcPr>
            <w:tcW w:type="dxa" w:w="12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13.40</w:t>
            </w:r>
          </w:p>
        </w:tc>
        <w:tc>
          <w:tcPr>
            <w:tcW w:type="dxa" w:w="7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4,824.00</w:t>
            </w:r>
          </w:p>
        </w:tc>
        <w:tc>
          <w:tcPr>
            <w:tcW w:type="dxa" w:w="12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241,200.00</w:t>
            </w:r>
          </w:p>
        </w:tc>
        <w:tc>
          <w:tcPr>
            <w:tcW w:type="dxa" w:w="27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Includes Studio needed for 11 customizations</w:t>
            </w:r>
          </w:p>
        </w:tc>
      </w:tr>
      <w:tr>
        <w:trPr>
          <w:cantSplit/>
        </w:trPr>
        <w:tc>
          <w:tcPr>
            <w:tcW w:type="dxa" w:w="25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- list price (renewal estimate)</w:t>
            </w:r>
          </w:p>
        </w:tc>
        <w:tc>
          <w:tcPr>
            <w:tcW w:type="dxa" w:w="125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16.40</w:t>
            </w:r>
          </w:p>
        </w:tc>
        <w:tc>
          <w:tcPr>
            <w:tcW w:type="dxa" w:w="73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5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5,904.00</w:t>
            </w:r>
          </w:p>
        </w:tc>
        <w:tc>
          <w:tcPr>
            <w:tcW w:type="dxa" w:w="125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295,200.00</w:t>
            </w:r>
          </w:p>
        </w:tc>
        <w:tc>
          <w:tcPr>
            <w:tcW w:type="dxa" w:w="272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to budget year 2 onwards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(comparison only)</w:t>
            </w:r>
          </w:p>
        </w:tc>
        <w:tc>
          <w:tcPr>
            <w:tcW w:type="dxa" w:w="12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7.25</w:t>
            </w:r>
          </w:p>
        </w:tc>
        <w:tc>
          <w:tcPr>
            <w:tcW w:type="dxa" w:w="73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2,610.00</w:t>
            </w:r>
          </w:p>
        </w:tc>
        <w:tc>
          <w:tcPr>
            <w:tcW w:type="dxa" w:w="12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130,500.00</w:t>
            </w:r>
          </w:p>
        </w:tc>
        <w:tc>
          <w:tcPr>
            <w:tcW w:type="dxa" w:w="272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Studio - customizations not possible on Odoo Online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Subscription is contracted and paid by Beitak Smart directly to Odoo; taxes as invoiced by Odoo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struck-through prices and footnote on the pricing page mean the offer price has conditions (e.g. duration); confirm before signing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Light User (US$ 2.90 / user / month) is not included in the baseline. Its conditions (which apps a light user can use) must be confirmed on odoo.com. All 30 users post transactions in core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Saving option: showroom cashier and sales associate can sell with POS employee login under the supervisor's session, removing 2 paid users if the client accepts shared-device access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Payment Milestones (services)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569"/>
        <w:gridCol w:w="1546"/>
        <w:gridCol w:w="713"/>
        <w:gridCol w:w="1903"/>
        <w:gridCol w:w="1907"/>
      </w:tblGrid>
      <w:tr>
        <w:trPr>
          <w:tblHeader/>
        </w:trPr>
        <w:tc>
          <w:tcPr>
            <w:tcW w:type="dxa" w:w="356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4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date</w:t>
            </w:r>
          </w:p>
        </w:tc>
        <w:tc>
          <w:tcPr>
            <w:tcW w:type="dxa" w:w="71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90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excl. VAT (EGP)</w:t>
            </w:r>
          </w:p>
        </w:tc>
        <w:tc>
          <w:tcPr>
            <w:tcW w:type="dxa" w:w="190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incl. VAT (EGP)</w:t>
            </w:r>
          </w:p>
        </w:tc>
      </w:tr>
      <w:tr>
        <w:trPr>
          <w:cantSplit/>
        </w:trPr>
        <w:tc>
          <w:tcPr>
            <w:tcW w:type="dxa" w:w="35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 Project kick-off</w:t>
            </w:r>
          </w:p>
        </w:tc>
        <w:tc>
          <w:tcPr>
            <w:tcW w:type="dxa" w:w="15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7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196,350.00</w:t>
            </w:r>
          </w:p>
        </w:tc>
        <w:tc>
          <w:tcPr>
            <w:tcW w:type="dxa" w:w="19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223,839.00</w:t>
            </w:r>
          </w:p>
        </w:tc>
      </w:tr>
      <w:tr>
        <w:trPr>
          <w:cantSplit/>
        </w:trPr>
        <w:tc>
          <w:tcPr>
            <w:tcW w:type="dxa" w:w="356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 BRD sign-off</w:t>
            </w:r>
          </w:p>
        </w:tc>
        <w:tc>
          <w:tcPr>
            <w:tcW w:type="dxa" w:w="15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Oct 2026</w:t>
            </w:r>
          </w:p>
        </w:tc>
        <w:tc>
          <w:tcPr>
            <w:tcW w:type="dxa" w:w="7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9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147,262.50</w:t>
            </w:r>
          </w:p>
        </w:tc>
        <w:tc>
          <w:tcPr>
            <w:tcW w:type="dxa" w:w="19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167,879.25</w:t>
            </w:r>
          </w:p>
        </w:tc>
      </w:tr>
      <w:tr>
        <w:trPr>
          <w:cantSplit/>
        </w:trPr>
        <w:tc>
          <w:tcPr>
            <w:tcW w:type="dxa" w:w="35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 Solution &amp; proposals sign-off</w:t>
            </w:r>
          </w:p>
        </w:tc>
        <w:tc>
          <w:tcPr>
            <w:tcW w:type="dxa" w:w="15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 Nov 2026</w:t>
            </w:r>
          </w:p>
        </w:tc>
        <w:tc>
          <w:tcPr>
            <w:tcW w:type="dxa" w:w="7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147,262.50</w:t>
            </w:r>
          </w:p>
        </w:tc>
        <w:tc>
          <w:tcPr>
            <w:tcW w:type="dxa" w:w="19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167,879.25</w:t>
            </w:r>
          </w:p>
        </w:tc>
      </w:tr>
      <w:tr>
        <w:trPr>
          <w:cantSplit/>
        </w:trPr>
        <w:tc>
          <w:tcPr>
            <w:tcW w:type="dxa" w:w="356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 Configuration &amp; data migration complete</w:t>
            </w:r>
          </w:p>
        </w:tc>
        <w:tc>
          <w:tcPr>
            <w:tcW w:type="dxa" w:w="15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 Dec 2026</w:t>
            </w:r>
          </w:p>
        </w:tc>
        <w:tc>
          <w:tcPr>
            <w:tcW w:type="dxa" w:w="7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9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196,350.00</w:t>
            </w:r>
          </w:p>
        </w:tc>
        <w:tc>
          <w:tcPr>
            <w:tcW w:type="dxa" w:w="19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223,839.00</w:t>
            </w:r>
          </w:p>
        </w:tc>
      </w:tr>
      <w:tr>
        <w:trPr>
          <w:cantSplit/>
        </w:trPr>
        <w:tc>
          <w:tcPr>
            <w:tcW w:type="dxa" w:w="35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 UAT sign-off</w:t>
            </w:r>
          </w:p>
        </w:tc>
        <w:tc>
          <w:tcPr>
            <w:tcW w:type="dxa" w:w="15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  <w:tc>
          <w:tcPr>
            <w:tcW w:type="dxa" w:w="7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147,262.50</w:t>
            </w:r>
          </w:p>
        </w:tc>
        <w:tc>
          <w:tcPr>
            <w:tcW w:type="dxa" w:w="19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167,879.25</w:t>
            </w:r>
          </w:p>
        </w:tc>
      </w:tr>
      <w:tr>
        <w:trPr>
          <w:cantSplit/>
        </w:trPr>
        <w:tc>
          <w:tcPr>
            <w:tcW w:type="dxa" w:w="356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M6 Go-live</w:t>
            </w:r>
          </w:p>
        </w:tc>
        <w:tc>
          <w:tcPr>
            <w:tcW w:type="dxa" w:w="15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</w:t>
            </w:r>
          </w:p>
        </w:tc>
        <w:tc>
          <w:tcPr>
            <w:tcW w:type="dxa" w:w="7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9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98,175.00</w:t>
            </w:r>
          </w:p>
        </w:tc>
        <w:tc>
          <w:tcPr>
            <w:tcW w:type="dxa" w:w="19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111,919.50</w:t>
            </w:r>
          </w:p>
        </w:tc>
      </w:tr>
      <w:tr>
        <w:trPr>
          <w:cantSplit/>
        </w:trPr>
        <w:tc>
          <w:tcPr>
            <w:tcW w:type="dxa" w:w="356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M7 Hypercare closure</w:t>
            </w:r>
          </w:p>
        </w:tc>
        <w:tc>
          <w:tcPr>
            <w:tcW w:type="dxa" w:w="15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Jan 2027</w:t>
            </w:r>
          </w:p>
        </w:tc>
        <w:tc>
          <w:tcPr>
            <w:tcW w:type="dxa" w:w="7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90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49,087.50</w:t>
            </w:r>
          </w:p>
        </w:tc>
        <w:tc>
          <w:tcPr>
            <w:tcW w:type="dxa" w:w="19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55,959.75</w:t>
            </w:r>
          </w:p>
        </w:tc>
      </w:tr>
      <w:tr>
        <w:trPr>
          <w:cantSplit/>
        </w:trPr>
        <w:tc>
          <w:tcPr>
            <w:tcW w:type="dxa" w:w="356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54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90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981,750.00</w:t>
            </w:r>
          </w:p>
        </w:tc>
        <w:tc>
          <w:tcPr>
            <w:tcW w:type="dxa" w:w="19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1,119,195.00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Invoices are issued on each milestone sign-off and paid within 15 days.</w:t>
      </w:r>
    </w:p>
    <w:p>
      <w:pPr>
        <w:pStyle w:val="Heading1"/>
      </w:pPr>
      <w:r>
        <w:rPr>
          <w:rFonts w:ascii="Arial" w:cs="Arial" w:eastAsia="Arial" w:hAnsi="Arial"/>
        </w:rPr>
        <w:t xml:space="preserve">6. Optional Services (not included)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614"/>
        <w:gridCol w:w="3614"/>
        <w:gridCol w:w="2410"/>
      </w:tblGrid>
      <w:tr>
        <w:trPr>
          <w:tblHeader/>
        </w:trPr>
        <w:tc>
          <w:tcPr>
            <w:tcW w:type="dxa" w:w="361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1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4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Indicative price (excl. VAT)</w:t>
            </w:r>
          </w:p>
        </w:tc>
      </w:tr>
      <w:tr>
        <w:trPr>
          <w:cantSplit/>
        </w:trPr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support after hypercare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functional days per month, 6-month minimum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24,000 EGP / month</w:t>
            </w:r>
          </w:p>
        </w:tc>
      </w:tr>
      <w:tr>
        <w:trPr>
          <w:cantSplit/>
        </w:trPr>
        <w:tc>
          <w:tcPr>
            <w:tcW w:type="dxa" w:w="36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requests</w:t>
            </w:r>
          </w:p>
        </w:tc>
        <w:tc>
          <w:tcPr>
            <w:tcW w:type="dxa" w:w="36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approved estimate</w:t>
            </w:r>
          </w:p>
        </w:tc>
        <w:tc>
          <w:tcPr>
            <w:tcW w:type="dxa" w:w="2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 rates in section 2</w:t>
            </w:r>
          </w:p>
        </w:tc>
      </w:tr>
      <w:tr>
        <w:trPr>
          <w:cantSplit/>
        </w:trPr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training sessions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half day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3,000 EGP / session</w:t>
            </w:r>
          </w:p>
        </w:tc>
      </w:tr>
      <w:tr>
        <w:trPr>
          <w:cantSplit/>
        </w:trPr>
        <w:tc>
          <w:tcPr>
            <w:tcW w:type="dxa" w:w="36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(e-invoice, repairs, WhatsApp, barcode app)</w:t>
            </w:r>
          </w:p>
        </w:tc>
        <w:tc>
          <w:tcPr>
            <w:tcW w:type="dxa" w:w="361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 proposal</w:t>
            </w:r>
          </w:p>
        </w:tc>
        <w:tc>
          <w:tcPr>
            <w:tcW w:type="dxa" w:w="24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Quoted after phase 1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Terms and Conditions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Prices in EGP, excluding VAT. Offer valid until 28 Nov 2026.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Fixed price for the scope in the BRD, RTM and SSD; anything else follows the change-request process.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Beitak Smart provides key users, cleansed data and timely approvals as listed in the TPD; delays may move milestones.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Defects in delivered configuration found during hypercare are fixed at no extra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Customizations and documents become the property of Beitak Smart after final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Both parties keep each other's information confidential.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The Odoo subscription is a separate contract between Beitak Smart and Odoo; USD prices are converted at the rate on the invoice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This proposal is fictional project material and is not legal or tax advice.</w:t>
      </w:r>
    </w:p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 - Beitak Smart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- Khomasi ERP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Financial Proposal Document (FPD)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Proposal Document (FPD)</dc:title>
  <dc:creator>Implementation Team</dc:creator>
  <cp:lastModifiedBy>Un-named</cp:lastModifiedBy>
  <cp:revision>1</cp:revision>
  <dcterms:created xsi:type="dcterms:W3CDTF">2026-10-25T10:43:48.045Z</dcterms:created>
  <dcterms:modified xsi:type="dcterms:W3CDTF">2026-10-25T10:43:48.045Z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