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C8102E"/>
          </w:tcPr>
          <w:p>
            <w:r>
              <w:rPr>
                <w:b/>
                <w:color w:val="FFFFFF"/>
                <w:sz w:val="68"/>
              </w:rPr>
              <w:t>REDLINE</w:t>
            </w:r>
          </w:p>
          <w:p>
            <w:r>
              <w:rPr>
                <w:color w:val="FFFFFF"/>
                <w:sz w:val="28"/>
              </w:rPr>
              <w:t>Medical Supplies &amp; Equipment Trading</w:t>
            </w:r>
          </w:p>
          <w:p>
            <w:pPr>
              <w:bidi/>
              <w:jc w:val="right"/>
            </w:pPr>
            <w:r>
              <w:rPr>
                <w:color w:val="FFFFFF"/>
                <w:sz w:val="26"/>
                <w:rtl/>
                <w:rFonts w:cs="Arial" w:ascii="Arial" w:hAnsi="Arial"/>
              </w:rPr>
              <w:t>ريد لاين للتجارة في المستلزمات والمعدات الطبية</w:t>
            </w:r>
          </w:p>
        </w:tc>
      </w:tr>
    </w:tbl>
    <w:p/>
    <w:p/>
    <w:p/>
    <w:p/>
    <w:p/>
    <w:p>
      <w:r>
        <w:rPr>
          <w:b/>
          <w:color w:val="1F2937"/>
          <w:sz w:val="56"/>
        </w:rPr>
        <w:t>Basic Database Configuration</w:t>
      </w:r>
    </w:p>
    <w:p>
      <w:pPr>
        <w:bidi/>
        <w:jc w:val="right"/>
      </w:pPr>
      <w:r>
        <w:rPr>
          <w:color w:val="C8102E"/>
          <w:sz w:val="40"/>
          <w:rtl/>
          <w:rFonts w:cs="Arial" w:ascii="Arial" w:hAnsi="Arial"/>
        </w:rPr>
        <w:t>إعداد قاعدة البيانات الأساسية</w:t>
      </w:r>
    </w:p>
    <w:p>
      <w:r>
        <w:rPr>
          <w:color w:val="6B7280"/>
          <w:sz w:val="26"/>
        </w:rPr>
        <w:t>Initial Odoo setup guide - company, localization, structure, users, settings and procedures</w:t>
      </w:r>
    </w:p>
    <w:p/>
    <w:p/>
    <w:p/>
    <w:p/>
    <w:tbl>
      <w:tblPr>
        <w:tblStyle w:val="TableGrid"/>
        <w:tblW w:type="auto" w:w="0"/>
        <w:tblLook w:firstColumn="1" w:firstRow="1" w:lastColumn="0" w:lastRow="0" w:noHBand="0" w:noVBand="1" w:val="04A0"/>
      </w:tblPr>
      <w:tblGrid>
        <w:gridCol w:w="2551"/>
        <w:gridCol w:w="4819"/>
      </w:tblGrid>
      <w:tr>
        <w:tc>
          <w:tcPr>
            <w:tcW w:type="dxa" w:w="2551"/>
            <w:shd w:val="clear" w:color="auto" w:fill="F3F4F6"/>
          </w:tcPr>
          <w:p>
            <w:r>
              <w:rPr>
                <w:b/>
                <w:sz w:val="19"/>
              </w:rPr>
              <w:t>Project</w:t>
            </w:r>
          </w:p>
        </w:tc>
        <w:tc>
          <w:tcPr>
            <w:tcW w:type="dxa" w:w="7087"/>
          </w:tcPr>
          <w:p>
            <w:r>
              <w:rPr>
                <w:sz w:val="19"/>
              </w:rPr>
              <w:t>Odoo ERP Implementation - Graduation Project (simulation)</w:t>
            </w:r>
          </w:p>
        </w:tc>
      </w:tr>
      <w:tr>
        <w:tc>
          <w:tcPr>
            <w:tcW w:type="dxa" w:w="2551"/>
            <w:shd w:val="clear" w:color="auto" w:fill="F3F4F6"/>
          </w:tcPr>
          <w:p>
            <w:r>
              <w:rPr>
                <w:b/>
                <w:sz w:val="19"/>
              </w:rPr>
              <w:t>Document code</w:t>
            </w:r>
          </w:p>
        </w:tc>
        <w:tc>
          <w:tcPr>
            <w:tcW w:type="dxa" w:w="7087"/>
          </w:tcPr>
          <w:p>
            <w:r>
              <w:rPr>
                <w:sz w:val="19"/>
              </w:rPr>
              <w:t>RL-BDC-001</w:t>
            </w:r>
          </w:p>
        </w:tc>
      </w:tr>
      <w:tr>
        <w:tc>
          <w:tcPr>
            <w:tcW w:type="dxa" w:w="2551"/>
            <w:shd w:val="clear" w:color="auto" w:fill="F3F4F6"/>
          </w:tcPr>
          <w:p>
            <w:r>
              <w:rPr>
                <w:b/>
                <w:sz w:val="19"/>
              </w:rPr>
              <w:t>Version</w:t>
            </w:r>
          </w:p>
        </w:tc>
        <w:tc>
          <w:tcPr>
            <w:tcW w:type="dxa" w:w="7087"/>
          </w:tcPr>
          <w:p>
            <w:r>
              <w:rPr>
                <w:sz w:val="19"/>
              </w:rPr>
              <w:t>1.0 (final)</w:t>
            </w:r>
          </w:p>
        </w:tc>
      </w:tr>
      <w:tr>
        <w:tc>
          <w:tcPr>
            <w:tcW w:type="dxa" w:w="2551"/>
            <w:shd w:val="clear" w:color="auto" w:fill="F3F4F6"/>
          </w:tcPr>
          <w:p>
            <w:r>
              <w:rPr>
                <w:b/>
                <w:sz w:val="19"/>
              </w:rPr>
              <w:t>Preparation date</w:t>
            </w:r>
          </w:p>
        </w:tc>
        <w:tc>
          <w:tcPr>
            <w:tcW w:type="dxa" w:w="7087"/>
          </w:tcPr>
          <w:p>
            <w:r>
              <w:rPr>
                <w:sz w:val="19"/>
              </w:rPr>
              <w:t>25 October 2026</w:t>
            </w:r>
          </w:p>
        </w:tc>
      </w:tr>
      <w:tr>
        <w:tc>
          <w:tcPr>
            <w:tcW w:type="dxa" w:w="2551"/>
            <w:shd w:val="clear" w:color="auto" w:fill="F3F4F6"/>
          </w:tcPr>
          <w:p>
            <w:r>
              <w:rPr>
                <w:b/>
                <w:sz w:val="19"/>
              </w:rPr>
              <w:t>Business reporting period</w:t>
            </w:r>
          </w:p>
        </w:tc>
        <w:tc>
          <w:tcPr>
            <w:tcW w:type="dxa" w:w="7087"/>
          </w:tcPr>
          <w:p>
            <w:r>
              <w:rPr>
                <w:sz w:val="19"/>
              </w:rPr>
              <w:t>1 May 2026 – 30 September 2026</w:t>
            </w:r>
          </w:p>
        </w:tc>
      </w:tr>
      <w:tr>
        <w:tc>
          <w:tcPr>
            <w:tcW w:type="dxa" w:w="2551"/>
            <w:shd w:val="clear" w:color="auto" w:fill="F3F4F6"/>
          </w:tcPr>
          <w:p>
            <w:r>
              <w:rPr>
                <w:b/>
                <w:sz w:val="19"/>
              </w:rPr>
              <w:t>Target platform</w:t>
            </w:r>
          </w:p>
        </w:tc>
        <w:tc>
          <w:tcPr>
            <w:tcW w:type="dxa" w:w="7087"/>
          </w:tcPr>
          <w:p>
            <w:r>
              <w:rPr>
                <w:sz w:val="19"/>
              </w:rPr>
              <w:t>Odoo 19.0 (Enterprise edition assumed)</w:t>
            </w:r>
          </w:p>
        </w:tc>
      </w:tr>
      <w:tr>
        <w:tc>
          <w:tcPr>
            <w:tcW w:type="dxa" w:w="2551"/>
            <w:shd w:val="clear" w:color="auto" w:fill="F3F4F6"/>
          </w:tcPr>
          <w:p>
            <w:r>
              <w:rPr>
                <w:b/>
                <w:sz w:val="19"/>
              </w:rPr>
              <w:t>Prepared by</w:t>
            </w:r>
          </w:p>
        </w:tc>
        <w:tc>
          <w:tcPr>
            <w:tcW w:type="dxa" w:w="7087"/>
          </w:tcPr>
          <w:p>
            <w:r>
              <w:rPr>
                <w:sz w:val="19"/>
              </w:rPr>
              <w:t>Mohamed Mahmoud Abdel Bary, Mohamed Essam El-Din Youssef, Ahmed Mahmoud Mohamed, Fathy Adel Fathy, Omnia Haitham</w:t>
            </w:r>
          </w:p>
        </w:tc>
      </w:tr>
      <w:tr>
        <w:tc>
          <w:tcPr>
            <w:tcW w:type="dxa" w:w="2551"/>
            <w:shd w:val="clear" w:color="auto" w:fill="F3F4F6"/>
          </w:tcPr>
          <w:p>
            <w:r>
              <w:rPr>
                <w:b/>
                <w:sz w:val="19"/>
              </w:rPr>
              <w:t>Currency</w:t>
            </w:r>
          </w:p>
        </w:tc>
        <w:tc>
          <w:tcPr>
            <w:tcW w:type="dxa" w:w="7087"/>
          </w:tcPr>
          <w:p>
            <w:r>
              <w:rPr>
                <w:sz w:val="19"/>
              </w:rPr>
              <w:t>EGP - Egyptian Pound</w:t>
            </w:r>
          </w:p>
        </w:tc>
      </w:tr>
    </w:tbl>
    <w:p>
      <w:pPr>
        <w:spacing w:before="280"/>
      </w:pPr>
      <w:r>
        <w:rPr>
          <w:i/>
          <w:color w:val="6B7280"/>
          <w:sz w:val="17"/>
        </w:rPr>
        <w:t>Disclaimer: all companies, partners, bank details and transactions in this project are fictional or illustrative simulation data. Nothing in this document claims that the configuration has been installed, imported or tested on a live Odoo server.</w:t>
      </w:r>
    </w:p>
    <w:p>
      <w:r>
        <w:br w:type="page"/>
      </w:r>
    </w:p>
    <w:p>
      <w:pPr>
        <w:pStyle w:val="Heading1"/>
      </w:pPr>
      <w:r>
        <w:t>Contents</w:t>
      </w:r>
    </w:p>
    <w:tbl>
      <w:tblPr>
        <w:tblStyle w:val="TableGrid"/>
        <w:tblW w:type="auto" w:w="0"/>
        <w:tblLook w:firstColumn="1" w:firstRow="1" w:lastColumn="0" w:lastRow="0" w:noHBand="0" w:noVBand="1" w:val="04A0"/>
      </w:tblPr>
      <w:tblGrid>
        <w:gridCol w:w="4819"/>
        <w:gridCol w:w="4819"/>
      </w:tblGrid>
      <w:tr>
        <w:tc>
          <w:tcPr>
            <w:tcW w:type="dxa" w:w="1134"/>
            <w:shd w:val="clear" w:color="auto" w:fill="F9FAFB"/>
          </w:tcPr>
          <w:p>
            <w:r>
              <w:rPr>
                <w:sz w:val="19"/>
              </w:rPr>
              <w:t>1</w:t>
            </w:r>
          </w:p>
        </w:tc>
        <w:tc>
          <w:tcPr>
            <w:tcW w:type="dxa" w:w="8504"/>
            <w:shd w:val="clear" w:color="auto" w:fill="F9FAFB"/>
          </w:tcPr>
          <w:p>
            <w:r>
              <w:rPr>
                <w:sz w:val="19"/>
              </w:rPr>
              <w:t>Purpose, scope and status</w:t>
            </w:r>
          </w:p>
        </w:tc>
      </w:tr>
      <w:tr>
        <w:tc>
          <w:tcPr>
            <w:tcW w:type="dxa" w:w="1134"/>
          </w:tcPr>
          <w:p>
            <w:r>
              <w:rPr>
                <w:sz w:val="19"/>
              </w:rPr>
              <w:t>2</w:t>
            </w:r>
          </w:p>
        </w:tc>
        <w:tc>
          <w:tcPr>
            <w:tcW w:type="dxa" w:w="8504"/>
          </w:tcPr>
          <w:p>
            <w:r>
              <w:rPr>
                <w:sz w:val="19"/>
              </w:rPr>
              <w:t>Version, edition and feature classes</w:t>
            </w:r>
          </w:p>
        </w:tc>
      </w:tr>
      <w:tr>
        <w:tc>
          <w:tcPr>
            <w:tcW w:type="dxa" w:w="1134"/>
            <w:shd w:val="clear" w:color="auto" w:fill="F9FAFB"/>
          </w:tcPr>
          <w:p>
            <w:r>
              <w:rPr>
                <w:sz w:val="19"/>
              </w:rPr>
              <w:t>3</w:t>
            </w:r>
          </w:p>
        </w:tc>
        <w:tc>
          <w:tcPr>
            <w:tcW w:type="dxa" w:w="8504"/>
            <w:shd w:val="clear" w:color="auto" w:fill="F9FAFB"/>
          </w:tcPr>
          <w:p>
            <w:r>
              <w:rPr>
                <w:sz w:val="19"/>
              </w:rPr>
              <w:t>Company profile and legal-entity assumptions</w:t>
            </w:r>
          </w:p>
        </w:tc>
      </w:tr>
      <w:tr>
        <w:tc>
          <w:tcPr>
            <w:tcW w:type="dxa" w:w="1134"/>
          </w:tcPr>
          <w:p>
            <w:r>
              <w:rPr>
                <w:sz w:val="19"/>
              </w:rPr>
              <w:t>4</w:t>
            </w:r>
          </w:p>
        </w:tc>
        <w:tc>
          <w:tcPr>
            <w:tcW w:type="dxa" w:w="8504"/>
          </w:tcPr>
          <w:p>
            <w:r>
              <w:rPr>
                <w:sz w:val="19"/>
              </w:rPr>
              <w:t>Language, localization and formats</w:t>
            </w:r>
          </w:p>
        </w:tc>
      </w:tr>
      <w:tr>
        <w:tc>
          <w:tcPr>
            <w:tcW w:type="dxa" w:w="1134"/>
            <w:shd w:val="clear" w:color="auto" w:fill="F9FAFB"/>
          </w:tcPr>
          <w:p>
            <w:r>
              <w:rPr>
                <w:sz w:val="19"/>
              </w:rPr>
              <w:t>5</w:t>
            </w:r>
          </w:p>
        </w:tc>
        <w:tc>
          <w:tcPr>
            <w:tcW w:type="dxa" w:w="8504"/>
            <w:shd w:val="clear" w:color="auto" w:fill="F9FAFB"/>
          </w:tcPr>
          <w:p>
            <w:r>
              <w:rPr>
                <w:sz w:val="19"/>
              </w:rPr>
              <w:t>Branch representation and warehouse hierarchy</w:t>
            </w:r>
          </w:p>
        </w:tc>
      </w:tr>
      <w:tr>
        <w:tc>
          <w:tcPr>
            <w:tcW w:type="dxa" w:w="1134"/>
          </w:tcPr>
          <w:p>
            <w:r>
              <w:rPr>
                <w:sz w:val="19"/>
              </w:rPr>
              <w:t>6</w:t>
            </w:r>
          </w:p>
        </w:tc>
        <w:tc>
          <w:tcPr>
            <w:tcW w:type="dxa" w:w="8504"/>
          </w:tcPr>
          <w:p>
            <w:r>
              <w:rPr>
                <w:sz w:val="19"/>
              </w:rPr>
              <w:t>Users, roles and access (placeholders)</w:t>
            </w:r>
          </w:p>
        </w:tc>
      </w:tr>
      <w:tr>
        <w:tc>
          <w:tcPr>
            <w:tcW w:type="dxa" w:w="1134"/>
            <w:shd w:val="clear" w:color="auto" w:fill="F9FAFB"/>
          </w:tcPr>
          <w:p>
            <w:r>
              <w:rPr>
                <w:sz w:val="19"/>
              </w:rPr>
              <w:t>7</w:t>
            </w:r>
          </w:p>
        </w:tc>
        <w:tc>
          <w:tcPr>
            <w:tcW w:type="dxa" w:w="8504"/>
            <w:shd w:val="clear" w:color="auto" w:fill="F9FAFB"/>
          </w:tcPr>
          <w:p>
            <w:r>
              <w:rPr>
                <w:sz w:val="19"/>
              </w:rPr>
              <w:t>Module settings: Sales, Purchase, Inventory, Accounting</w:t>
            </w:r>
          </w:p>
        </w:tc>
      </w:tr>
      <w:tr>
        <w:tc>
          <w:tcPr>
            <w:tcW w:type="dxa" w:w="1134"/>
          </w:tcPr>
          <w:p>
            <w:r>
              <w:rPr>
                <w:sz w:val="19"/>
              </w:rPr>
              <w:t>8</w:t>
            </w:r>
          </w:p>
        </w:tc>
        <w:tc>
          <w:tcPr>
            <w:tcW w:type="dxa" w:w="8504"/>
          </w:tcPr>
          <w:p>
            <w:r>
              <w:rPr>
                <w:sz w:val="19"/>
              </w:rPr>
              <w:t>Product tracking and expiry configuration</w:t>
            </w:r>
          </w:p>
        </w:tc>
      </w:tr>
      <w:tr>
        <w:tc>
          <w:tcPr>
            <w:tcW w:type="dxa" w:w="1134"/>
            <w:shd w:val="clear" w:color="auto" w:fill="F9FAFB"/>
          </w:tcPr>
          <w:p>
            <w:r>
              <w:rPr>
                <w:sz w:val="19"/>
              </w:rPr>
              <w:t>9</w:t>
            </w:r>
          </w:p>
        </w:tc>
        <w:tc>
          <w:tcPr>
            <w:tcW w:type="dxa" w:w="8504"/>
            <w:shd w:val="clear" w:color="auto" w:fill="F9FAFB"/>
          </w:tcPr>
          <w:p>
            <w:r>
              <w:rPr>
                <w:sz w:val="19"/>
              </w:rPr>
              <w:t>Taxes, payment terms, journals and reporting</w:t>
            </w:r>
          </w:p>
        </w:tc>
      </w:tr>
      <w:tr>
        <w:tc>
          <w:tcPr>
            <w:tcW w:type="dxa" w:w="1134"/>
          </w:tcPr>
          <w:p>
            <w:r>
              <w:rPr>
                <w:sz w:val="19"/>
              </w:rPr>
              <w:t>10</w:t>
            </w:r>
          </w:p>
        </w:tc>
        <w:tc>
          <w:tcPr>
            <w:tcW w:type="dxa" w:w="8504"/>
          </w:tcPr>
          <w:p>
            <w:r>
              <w:rPr>
                <w:sz w:val="19"/>
              </w:rPr>
              <w:t>Training outline</w:t>
            </w:r>
          </w:p>
        </w:tc>
      </w:tr>
      <w:tr>
        <w:tc>
          <w:tcPr>
            <w:tcW w:type="dxa" w:w="1134"/>
            <w:shd w:val="clear" w:color="auto" w:fill="F9FAFB"/>
          </w:tcPr>
          <w:p>
            <w:r>
              <w:rPr>
                <w:sz w:val="19"/>
              </w:rPr>
              <w:t>11</w:t>
            </w:r>
          </w:p>
        </w:tc>
        <w:tc>
          <w:tcPr>
            <w:tcW w:type="dxa" w:w="8504"/>
            <w:shd w:val="clear" w:color="auto" w:fill="F9FAFB"/>
          </w:tcPr>
          <w:p>
            <w:r>
              <w:rPr>
                <w:sz w:val="19"/>
              </w:rPr>
              <w:t>Backup, import and data-validation procedures</w:t>
            </w:r>
          </w:p>
        </w:tc>
      </w:tr>
      <w:tr>
        <w:tc>
          <w:tcPr>
            <w:tcW w:type="dxa" w:w="1134"/>
          </w:tcPr>
          <w:p>
            <w:r>
              <w:rPr>
                <w:sz w:val="19"/>
              </w:rPr>
              <w:t>12</w:t>
            </w:r>
          </w:p>
        </w:tc>
        <w:tc>
          <w:tcPr>
            <w:tcW w:type="dxa" w:w="8504"/>
          </w:tcPr>
          <w:p>
            <w:r>
              <w:rPr>
                <w:sz w:val="19"/>
              </w:rPr>
              <w:t>Go-live checklist and limitations</w:t>
            </w:r>
          </w:p>
        </w:tc>
      </w:tr>
    </w:tbl>
    <w:p>
      <w:r>
        <w:rPr>
          <w:i/>
          <w:color w:val="6B7280"/>
          <w:sz w:val="17"/>
        </w:rPr>
        <w:t>Section numbers are used for cross-references throughout the document set (e.g. 'SSD 4.2' = Solution Design Document, section 4.2).</w:t>
      </w:r>
    </w:p>
    <w:p>
      <w:r>
        <w:br w:type="page"/>
      </w:r>
    </w:p>
    <w:p>
      <w:pPr>
        <w:pStyle w:val="Heading1"/>
      </w:pPr>
      <w:r>
        <w:t>1. Purpose, scope and status</w:t>
      </w:r>
    </w:p>
    <w:p>
      <w:r>
        <w:rPr>
          <w:b w:val="0"/>
          <w:i w:val="0"/>
        </w:rPr>
        <w:t xml:space="preserve">This document specifies how a new Odoo database for RedLine Medical Supplies &amp; Equipment Trading is to be initialised. It is a configuration specification and runbook for the project team. </w:t>
      </w:r>
      <w:r>
        <w:rPr>
          <w:b/>
          <w:i w:val="0"/>
        </w:rPr>
        <w:t>It has not been executed on a live Odoo server</w:t>
      </w:r>
      <w:r>
        <w:rPr>
          <w:b w:val="0"/>
          <w:i w:val="0"/>
        </w:rPr>
        <w:t>; menu paths and technical field names must be re-verified in the installed version.</w:t>
      </w:r>
    </w:p>
    <w:tbl>
      <w:tblPr>
        <w:tblStyle w:val="TableGrid"/>
        <w:tblW w:type="auto" w:w="0"/>
        <w:tblLook w:firstColumn="1" w:firstRow="1" w:lastColumn="0" w:lastRow="0" w:noHBand="0" w:noVBand="1" w:val="04A0"/>
      </w:tblPr>
      <w:tblGrid>
        <w:gridCol w:w="9638"/>
      </w:tblGrid>
      <w:tr>
        <w:tc>
          <w:tcPr>
            <w:tcW w:type="dxa" w:w="9638"/>
            <w:shd w:val="clear" w:color="auto" w:fill="FFF7ED"/>
          </w:tcPr>
          <w:p>
            <w:r/>
            <w:r>
              <w:rPr>
                <w:b/>
                <w:color w:val="C8102E"/>
                <w:sz w:val="19"/>
              </w:rPr>
              <w:t xml:space="preserve">Security note.  </w:t>
            </w:r>
            <w:r>
              <w:rPr>
                <w:b w:val="0"/>
                <w:i w:val="0"/>
                <w:sz w:val="19"/>
              </w:rPr>
              <w:t>No real passwords, API keys, bank credentials or personal data appear in this document. All user accounts are role-based placeholders; credentials are to be generated at deployment and stored in a password manager.</w:t>
            </w:r>
          </w:p>
        </w:tc>
      </w:tr>
    </w:tbl>
    <w:p>
      <w:pPr>
        <w:spacing w:after="40"/>
      </w:pPr>
    </w:p>
    <w:p>
      <w:pPr>
        <w:pStyle w:val="Heading1"/>
      </w:pPr>
      <w:r>
        <w:t>2. Version, edition and feature classes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551"/>
        <w:gridCol w:w="7087"/>
      </w:tblGrid>
      <w:tr>
        <w:trPr>
          <w:tblHeader w:val="true"/>
        </w:trPr>
        <w:tc>
          <w:tcPr>
            <w:tcW w:type="dxa" w:w="2551"/>
            <w:shd w:val="clear" w:color="auto" w:fill="C8102E"/>
          </w:tcPr>
          <w:p>
            <w:r/>
            <w:r>
              <w:rPr>
                <w:b/>
                <w:color w:val="FFFFFF"/>
                <w:sz w:val="17"/>
              </w:rPr>
              <w:t>Item</w:t>
            </w:r>
          </w:p>
        </w:tc>
        <w:tc>
          <w:tcPr>
            <w:tcW w:type="dxa" w:w="7087"/>
            <w:shd w:val="clear" w:color="auto" w:fill="C8102E"/>
          </w:tcPr>
          <w:p>
            <w:r/>
            <w:r>
              <w:rPr>
                <w:b/>
                <w:color w:val="FFFFFF"/>
                <w:sz w:val="17"/>
              </w:rPr>
              <w:t>Decision</w:t>
            </w:r>
          </w:p>
        </w:tc>
      </w:tr>
      <w:tr>
        <w:trPr>
          <w:cantSplit w:val="true"/>
        </w:trPr>
        <w:tc>
          <w:tcPr>
            <w:tcW w:type="dxa" w:w="2551"/>
          </w:tcPr>
          <w:p>
            <w:pPr>
              <w:spacing w:after="0"/>
            </w:pPr>
            <w:r/>
            <w:r>
              <w:rPr>
                <w:b w:val="0"/>
                <w:i w:val="0"/>
                <w:sz w:val="17"/>
              </w:rPr>
              <w:t>Odoo version</w:t>
            </w:r>
          </w:p>
        </w:tc>
        <w:tc>
          <w:tcPr>
            <w:tcW w:type="dxa" w:w="7087"/>
          </w:tcPr>
          <w:p>
            <w:pPr>
              <w:spacing w:after="0"/>
            </w:pPr>
            <w:r/>
            <w:r>
              <w:rPr>
                <w:b w:val="0"/>
                <w:i w:val="0"/>
                <w:sz w:val="17"/>
              </w:rPr>
              <w:t>Odoo 19.0 (stable at the time of writing). Version 'Odoo 20' could not be verified; if a newer version is used the field names and paths below must be re-checked.</w:t>
            </w:r>
          </w:p>
        </w:tc>
      </w:tr>
      <w:tr>
        <w:trPr>
          <w:cantSplit w:val="true"/>
        </w:trPr>
        <w:tc>
          <w:tcPr>
            <w:tcW w:type="dxa" w:w="2551"/>
            <w:shd w:val="clear" w:color="auto" w:fill="F9FAFB"/>
          </w:tcPr>
          <w:p>
            <w:pPr>
              <w:spacing w:after="0"/>
            </w:pPr>
            <w:r/>
            <w:r>
              <w:rPr>
                <w:b w:val="0"/>
                <w:i w:val="0"/>
                <w:sz w:val="17"/>
              </w:rPr>
              <w:t>Edition</w:t>
            </w:r>
          </w:p>
        </w:tc>
        <w:tc>
          <w:tcPr>
            <w:tcW w:type="dxa" w:w="7087"/>
            <w:shd w:val="clear" w:color="auto" w:fill="F9FAFB"/>
          </w:tcPr>
          <w:p>
            <w:pPr>
              <w:spacing w:after="0"/>
            </w:pPr>
            <w:r/>
            <w:r>
              <w:rPr>
                <w:b w:val="0"/>
                <w:i w:val="0"/>
                <w:sz w:val="17"/>
              </w:rPr>
              <w:t>Enterprise assumed for Quality, Barcode, Studio, bank reconciliation UI and branch management; Community fallback documented in the SSD (SSD 5.3).</w:t>
            </w:r>
          </w:p>
        </w:tc>
      </w:tr>
      <w:tr>
        <w:trPr>
          <w:cantSplit w:val="true"/>
        </w:trPr>
        <w:tc>
          <w:tcPr>
            <w:tcW w:type="dxa" w:w="2551"/>
          </w:tcPr>
          <w:p>
            <w:pPr>
              <w:spacing w:after="0"/>
            </w:pPr>
            <w:r/>
            <w:r>
              <w:rPr>
                <w:b w:val="0"/>
                <w:i w:val="0"/>
                <w:sz w:val="17"/>
              </w:rPr>
              <w:t>Hosting</w:t>
            </w:r>
          </w:p>
        </w:tc>
        <w:tc>
          <w:tcPr>
            <w:tcW w:type="dxa" w:w="7087"/>
          </w:tcPr>
          <w:p>
            <w:pPr>
              <w:spacing w:after="0"/>
            </w:pPr>
            <w:r/>
            <w:r>
              <w:rPr>
                <w:b w:val="0"/>
                <w:i w:val="0"/>
                <w:sz w:val="17"/>
              </w:rPr>
              <w:t>To be decided (Odoo Online, Odoo.sh or on-premise). Production + staging databases recommended.</w:t>
            </w:r>
          </w:p>
        </w:tc>
      </w:tr>
      <w:tr>
        <w:trPr>
          <w:cantSplit w:val="true"/>
        </w:trPr>
        <w:tc>
          <w:tcPr>
            <w:tcW w:type="dxa" w:w="2551"/>
            <w:shd w:val="clear" w:color="auto" w:fill="F9FAFB"/>
          </w:tcPr>
          <w:p>
            <w:pPr>
              <w:spacing w:after="0"/>
            </w:pPr>
            <w:r/>
            <w:r>
              <w:rPr>
                <w:b w:val="0"/>
                <w:i w:val="0"/>
                <w:sz w:val="17"/>
              </w:rPr>
              <w:t>Database name (proposed)</w:t>
            </w:r>
          </w:p>
        </w:tc>
        <w:tc>
          <w:tcPr>
            <w:tcW w:type="dxa" w:w="7087"/>
            <w:shd w:val="clear" w:color="auto" w:fill="F9FAFB"/>
          </w:tcPr>
          <w:p>
            <w:pPr>
              <w:spacing w:after="0"/>
            </w:pPr>
            <w:r/>
            <w:r>
              <w:rPr>
                <w:b w:val="0"/>
                <w:i w:val="0"/>
                <w:sz w:val="17"/>
              </w:rPr>
              <w:t>redline_prod / redline_staging</w:t>
            </w:r>
          </w:p>
        </w:tc>
      </w:tr>
    </w:tbl>
    <w:p>
      <w:pPr>
        <w:spacing w:after="40"/>
      </w:pP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551"/>
        <w:gridCol w:w="7087"/>
      </w:tblGrid>
      <w:tr>
        <w:trPr>
          <w:tblHeader w:val="true"/>
        </w:trPr>
        <w:tc>
          <w:tcPr>
            <w:tcW w:type="dxa" w:w="2551"/>
            <w:shd w:val="clear" w:color="auto" w:fill="C8102E"/>
          </w:tcPr>
          <w:p>
            <w:r/>
            <w:r>
              <w:rPr>
                <w:b/>
                <w:color w:val="FFFFFF"/>
                <w:sz w:val="17"/>
              </w:rPr>
              <w:t>Class</w:t>
            </w:r>
          </w:p>
        </w:tc>
        <w:tc>
          <w:tcPr>
            <w:tcW w:type="dxa" w:w="7087"/>
            <w:shd w:val="clear" w:color="auto" w:fill="C8102E"/>
          </w:tcPr>
          <w:p>
            <w:r/>
            <w:r>
              <w:rPr>
                <w:b/>
                <w:color w:val="FFFFFF"/>
                <w:sz w:val="17"/>
              </w:rPr>
              <w:t>Meaning in this project</w:t>
            </w:r>
          </w:p>
        </w:tc>
      </w:tr>
      <w:tr>
        <w:trPr>
          <w:cantSplit w:val="true"/>
        </w:trPr>
        <w:tc>
          <w:tcPr>
            <w:tcW w:type="dxa" w:w="2551"/>
          </w:tcPr>
          <w:p>
            <w:pPr>
              <w:spacing w:after="0"/>
            </w:pPr>
            <w:r/>
            <w:r>
              <w:rPr>
                <w:b w:val="0"/>
                <w:i w:val="0"/>
                <w:sz w:val="17"/>
              </w:rPr>
              <w:t>Standard</w:t>
            </w:r>
          </w:p>
        </w:tc>
        <w:tc>
          <w:tcPr>
            <w:tcW w:type="dxa" w:w="7087"/>
          </w:tcPr>
          <w:p>
            <w:pPr>
              <w:spacing w:after="0"/>
            </w:pPr>
            <w:r/>
            <w:r>
              <w:rPr>
                <w:b w:val="0"/>
                <w:i w:val="0"/>
                <w:sz w:val="17"/>
              </w:rPr>
              <w:t>Available in the standard apps without extra modules (Sales, Purchase, Inventory, Accounting, Contacts)</w:t>
            </w:r>
          </w:p>
        </w:tc>
      </w:tr>
      <w:tr>
        <w:trPr>
          <w:cantSplit w:val="true"/>
        </w:trPr>
        <w:tc>
          <w:tcPr>
            <w:tcW w:type="dxa" w:w="2551"/>
            <w:shd w:val="clear" w:color="auto" w:fill="F9FAFB"/>
          </w:tcPr>
          <w:p>
            <w:pPr>
              <w:spacing w:after="0"/>
            </w:pPr>
            <w:r/>
            <w:r>
              <w:rPr>
                <w:b w:val="0"/>
                <w:i w:val="0"/>
                <w:sz w:val="17"/>
              </w:rPr>
              <w:t>Standard (configuration)</w:t>
            </w:r>
          </w:p>
        </w:tc>
        <w:tc>
          <w:tcPr>
            <w:tcW w:type="dxa" w:w="7087"/>
            <w:shd w:val="clear" w:color="auto" w:fill="F9FAFB"/>
          </w:tcPr>
          <w:p>
            <w:pPr>
              <w:spacing w:after="0"/>
            </w:pPr>
            <w:r/>
            <w:r>
              <w:rPr>
                <w:b w:val="0"/>
                <w:i w:val="0"/>
                <w:sz w:val="17"/>
              </w:rPr>
              <w:t>Standard feature that needs settings or master data</w:t>
            </w:r>
          </w:p>
        </w:tc>
      </w:tr>
      <w:tr>
        <w:trPr>
          <w:cantSplit w:val="true"/>
        </w:trPr>
        <w:tc>
          <w:tcPr>
            <w:tcW w:type="dxa" w:w="2551"/>
          </w:tcPr>
          <w:p>
            <w:pPr>
              <w:spacing w:after="0"/>
            </w:pPr>
            <w:r/>
            <w:r>
              <w:rPr>
                <w:b w:val="0"/>
                <w:i w:val="0"/>
                <w:sz w:val="17"/>
              </w:rPr>
              <w:t>Enterprise / optional app</w:t>
            </w:r>
          </w:p>
        </w:tc>
        <w:tc>
          <w:tcPr>
            <w:tcW w:type="dxa" w:w="7087"/>
          </w:tcPr>
          <w:p>
            <w:pPr>
              <w:spacing w:after="0"/>
            </w:pPr>
            <w:r/>
            <w:r>
              <w:rPr>
                <w:b w:val="0"/>
                <w:i w:val="0"/>
                <w:sz w:val="17"/>
              </w:rPr>
              <w:t>Requires Odoo Enterprise or an additional app (Quality, Barcode, Studio)</w:t>
            </w:r>
          </w:p>
        </w:tc>
      </w:tr>
      <w:tr>
        <w:trPr>
          <w:cantSplit w:val="true"/>
        </w:trPr>
        <w:tc>
          <w:tcPr>
            <w:tcW w:type="dxa" w:w="2551"/>
            <w:shd w:val="clear" w:color="auto" w:fill="F9FAFB"/>
          </w:tcPr>
          <w:p>
            <w:pPr>
              <w:spacing w:after="0"/>
            </w:pPr>
            <w:r/>
            <w:r>
              <w:rPr>
                <w:b w:val="0"/>
                <w:i w:val="0"/>
                <w:sz w:val="17"/>
              </w:rPr>
              <w:t>Customization (proposed)</w:t>
            </w:r>
          </w:p>
        </w:tc>
        <w:tc>
          <w:tcPr>
            <w:tcW w:type="dxa" w:w="7087"/>
            <w:shd w:val="clear" w:color="auto" w:fill="F9FAFB"/>
          </w:tcPr>
          <w:p>
            <w:pPr>
              <w:spacing w:after="0"/>
            </w:pPr>
            <w:r/>
            <w:r>
              <w:rPr>
                <w:b w:val="0"/>
                <w:i w:val="0"/>
                <w:sz w:val="17"/>
              </w:rPr>
              <w:t>Custom field/module or third-party add-on; not built or tested</w:t>
            </w:r>
          </w:p>
        </w:tc>
      </w:tr>
      <w:tr>
        <w:trPr>
          <w:cantSplit w:val="true"/>
        </w:trPr>
        <w:tc>
          <w:tcPr>
            <w:tcW w:type="dxa" w:w="2551"/>
          </w:tcPr>
          <w:p>
            <w:pPr>
              <w:spacing w:after="0"/>
            </w:pPr>
            <w:r/>
            <w:r>
              <w:rPr>
                <w:b w:val="0"/>
                <w:i w:val="0"/>
                <w:sz w:val="17"/>
              </w:rPr>
              <w:t>Manual procedure</w:t>
            </w:r>
          </w:p>
        </w:tc>
        <w:tc>
          <w:tcPr>
            <w:tcW w:type="dxa" w:w="7087"/>
          </w:tcPr>
          <w:p>
            <w:pPr>
              <w:spacing w:after="0"/>
            </w:pPr>
            <w:r/>
            <w:r>
              <w:rPr>
                <w:b w:val="0"/>
                <w:i w:val="0"/>
                <w:sz w:val="17"/>
              </w:rPr>
              <w:t>Process step performed by people outside the software</w:t>
            </w:r>
          </w:p>
        </w:tc>
      </w:tr>
    </w:tbl>
    <w:p>
      <w:pPr>
        <w:spacing w:after="40"/>
      </w:pPr>
    </w:p>
    <w:p>
      <w:pPr>
        <w:pStyle w:val="Heading1"/>
      </w:pPr>
      <w:r>
        <w:t>3. Company profile and legal-entity assumptions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835"/>
        <w:gridCol w:w="6803"/>
      </w:tblGrid>
      <w:tr>
        <w:trPr>
          <w:tblHeader w:val="true"/>
        </w:trPr>
        <w:tc>
          <w:tcPr>
            <w:tcW w:type="dxa" w:w="2835"/>
            <w:shd w:val="clear" w:color="auto" w:fill="C8102E"/>
          </w:tcPr>
          <w:p>
            <w:r/>
            <w:r>
              <w:rPr>
                <w:b/>
                <w:color w:val="FFFFFF"/>
                <w:sz w:val="18"/>
              </w:rPr>
              <w:t>Item</w:t>
            </w:r>
          </w:p>
        </w:tc>
        <w:tc>
          <w:tcPr>
            <w:tcW w:type="dxa" w:w="6803"/>
            <w:shd w:val="clear" w:color="auto" w:fill="C8102E"/>
          </w:tcPr>
          <w:p>
            <w:r/>
            <w:r>
              <w:rPr>
                <w:b/>
                <w:color w:val="FFFFFF"/>
                <w:sz w:val="18"/>
              </w:rPr>
              <w:t>Detail</w:t>
            </w:r>
          </w:p>
        </w:tc>
      </w:tr>
      <w:tr>
        <w:trPr>
          <w:cantSplit w:val="true"/>
        </w:trPr>
        <w:tc>
          <w:tcPr>
            <w:tcW w:type="dxa" w:w="2835"/>
          </w:tcPr>
          <w:p>
            <w:pPr>
              <w:spacing w:after="0"/>
            </w:pPr>
            <w:r/>
            <w:r>
              <w:rPr>
                <w:b w:val="0"/>
                <w:i w:val="0"/>
                <w:sz w:val="18"/>
              </w:rPr>
              <w:t>Company name</w:t>
            </w:r>
          </w:p>
        </w:tc>
        <w:tc>
          <w:tcPr>
            <w:tcW w:type="dxa" w:w="6803"/>
          </w:tcPr>
          <w:p>
            <w:pPr>
              <w:spacing w:after="0"/>
            </w:pPr>
            <w:r/>
            <w:r>
              <w:rPr>
                <w:b w:val="0"/>
                <w:i w:val="0"/>
                <w:sz w:val="18"/>
              </w:rPr>
              <w:t>RedLine Medical Supplies &amp; Equipment Trading</w:t>
            </w:r>
          </w:p>
        </w:tc>
      </w:tr>
      <w:tr>
        <w:trPr>
          <w:cantSplit w:val="true"/>
        </w:trPr>
        <w:tc>
          <w:tcPr>
            <w:tcW w:type="dxa" w:w="2835"/>
            <w:shd w:val="clear" w:color="auto" w:fill="F9FAFB"/>
          </w:tcPr>
          <w:p>
            <w:pPr>
              <w:spacing w:after="0"/>
            </w:pPr>
            <w:r/>
            <w:r>
              <w:rPr>
                <w:b w:val="0"/>
                <w:i w:val="0"/>
                <w:sz w:val="18"/>
              </w:rPr>
              <w:t>Arabic name</w:t>
            </w:r>
          </w:p>
        </w:tc>
        <w:tc>
          <w:tcPr>
            <w:tcW w:type="dxa" w:w="6803"/>
            <w:shd w:val="clear" w:color="auto" w:fill="F9FAFB"/>
          </w:tcPr>
          <w:p>
            <w:pPr>
              <w:spacing w:after="0"/>
              <w:bidi/>
              <w:jc w:val="right"/>
            </w:pPr>
            <w:r/>
            <w:r>
              <w:rPr>
                <w:b w:val="0"/>
                <w:i w:val="0"/>
                <w:sz w:val="18"/>
                <w:rtl/>
                <w:rFonts w:cs="Arial" w:ascii="Arial" w:hAnsi="Arial"/>
              </w:rPr>
              <w:t>ريد لاين للتجارة في المستلزمات والمعدات الطبية</w:t>
            </w:r>
          </w:p>
        </w:tc>
      </w:tr>
      <w:tr>
        <w:trPr>
          <w:cantSplit w:val="true"/>
        </w:trPr>
        <w:tc>
          <w:tcPr>
            <w:tcW w:type="dxa" w:w="2835"/>
          </w:tcPr>
          <w:p>
            <w:pPr>
              <w:spacing w:after="0"/>
            </w:pPr>
            <w:r/>
            <w:r>
              <w:rPr>
                <w:b w:val="0"/>
                <w:i w:val="0"/>
                <w:sz w:val="18"/>
              </w:rPr>
              <w:t>Street</w:t>
            </w:r>
          </w:p>
        </w:tc>
        <w:tc>
          <w:tcPr>
            <w:tcW w:type="dxa" w:w="6803"/>
          </w:tcPr>
          <w:p>
            <w:pPr>
              <w:spacing w:after="0"/>
            </w:pPr>
            <w:r/>
            <w:r>
              <w:rPr>
                <w:b w:val="0"/>
                <w:i w:val="0"/>
                <w:sz w:val="18"/>
              </w:rPr>
              <w:t>45 Makram Ebeid St</w:t>
            </w:r>
          </w:p>
        </w:tc>
      </w:tr>
      <w:tr>
        <w:trPr>
          <w:cantSplit w:val="true"/>
        </w:trPr>
        <w:tc>
          <w:tcPr>
            <w:tcW w:type="dxa" w:w="2835"/>
            <w:shd w:val="clear" w:color="auto" w:fill="F9FAFB"/>
          </w:tcPr>
          <w:p>
            <w:pPr>
              <w:spacing w:after="0"/>
            </w:pPr>
            <w:r/>
            <w:r>
              <w:rPr>
                <w:b w:val="0"/>
                <w:i w:val="0"/>
                <w:sz w:val="18"/>
              </w:rPr>
              <w:t>City / state</w:t>
            </w:r>
          </w:p>
        </w:tc>
        <w:tc>
          <w:tcPr>
            <w:tcW w:type="dxa" w:w="6803"/>
            <w:shd w:val="clear" w:color="auto" w:fill="F9FAFB"/>
          </w:tcPr>
          <w:p>
            <w:pPr>
              <w:spacing w:after="0"/>
            </w:pPr>
            <w:r/>
            <w:r>
              <w:rPr>
                <w:b w:val="0"/>
                <w:i w:val="0"/>
                <w:sz w:val="18"/>
              </w:rPr>
              <w:t>Nasr City, Cairo</w:t>
            </w:r>
          </w:p>
        </w:tc>
      </w:tr>
      <w:tr>
        <w:trPr>
          <w:cantSplit w:val="true"/>
        </w:trPr>
        <w:tc>
          <w:tcPr>
            <w:tcW w:type="dxa" w:w="2835"/>
          </w:tcPr>
          <w:p>
            <w:pPr>
              <w:spacing w:after="0"/>
            </w:pPr>
            <w:r/>
            <w:r>
              <w:rPr>
                <w:b w:val="0"/>
                <w:i w:val="0"/>
                <w:sz w:val="18"/>
              </w:rPr>
              <w:t>Country</w:t>
            </w:r>
          </w:p>
        </w:tc>
        <w:tc>
          <w:tcPr>
            <w:tcW w:type="dxa" w:w="6803"/>
          </w:tcPr>
          <w:p>
            <w:pPr>
              <w:spacing w:after="0"/>
            </w:pPr>
            <w:r/>
            <w:r>
              <w:rPr>
                <w:b w:val="0"/>
                <w:i w:val="0"/>
                <w:sz w:val="18"/>
              </w:rPr>
              <w:t>Egypt</w:t>
            </w:r>
          </w:p>
        </w:tc>
      </w:tr>
      <w:tr>
        <w:trPr>
          <w:cantSplit w:val="true"/>
        </w:trPr>
        <w:tc>
          <w:tcPr>
            <w:tcW w:type="dxa" w:w="2835"/>
            <w:shd w:val="clear" w:color="auto" w:fill="F9FAFB"/>
          </w:tcPr>
          <w:p>
            <w:pPr>
              <w:spacing w:after="0"/>
            </w:pPr>
            <w:r/>
            <w:r>
              <w:rPr>
                <w:b w:val="0"/>
                <w:i w:val="0"/>
                <w:sz w:val="18"/>
              </w:rPr>
              <w:t>Email</w:t>
            </w:r>
          </w:p>
        </w:tc>
        <w:tc>
          <w:tcPr>
            <w:tcW w:type="dxa" w:w="6803"/>
            <w:shd w:val="clear" w:color="auto" w:fill="F9FAFB"/>
          </w:tcPr>
          <w:p>
            <w:pPr>
              <w:spacing w:after="0"/>
            </w:pPr>
            <w:r/>
            <w:r>
              <w:rPr>
                <w:b w:val="0"/>
                <w:i w:val="0"/>
                <w:sz w:val="18"/>
              </w:rPr>
              <w:t>info@redlinemedical.com.eg</w:t>
            </w:r>
          </w:p>
        </w:tc>
      </w:tr>
      <w:tr>
        <w:trPr>
          <w:cantSplit w:val="true"/>
        </w:trPr>
        <w:tc>
          <w:tcPr>
            <w:tcW w:type="dxa" w:w="2835"/>
          </w:tcPr>
          <w:p>
            <w:pPr>
              <w:spacing w:after="0"/>
            </w:pPr>
            <w:r/>
            <w:r>
              <w:rPr>
                <w:b w:val="0"/>
                <w:i w:val="0"/>
                <w:sz w:val="18"/>
              </w:rPr>
              <w:t>Currency</w:t>
            </w:r>
          </w:p>
        </w:tc>
        <w:tc>
          <w:tcPr>
            <w:tcW w:type="dxa" w:w="6803"/>
          </w:tcPr>
          <w:p>
            <w:pPr>
              <w:spacing w:after="0"/>
            </w:pPr>
            <w:r/>
            <w:r>
              <w:rPr>
                <w:b w:val="0"/>
                <w:i w:val="0"/>
                <w:sz w:val="18"/>
              </w:rPr>
              <w:t>EGP</w:t>
            </w:r>
          </w:p>
        </w:tc>
      </w:tr>
      <w:tr>
        <w:trPr>
          <w:cantSplit w:val="true"/>
        </w:trPr>
        <w:tc>
          <w:tcPr>
            <w:tcW w:type="dxa" w:w="2835"/>
            <w:shd w:val="clear" w:color="auto" w:fill="F9FAFB"/>
          </w:tcPr>
          <w:p>
            <w:pPr>
              <w:spacing w:after="0"/>
            </w:pPr>
            <w:r/>
            <w:r>
              <w:rPr>
                <w:b w:val="0"/>
                <w:i w:val="0"/>
                <w:sz w:val="18"/>
              </w:rPr>
              <w:t>Timezone</w:t>
            </w:r>
          </w:p>
        </w:tc>
        <w:tc>
          <w:tcPr>
            <w:tcW w:type="dxa" w:w="6803"/>
            <w:shd w:val="clear" w:color="auto" w:fill="F9FAFB"/>
          </w:tcPr>
          <w:p>
            <w:pPr>
              <w:spacing w:after="0"/>
            </w:pPr>
            <w:r/>
            <w:r>
              <w:rPr>
                <w:b w:val="0"/>
                <w:i w:val="0"/>
                <w:sz w:val="18"/>
              </w:rPr>
              <w:t>Africa/Cairo (UTC+02:00/+03:00 depending on DST rules in force)</w:t>
            </w:r>
          </w:p>
        </w:tc>
      </w:tr>
      <w:tr>
        <w:trPr>
          <w:cantSplit w:val="true"/>
        </w:trPr>
        <w:tc>
          <w:tcPr>
            <w:tcW w:type="dxa" w:w="2835"/>
          </w:tcPr>
          <w:p>
            <w:pPr>
              <w:spacing w:after="0"/>
            </w:pPr>
            <w:r/>
            <w:r>
              <w:rPr>
                <w:b w:val="0"/>
                <w:i w:val="0"/>
                <w:sz w:val="18"/>
              </w:rPr>
              <w:t>Tax ID / commercial register</w:t>
            </w:r>
          </w:p>
        </w:tc>
        <w:tc>
          <w:tcPr>
            <w:tcW w:type="dxa" w:w="6803"/>
          </w:tcPr>
          <w:p>
            <w:pPr>
              <w:spacing w:after="0"/>
            </w:pPr>
            <w:r/>
            <w:r>
              <w:rPr>
                <w:b w:val="0"/>
                <w:i w:val="0"/>
                <w:sz w:val="18"/>
              </w:rPr>
              <w:t>Placeholders - to be supplied by the company</w:t>
            </w:r>
          </w:p>
        </w:tc>
      </w:tr>
      <w:tr>
        <w:trPr>
          <w:cantSplit w:val="true"/>
        </w:trPr>
        <w:tc>
          <w:tcPr>
            <w:tcW w:type="dxa" w:w="2835"/>
            <w:shd w:val="clear" w:color="auto" w:fill="F9FAFB"/>
          </w:tcPr>
          <w:p>
            <w:pPr>
              <w:spacing w:after="0"/>
            </w:pPr>
            <w:r/>
            <w:r>
              <w:rPr>
                <w:b w:val="0"/>
                <w:i w:val="0"/>
                <w:sz w:val="18"/>
              </w:rPr>
              <w:t>Legal entity</w:t>
            </w:r>
          </w:p>
        </w:tc>
        <w:tc>
          <w:tcPr>
            <w:tcW w:type="dxa" w:w="6803"/>
            <w:shd w:val="clear" w:color="auto" w:fill="F9FAFB"/>
          </w:tcPr>
          <w:p>
            <w:pPr>
              <w:spacing w:after="0"/>
            </w:pPr>
            <w:r/>
            <w:r>
              <w:rPr>
                <w:b w:val="0"/>
                <w:i w:val="0"/>
                <w:sz w:val="18"/>
              </w:rPr>
              <w:t>Single legal company; branches are not separate legal companies</w:t>
            </w:r>
          </w:p>
        </w:tc>
      </w:tr>
      <w:tr>
        <w:trPr>
          <w:cantSplit w:val="true"/>
        </w:trPr>
        <w:tc>
          <w:tcPr>
            <w:tcW w:type="dxa" w:w="2835"/>
          </w:tcPr>
          <w:p>
            <w:pPr>
              <w:spacing w:after="0"/>
            </w:pPr>
            <w:r/>
            <w:r>
              <w:rPr>
                <w:b w:val="0"/>
                <w:i w:val="0"/>
                <w:sz w:val="18"/>
              </w:rPr>
              <w:t>Fiscal year</w:t>
            </w:r>
          </w:p>
        </w:tc>
        <w:tc>
          <w:tcPr>
            <w:tcW w:type="dxa" w:w="6803"/>
          </w:tcPr>
          <w:p>
            <w:pPr>
              <w:spacing w:after="0"/>
            </w:pPr>
            <w:r/>
            <w:r>
              <w:rPr>
                <w:b w:val="0"/>
                <w:i w:val="0"/>
                <w:sz w:val="18"/>
              </w:rPr>
              <w:t>1 January - 31 December</w:t>
            </w:r>
          </w:p>
        </w:tc>
      </w:tr>
      <w:tr>
        <w:trPr>
          <w:cantSplit w:val="true"/>
        </w:trPr>
        <w:tc>
          <w:tcPr>
            <w:tcW w:type="dxa" w:w="2835"/>
            <w:shd w:val="clear" w:color="auto" w:fill="F9FAFB"/>
          </w:tcPr>
          <w:p>
            <w:pPr>
              <w:spacing w:after="0"/>
            </w:pPr>
            <w:r/>
            <w:r>
              <w:rPr>
                <w:b w:val="0"/>
                <w:i w:val="0"/>
                <w:sz w:val="18"/>
              </w:rPr>
              <w:t>Opening cut-over date</w:t>
            </w:r>
          </w:p>
        </w:tc>
        <w:tc>
          <w:tcPr>
            <w:tcW w:type="dxa" w:w="6803"/>
            <w:shd w:val="clear" w:color="auto" w:fill="F9FAFB"/>
          </w:tcPr>
          <w:p>
            <w:pPr>
              <w:spacing w:after="0"/>
            </w:pPr>
            <w:r/>
            <w:r>
              <w:rPr>
                <w:b w:val="0"/>
                <w:i w:val="0"/>
                <w:sz w:val="18"/>
              </w:rPr>
              <w:t>2026-05-01 (simulated)</w:t>
            </w:r>
          </w:p>
        </w:tc>
      </w:tr>
    </w:tbl>
    <w:p>
      <w:pPr>
        <w:spacing w:after="40"/>
      </w:pPr>
    </w:p>
    <w:p>
      <w:pPr>
        <w:pStyle w:val="Heading1"/>
      </w:pPr>
      <w:r>
        <w:t>4. Language, localization and formats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3969"/>
        <w:gridCol w:w="3628"/>
      </w:tblGrid>
      <w:tr>
        <w:trPr>
          <w:tblHeader w:val="true"/>
        </w:trPr>
        <w:tc>
          <w:tcPr>
            <w:tcW w:type="dxa" w:w="2041"/>
            <w:shd w:val="clear" w:color="auto" w:fill="C8102E"/>
          </w:tcPr>
          <w:p>
            <w:r/>
            <w:r>
              <w:rPr>
                <w:b/>
                <w:color w:val="FFFFFF"/>
                <w:sz w:val="17"/>
              </w:rPr>
              <w:t>Setting</w:t>
            </w:r>
          </w:p>
        </w:tc>
        <w:tc>
          <w:tcPr>
            <w:tcW w:type="dxa" w:w="3969"/>
            <w:shd w:val="clear" w:color="auto" w:fill="C8102E"/>
          </w:tcPr>
          <w:p>
            <w:r/>
            <w:r>
              <w:rPr>
                <w:b/>
                <w:color w:val="FFFFFF"/>
                <w:sz w:val="17"/>
              </w:rPr>
              <w:t>Value</w:t>
            </w:r>
          </w:p>
        </w:tc>
        <w:tc>
          <w:tcPr>
            <w:tcW w:type="dxa" w:w="3628"/>
            <w:shd w:val="clear" w:color="auto" w:fill="C8102E"/>
          </w:tcPr>
          <w:p>
            <w:r/>
            <w:r>
              <w:rPr>
                <w:b/>
                <w:color w:val="FFFFFF"/>
                <w:sz w:val="17"/>
              </w:rPr>
              <w:t>Notes</w:t>
            </w:r>
          </w:p>
        </w:tc>
      </w:tr>
      <w:tr>
        <w:trPr>
          <w:cantSplit w:val="true"/>
        </w:trPr>
        <w:tc>
          <w:tcPr>
            <w:tcW w:type="dxa" w:w="2041"/>
          </w:tcPr>
          <w:p>
            <w:pPr>
              <w:spacing w:after="0"/>
            </w:pPr>
            <w:r/>
            <w:r>
              <w:rPr>
                <w:b w:val="0"/>
                <w:i w:val="0"/>
                <w:sz w:val="17"/>
              </w:rPr>
              <w:t>Languages installed</w:t>
            </w:r>
          </w:p>
        </w:tc>
        <w:tc>
          <w:tcPr>
            <w:tcW w:type="dxa" w:w="3969"/>
          </w:tcPr>
          <w:p>
            <w:pPr>
              <w:spacing w:after="0"/>
            </w:pPr>
            <w:r/>
            <w:r>
              <w:rPr>
                <w:b w:val="0"/>
                <w:i w:val="0"/>
                <w:sz w:val="17"/>
              </w:rPr>
              <w:t>English (US) and Arabic (Syria/Arabic generic as available)</w:t>
            </w:r>
          </w:p>
        </w:tc>
        <w:tc>
          <w:tcPr>
            <w:tcW w:type="dxa" w:w="3628"/>
          </w:tcPr>
          <w:p>
            <w:pPr>
              <w:spacing w:after="0"/>
            </w:pPr>
            <w:r/>
            <w:r>
              <w:rPr>
                <w:b w:val="0"/>
                <w:i w:val="0"/>
                <w:sz w:val="17"/>
              </w:rPr>
              <w:t>Install Arabic; users choose language in preferences</w:t>
            </w:r>
          </w:p>
        </w:tc>
      </w:tr>
      <w:tr>
        <w:trPr>
          <w:cantSplit w:val="true"/>
        </w:trPr>
        <w:tc>
          <w:tcPr>
            <w:tcW w:type="dxa" w:w="2041"/>
            <w:shd w:val="clear" w:color="auto" w:fill="F9FAFB"/>
          </w:tcPr>
          <w:p>
            <w:pPr>
              <w:spacing w:after="0"/>
            </w:pPr>
            <w:r/>
            <w:r>
              <w:rPr>
                <w:b w:val="0"/>
                <w:i w:val="0"/>
                <w:sz w:val="17"/>
              </w:rPr>
              <w:t>Date format</w:t>
            </w:r>
          </w:p>
        </w:tc>
        <w:tc>
          <w:tcPr>
            <w:tcW w:type="dxa" w:w="3969"/>
            <w:shd w:val="clear" w:color="auto" w:fill="F9FAFB"/>
          </w:tcPr>
          <w:p>
            <w:pPr>
              <w:spacing w:after="0"/>
            </w:pPr>
            <w:r/>
            <w:r>
              <w:rPr>
                <w:b w:val="0"/>
                <w:i w:val="0"/>
                <w:sz w:val="17"/>
              </w:rPr>
              <w:t>DD/MM/YYYY</w:t>
            </w:r>
          </w:p>
        </w:tc>
        <w:tc>
          <w:tcPr>
            <w:tcW w:type="dxa" w:w="3628"/>
            <w:shd w:val="clear" w:color="auto" w:fill="F9FAFB"/>
          </w:tcPr>
          <w:p>
            <w:pPr>
              <w:spacing w:after="0"/>
            </w:pPr>
            <w:r/>
            <w:r>
              <w:rPr>
                <w:b w:val="0"/>
                <w:i w:val="0"/>
                <w:sz w:val="17"/>
              </w:rPr>
              <w:t>Per language record</w:t>
            </w:r>
          </w:p>
        </w:tc>
      </w:tr>
      <w:tr>
        <w:trPr>
          <w:cantSplit w:val="true"/>
        </w:trPr>
        <w:tc>
          <w:tcPr>
            <w:tcW w:type="dxa" w:w="2041"/>
          </w:tcPr>
          <w:p>
            <w:pPr>
              <w:spacing w:after="0"/>
            </w:pPr>
            <w:r/>
            <w:r>
              <w:rPr>
                <w:b w:val="0"/>
                <w:i w:val="0"/>
                <w:sz w:val="17"/>
              </w:rPr>
              <w:t>Time format</w:t>
            </w:r>
          </w:p>
        </w:tc>
        <w:tc>
          <w:tcPr>
            <w:tcW w:type="dxa" w:w="3969"/>
          </w:tcPr>
          <w:p>
            <w:pPr>
              <w:spacing w:after="0"/>
            </w:pPr>
            <w:r/>
            <w:r>
              <w:rPr>
                <w:b w:val="0"/>
                <w:i w:val="0"/>
                <w:sz w:val="17"/>
              </w:rPr>
              <w:t>24h</w:t>
            </w:r>
          </w:p>
        </w:tc>
        <w:tc>
          <w:tcPr>
            <w:tcW w:type="dxa" w:w="3628"/>
          </w:tcPr>
          <w:p>
            <w:pPr>
              <w:spacing w:after="0"/>
            </w:pPr>
            <w:r/>
          </w:p>
        </w:tc>
      </w:tr>
      <w:tr>
        <w:trPr>
          <w:cantSplit w:val="true"/>
        </w:trPr>
        <w:tc>
          <w:tcPr>
            <w:tcW w:type="dxa" w:w="2041"/>
            <w:shd w:val="clear" w:color="auto" w:fill="F9FAFB"/>
          </w:tcPr>
          <w:p>
            <w:pPr>
              <w:spacing w:after="0"/>
            </w:pPr>
            <w:r/>
            <w:r>
              <w:rPr>
                <w:b w:val="0"/>
                <w:i w:val="0"/>
                <w:sz w:val="17"/>
              </w:rPr>
              <w:t>Currency</w:t>
            </w:r>
          </w:p>
        </w:tc>
        <w:tc>
          <w:tcPr>
            <w:tcW w:type="dxa" w:w="3969"/>
            <w:shd w:val="clear" w:color="auto" w:fill="F9FAFB"/>
          </w:tcPr>
          <w:p>
            <w:pPr>
              <w:spacing w:after="0"/>
            </w:pPr>
            <w:r/>
            <w:r>
              <w:rPr>
                <w:b w:val="0"/>
                <w:i w:val="0"/>
                <w:sz w:val="17"/>
              </w:rPr>
              <w:t>EGP, 2 decimals, symbol after amount</w:t>
            </w:r>
          </w:p>
        </w:tc>
        <w:tc>
          <w:tcPr>
            <w:tcW w:type="dxa" w:w="3628"/>
            <w:shd w:val="clear" w:color="auto" w:fill="F9FAFB"/>
          </w:tcPr>
          <w:p>
            <w:pPr>
              <w:spacing w:after="0"/>
            </w:pPr>
            <w:r/>
            <w:r>
              <w:rPr>
                <w:b w:val="0"/>
                <w:i w:val="0"/>
                <w:sz w:val="17"/>
              </w:rPr>
              <w:t>Rounding 0.01</w:t>
            </w:r>
          </w:p>
        </w:tc>
      </w:tr>
      <w:tr>
        <w:trPr>
          <w:cantSplit w:val="true"/>
        </w:trPr>
        <w:tc>
          <w:tcPr>
            <w:tcW w:type="dxa" w:w="2041"/>
          </w:tcPr>
          <w:p>
            <w:pPr>
              <w:spacing w:after="0"/>
            </w:pPr>
            <w:r/>
            <w:r>
              <w:rPr>
                <w:b w:val="0"/>
                <w:i w:val="0"/>
                <w:sz w:val="17"/>
              </w:rPr>
              <w:t>Number format</w:t>
            </w:r>
          </w:p>
        </w:tc>
        <w:tc>
          <w:tcPr>
            <w:tcW w:type="dxa" w:w="3969"/>
          </w:tcPr>
          <w:p>
            <w:pPr>
              <w:spacing w:after="0"/>
            </w:pPr>
            <w:r/>
            <w:r>
              <w:rPr>
                <w:b w:val="0"/>
                <w:i w:val="0"/>
                <w:sz w:val="17"/>
              </w:rPr>
              <w:t>1,234.56</w:t>
            </w:r>
          </w:p>
        </w:tc>
        <w:tc>
          <w:tcPr>
            <w:tcW w:type="dxa" w:w="3628"/>
          </w:tcPr>
          <w:p>
            <w:pPr>
              <w:spacing w:after="0"/>
            </w:pPr>
            <w:r/>
            <w:r>
              <w:rPr>
                <w:b w:val="0"/>
                <w:i w:val="0"/>
                <w:sz w:val="17"/>
              </w:rPr>
              <w:t>Thousands ',' decimal '.'</w:t>
            </w:r>
          </w:p>
        </w:tc>
      </w:tr>
      <w:tr>
        <w:trPr>
          <w:cantSplit w:val="true"/>
        </w:trPr>
        <w:tc>
          <w:tcPr>
            <w:tcW w:type="dxa" w:w="2041"/>
            <w:shd w:val="clear" w:color="auto" w:fill="F9FAFB"/>
          </w:tcPr>
          <w:p>
            <w:pPr>
              <w:spacing w:after="0"/>
            </w:pPr>
            <w:r/>
            <w:r>
              <w:rPr>
                <w:b w:val="0"/>
                <w:i w:val="0"/>
                <w:sz w:val="17"/>
              </w:rPr>
              <w:t>Week start</w:t>
            </w:r>
          </w:p>
        </w:tc>
        <w:tc>
          <w:tcPr>
            <w:tcW w:type="dxa" w:w="3969"/>
            <w:shd w:val="clear" w:color="auto" w:fill="F9FAFB"/>
          </w:tcPr>
          <w:p>
            <w:pPr>
              <w:spacing w:after="0"/>
            </w:pPr>
            <w:r/>
            <w:r>
              <w:rPr>
                <w:b w:val="0"/>
                <w:i w:val="0"/>
                <w:sz w:val="17"/>
              </w:rPr>
              <w:t>Sunday</w:t>
            </w:r>
          </w:p>
        </w:tc>
        <w:tc>
          <w:tcPr>
            <w:tcW w:type="dxa" w:w="3628"/>
            <w:shd w:val="clear" w:color="auto" w:fill="F9FAFB"/>
          </w:tcPr>
          <w:p>
            <w:pPr>
              <w:spacing w:after="0"/>
            </w:pPr>
            <w:r/>
            <w:r>
              <w:rPr>
                <w:b w:val="0"/>
                <w:i w:val="0"/>
                <w:sz w:val="17"/>
              </w:rPr>
              <w:t>Egyptian weekend Friday-Saturday</w:t>
            </w:r>
          </w:p>
        </w:tc>
      </w:tr>
      <w:tr>
        <w:trPr>
          <w:cantSplit w:val="true"/>
        </w:trPr>
        <w:tc>
          <w:tcPr>
            <w:tcW w:type="dxa" w:w="2041"/>
          </w:tcPr>
          <w:p>
            <w:pPr>
              <w:spacing w:after="0"/>
            </w:pPr>
            <w:r/>
            <w:r>
              <w:rPr>
                <w:b w:val="0"/>
                <w:i w:val="0"/>
                <w:sz w:val="17"/>
              </w:rPr>
              <w:t>Arabic printing</w:t>
            </w:r>
          </w:p>
        </w:tc>
        <w:tc>
          <w:tcPr>
            <w:tcW w:type="dxa" w:w="3969"/>
          </w:tcPr>
          <w:p>
            <w:pPr>
              <w:spacing w:after="0"/>
            </w:pPr>
            <w:r/>
            <w:r>
              <w:rPr>
                <w:b w:val="0"/>
                <w:i w:val="0"/>
                <w:sz w:val="17"/>
              </w:rPr>
              <w:t>RTL support on QWeb reports; Arabic fonts embedded (e.g. Noto Naskh Arabic)</w:t>
            </w:r>
          </w:p>
        </w:tc>
        <w:tc>
          <w:tcPr>
            <w:tcW w:type="dxa" w:w="3628"/>
          </w:tcPr>
          <w:p>
            <w:pPr>
              <w:spacing w:after="0"/>
            </w:pPr>
            <w:r/>
            <w:r>
              <w:rPr>
                <w:b w:val="0"/>
                <w:i w:val="0"/>
                <w:sz w:val="17"/>
              </w:rPr>
              <w:t>Test every printed document in Arabic</w:t>
            </w:r>
          </w:p>
        </w:tc>
      </w:tr>
      <w:tr>
        <w:trPr>
          <w:cantSplit w:val="true"/>
        </w:trPr>
        <w:tc>
          <w:tcPr>
            <w:tcW w:type="dxa" w:w="2041"/>
            <w:shd w:val="clear" w:color="auto" w:fill="F9FAFB"/>
          </w:tcPr>
          <w:p>
            <w:pPr>
              <w:spacing w:after="0"/>
            </w:pPr>
            <w:r/>
            <w:r>
              <w:rPr>
                <w:b w:val="0"/>
                <w:i w:val="0"/>
                <w:sz w:val="17"/>
              </w:rPr>
              <w:t>Fiscal localization</w:t>
            </w:r>
          </w:p>
        </w:tc>
        <w:tc>
          <w:tcPr>
            <w:tcW w:type="dxa" w:w="3969"/>
            <w:shd w:val="clear" w:color="auto" w:fill="F9FAFB"/>
          </w:tcPr>
          <w:p>
            <w:pPr>
              <w:spacing w:after="0"/>
            </w:pPr>
            <w:r/>
            <w:r>
              <w:rPr>
                <w:b w:val="0"/>
                <w:i w:val="0"/>
                <w:sz w:val="17"/>
              </w:rPr>
              <w:t>Generic company-specific chart (loaded from CSV)</w:t>
            </w:r>
          </w:p>
        </w:tc>
        <w:tc>
          <w:tcPr>
            <w:tcW w:type="dxa" w:w="3628"/>
            <w:shd w:val="clear" w:color="auto" w:fill="F9FAFB"/>
          </w:tcPr>
          <w:p>
            <w:pPr>
              <w:spacing w:after="0"/>
            </w:pPr>
            <w:r/>
            <w:r>
              <w:rPr>
                <w:b w:val="0"/>
                <w:i w:val="0"/>
                <w:sz w:val="17"/>
              </w:rPr>
              <w:t>Verify whether an Egyptian localization package exists and its tax report</w:t>
            </w:r>
          </w:p>
        </w:tc>
      </w:tr>
    </w:tbl>
    <w:p>
      <w:pPr>
        <w:spacing w:after="40"/>
      </w:pPr>
    </w:p>
    <w:p>
      <w:pPr>
        <w:pStyle w:val="Heading1"/>
      </w:pPr>
      <w:r>
        <w:t>5. Branch representation and warehouse hierarchy</w:t>
      </w:r>
    </w:p>
    <w:p>
      <w:pPr>
        <w:jc w:val="center"/>
      </w:pPr>
      <w:r>
        <w:drawing>
          <wp:inline xmlns:a="http://schemas.openxmlformats.org/drawingml/2006/main" xmlns:pic="http://schemas.openxmlformats.org/drawingml/2006/picture">
            <wp:extent cx="5760000" cy="2835692"/>
            <wp:docPr id="1" name="Picture 1"/>
            <wp:cNvGraphicFramePr>
              <a:graphicFrameLocks noChangeAspect="1"/>
            </wp:cNvGraphicFramePr>
            <a:graphic>
              <a:graphicData uri="http://schemas.openxmlformats.org/drawingml/2006/picture">
                <pic:pic>
                  <pic:nvPicPr>
                    <pic:cNvPr id="0" name="structure.png"/>
                    <pic:cNvPicPr/>
                  </pic:nvPicPr>
                  <pic:blipFill>
                    <a:blip r:embed="rId11"/>
                    <a:stretch>
                      <a:fillRect/>
                    </a:stretch>
                  </pic:blipFill>
                  <pic:spPr>
                    <a:xfrm>
                      <a:off x="0" y="0"/>
                      <a:ext cx="5760000" cy="2835692"/>
                    </a:xfrm>
                    <a:prstGeom prst="rect"/>
                  </pic:spPr>
                </pic:pic>
              </a:graphicData>
            </a:graphic>
          </wp:inline>
        </w:drawing>
      </w:r>
    </w:p>
    <w:p>
      <w:pPr>
        <w:jc w:val="center"/>
      </w:pPr>
      <w:r>
        <w:rPr>
          <w:i/>
          <w:color w:val="6B7280"/>
          <w:sz w:val="17"/>
        </w:rPr>
        <w:t>Figure 1 - Branches and warehouses in a single-company model</w:t>
      </w:r>
    </w:p>
    <w:p>
      <w:r>
        <w:rPr>
          <w:b/>
          <w:i w:val="0"/>
        </w:rPr>
        <w:t>Branches.</w:t>
      </w:r>
      <w:r>
        <w:rPr>
          <w:b w:val="0"/>
          <w:i w:val="0"/>
        </w:rPr>
        <w:t xml:space="preserve"> If the edition supports branch records (child companies of the parent), create three branches under the parent company; they share the parent's chart of accounts, taxes and currency, while journals and reporting can be branch-specific. Where branch records are unavailable, use the analytic plan 'Branch' (BR-NSC, BR-MAA, BR-MOH) on sales, purchase and expense lines, plus security groups. Limitations are discussed in SSD 5.3.</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3175"/>
        <w:gridCol w:w="1020"/>
        <w:gridCol w:w="1020"/>
        <w:gridCol w:w="1020"/>
        <w:gridCol w:w="1474"/>
        <w:gridCol w:w="1928"/>
      </w:tblGrid>
      <w:tr>
        <w:trPr>
          <w:tblHeader w:val="true"/>
        </w:trPr>
        <w:tc>
          <w:tcPr>
            <w:tcW w:type="dxa" w:w="3175"/>
            <w:shd w:val="clear" w:color="auto" w:fill="C8102E"/>
          </w:tcPr>
          <w:p>
            <w:r/>
            <w:r>
              <w:rPr>
                <w:b/>
                <w:color w:val="FFFFFF"/>
                <w:sz w:val="17"/>
              </w:rPr>
              <w:t>Warehouse</w:t>
            </w:r>
          </w:p>
        </w:tc>
        <w:tc>
          <w:tcPr>
            <w:tcW w:type="dxa" w:w="1020"/>
            <w:shd w:val="clear" w:color="auto" w:fill="C8102E"/>
          </w:tcPr>
          <w:p>
            <w:r/>
            <w:r>
              <w:rPr>
                <w:b/>
                <w:color w:val="FFFFFF"/>
                <w:sz w:val="17"/>
              </w:rPr>
              <w:t>Short name</w:t>
            </w:r>
          </w:p>
        </w:tc>
        <w:tc>
          <w:tcPr>
            <w:tcW w:type="dxa" w:w="1020"/>
            <w:shd w:val="clear" w:color="auto" w:fill="C8102E"/>
          </w:tcPr>
          <w:p>
            <w:r/>
            <w:r>
              <w:rPr>
                <w:b/>
                <w:color w:val="FFFFFF"/>
                <w:sz w:val="17"/>
              </w:rPr>
              <w:t>Reception</w:t>
            </w:r>
          </w:p>
        </w:tc>
        <w:tc>
          <w:tcPr>
            <w:tcW w:type="dxa" w:w="1020"/>
            <w:shd w:val="clear" w:color="auto" w:fill="C8102E"/>
          </w:tcPr>
          <w:p>
            <w:r/>
            <w:r>
              <w:rPr>
                <w:b/>
                <w:color w:val="FFFFFF"/>
                <w:sz w:val="17"/>
              </w:rPr>
              <w:t>Delivery</w:t>
            </w:r>
          </w:p>
        </w:tc>
        <w:tc>
          <w:tcPr>
            <w:tcW w:type="dxa" w:w="1474"/>
            <w:shd w:val="clear" w:color="auto" w:fill="C8102E"/>
          </w:tcPr>
          <w:p>
            <w:r/>
            <w:r>
              <w:rPr>
                <w:b/>
                <w:color w:val="FFFFFF"/>
                <w:sz w:val="17"/>
              </w:rPr>
              <w:t>Stock location</w:t>
            </w:r>
          </w:p>
        </w:tc>
        <w:tc>
          <w:tcPr>
            <w:tcW w:type="dxa" w:w="1928"/>
            <w:shd w:val="clear" w:color="auto" w:fill="C8102E"/>
          </w:tcPr>
          <w:p>
            <w:r/>
            <w:r>
              <w:rPr>
                <w:b/>
                <w:color w:val="FFFFFF"/>
                <w:sz w:val="17"/>
              </w:rPr>
              <w:t>Special locations</w:t>
            </w:r>
          </w:p>
        </w:tc>
      </w:tr>
      <w:tr>
        <w:trPr>
          <w:cantSplit w:val="true"/>
        </w:trPr>
        <w:tc>
          <w:tcPr>
            <w:tcW w:type="dxa" w:w="3175"/>
          </w:tcPr>
          <w:p>
            <w:pPr>
              <w:spacing w:after="0"/>
            </w:pPr>
            <w:r/>
            <w:r>
              <w:rPr>
                <w:b w:val="0"/>
                <w:i w:val="0"/>
                <w:sz w:val="17"/>
              </w:rPr>
              <w:t>Main Equipment Warehouse (Nasr City)</w:t>
            </w:r>
          </w:p>
        </w:tc>
        <w:tc>
          <w:tcPr>
            <w:tcW w:type="dxa" w:w="1020"/>
          </w:tcPr>
          <w:p>
            <w:pPr>
              <w:spacing w:after="0"/>
            </w:pPr>
            <w:r/>
            <w:r>
              <w:rPr>
                <w:b w:val="0"/>
                <w:i w:val="0"/>
                <w:sz w:val="17"/>
              </w:rPr>
              <w:t>EQP</w:t>
            </w:r>
          </w:p>
        </w:tc>
        <w:tc>
          <w:tcPr>
            <w:tcW w:type="dxa" w:w="1020"/>
          </w:tcPr>
          <w:p>
            <w:pPr>
              <w:spacing w:after="0"/>
            </w:pPr>
            <w:r/>
            <w:r>
              <w:rPr>
                <w:b w:val="0"/>
                <w:i w:val="0"/>
                <w:sz w:val="17"/>
              </w:rPr>
              <w:t>2 steps</w:t>
            </w:r>
          </w:p>
        </w:tc>
        <w:tc>
          <w:tcPr>
            <w:tcW w:type="dxa" w:w="1020"/>
          </w:tcPr>
          <w:p>
            <w:pPr>
              <w:spacing w:after="0"/>
            </w:pPr>
            <w:r/>
            <w:r>
              <w:rPr>
                <w:b w:val="0"/>
                <w:i w:val="0"/>
                <w:sz w:val="17"/>
              </w:rPr>
              <w:t>2 steps</w:t>
            </w:r>
          </w:p>
        </w:tc>
        <w:tc>
          <w:tcPr>
            <w:tcW w:type="dxa" w:w="1474"/>
          </w:tcPr>
          <w:p>
            <w:pPr>
              <w:spacing w:after="0"/>
            </w:pPr>
            <w:r/>
            <w:r>
              <w:rPr>
                <w:b w:val="0"/>
                <w:i w:val="0"/>
                <w:sz w:val="17"/>
              </w:rPr>
              <w:t>EQP/Stock</w:t>
            </w:r>
          </w:p>
        </w:tc>
        <w:tc>
          <w:tcPr>
            <w:tcW w:type="dxa" w:w="1928"/>
          </w:tcPr>
          <w:p>
            <w:pPr>
              <w:spacing w:after="0"/>
            </w:pPr>
            <w:r/>
            <w:r>
              <w:rPr>
                <w:b w:val="0"/>
                <w:i w:val="0"/>
                <w:sz w:val="17"/>
              </w:rPr>
              <w:t>EQP/Input, EQP/Output</w:t>
            </w:r>
          </w:p>
        </w:tc>
      </w:tr>
      <w:tr>
        <w:trPr>
          <w:cantSplit w:val="true"/>
        </w:trPr>
        <w:tc>
          <w:tcPr>
            <w:tcW w:type="dxa" w:w="3175"/>
            <w:shd w:val="clear" w:color="auto" w:fill="F9FAFB"/>
          </w:tcPr>
          <w:p>
            <w:pPr>
              <w:spacing w:after="0"/>
            </w:pPr>
            <w:r/>
            <w:r>
              <w:rPr>
                <w:b w:val="0"/>
                <w:i w:val="0"/>
                <w:sz w:val="17"/>
              </w:rPr>
              <w:t>Medical Consumables &amp; Disposables Warehouse (Maadi)</w:t>
            </w:r>
          </w:p>
        </w:tc>
        <w:tc>
          <w:tcPr>
            <w:tcW w:type="dxa" w:w="1020"/>
            <w:shd w:val="clear" w:color="auto" w:fill="F9FAFB"/>
          </w:tcPr>
          <w:p>
            <w:pPr>
              <w:spacing w:after="0"/>
            </w:pPr>
            <w:r/>
            <w:r>
              <w:rPr>
                <w:b w:val="0"/>
                <w:i w:val="0"/>
                <w:sz w:val="17"/>
              </w:rPr>
              <w:t>CON</w:t>
            </w:r>
          </w:p>
        </w:tc>
        <w:tc>
          <w:tcPr>
            <w:tcW w:type="dxa" w:w="1020"/>
            <w:shd w:val="clear" w:color="auto" w:fill="F9FAFB"/>
          </w:tcPr>
          <w:p>
            <w:pPr>
              <w:spacing w:after="0"/>
            </w:pPr>
            <w:r/>
            <w:r>
              <w:rPr>
                <w:b w:val="0"/>
                <w:i w:val="0"/>
                <w:sz w:val="17"/>
              </w:rPr>
              <w:t>2 steps</w:t>
            </w:r>
          </w:p>
        </w:tc>
        <w:tc>
          <w:tcPr>
            <w:tcW w:type="dxa" w:w="1020"/>
            <w:shd w:val="clear" w:color="auto" w:fill="F9FAFB"/>
          </w:tcPr>
          <w:p>
            <w:pPr>
              <w:spacing w:after="0"/>
            </w:pPr>
            <w:r/>
            <w:r>
              <w:rPr>
                <w:b w:val="0"/>
                <w:i w:val="0"/>
                <w:sz w:val="17"/>
              </w:rPr>
              <w:t>2 steps</w:t>
            </w:r>
          </w:p>
        </w:tc>
        <w:tc>
          <w:tcPr>
            <w:tcW w:type="dxa" w:w="1474"/>
            <w:shd w:val="clear" w:color="auto" w:fill="F9FAFB"/>
          </w:tcPr>
          <w:p>
            <w:pPr>
              <w:spacing w:after="0"/>
            </w:pPr>
            <w:r/>
            <w:r>
              <w:rPr>
                <w:b w:val="0"/>
                <w:i w:val="0"/>
                <w:sz w:val="17"/>
              </w:rPr>
              <w:t>CON/Stock</w:t>
            </w:r>
          </w:p>
        </w:tc>
        <w:tc>
          <w:tcPr>
            <w:tcW w:type="dxa" w:w="1928"/>
            <w:shd w:val="clear" w:color="auto" w:fill="F9FAFB"/>
          </w:tcPr>
          <w:p>
            <w:pPr>
              <w:spacing w:after="0"/>
            </w:pPr>
            <w:r/>
            <w:r>
              <w:rPr>
                <w:b w:val="0"/>
                <w:i w:val="0"/>
                <w:sz w:val="17"/>
              </w:rPr>
              <w:t>CON/Input, CON/Output; removal FEFO</w:t>
            </w:r>
          </w:p>
        </w:tc>
      </w:tr>
      <w:tr>
        <w:trPr>
          <w:cantSplit w:val="true"/>
        </w:trPr>
        <w:tc>
          <w:tcPr>
            <w:tcW w:type="dxa" w:w="3175"/>
          </w:tcPr>
          <w:p>
            <w:pPr>
              <w:spacing w:after="0"/>
            </w:pPr>
            <w:r/>
            <w:r>
              <w:rPr>
                <w:b w:val="0"/>
                <w:i w:val="0"/>
                <w:sz w:val="17"/>
              </w:rPr>
              <w:t>Spare Parts Warehouse (Mohandeseen)</w:t>
            </w:r>
          </w:p>
        </w:tc>
        <w:tc>
          <w:tcPr>
            <w:tcW w:type="dxa" w:w="1020"/>
          </w:tcPr>
          <w:p>
            <w:pPr>
              <w:spacing w:after="0"/>
            </w:pPr>
            <w:r/>
            <w:r>
              <w:rPr>
                <w:b w:val="0"/>
                <w:i w:val="0"/>
                <w:sz w:val="17"/>
              </w:rPr>
              <w:t>SPR</w:t>
            </w:r>
          </w:p>
        </w:tc>
        <w:tc>
          <w:tcPr>
            <w:tcW w:type="dxa" w:w="1020"/>
          </w:tcPr>
          <w:p>
            <w:pPr>
              <w:spacing w:after="0"/>
            </w:pPr>
            <w:r/>
            <w:r>
              <w:rPr>
                <w:b w:val="0"/>
                <w:i w:val="0"/>
                <w:sz w:val="17"/>
              </w:rPr>
              <w:t>1 step</w:t>
            </w:r>
          </w:p>
        </w:tc>
        <w:tc>
          <w:tcPr>
            <w:tcW w:type="dxa" w:w="1020"/>
          </w:tcPr>
          <w:p>
            <w:pPr>
              <w:spacing w:after="0"/>
            </w:pPr>
            <w:r/>
            <w:r>
              <w:rPr>
                <w:b w:val="0"/>
                <w:i w:val="0"/>
                <w:sz w:val="17"/>
              </w:rPr>
              <w:t>1 step</w:t>
            </w:r>
          </w:p>
        </w:tc>
        <w:tc>
          <w:tcPr>
            <w:tcW w:type="dxa" w:w="1474"/>
          </w:tcPr>
          <w:p>
            <w:pPr>
              <w:spacing w:after="0"/>
            </w:pPr>
            <w:r/>
            <w:r>
              <w:rPr>
                <w:b w:val="0"/>
                <w:i w:val="0"/>
                <w:sz w:val="17"/>
              </w:rPr>
              <w:t>SPR/Stock</w:t>
            </w:r>
          </w:p>
        </w:tc>
        <w:tc>
          <w:tcPr>
            <w:tcW w:type="dxa" w:w="1928"/>
          </w:tcPr>
          <w:p>
            <w:pPr>
              <w:spacing w:after="0"/>
            </w:pPr>
            <w:r/>
            <w:r>
              <w:rPr>
                <w:b w:val="0"/>
                <w:i w:val="0"/>
                <w:sz w:val="17"/>
              </w:rPr>
              <w:t>-</w:t>
            </w:r>
          </w:p>
        </w:tc>
      </w:tr>
      <w:tr>
        <w:trPr>
          <w:cantSplit w:val="true"/>
        </w:trPr>
        <w:tc>
          <w:tcPr>
            <w:tcW w:type="dxa" w:w="3175"/>
            <w:shd w:val="clear" w:color="auto" w:fill="F9FAFB"/>
          </w:tcPr>
          <w:p>
            <w:pPr>
              <w:spacing w:after="0"/>
            </w:pPr>
            <w:r/>
            <w:r>
              <w:rPr>
                <w:b w:val="0"/>
                <w:i w:val="0"/>
                <w:sz w:val="17"/>
              </w:rPr>
              <w:t>Quarantine &amp; Returns Warehouse (Central)</w:t>
            </w:r>
          </w:p>
        </w:tc>
        <w:tc>
          <w:tcPr>
            <w:tcW w:type="dxa" w:w="1020"/>
            <w:shd w:val="clear" w:color="auto" w:fill="F9FAFB"/>
          </w:tcPr>
          <w:p>
            <w:pPr>
              <w:spacing w:after="0"/>
            </w:pPr>
            <w:r/>
            <w:r>
              <w:rPr>
                <w:b w:val="0"/>
                <w:i w:val="0"/>
                <w:sz w:val="17"/>
              </w:rPr>
              <w:t>QRT</w:t>
            </w:r>
          </w:p>
        </w:tc>
        <w:tc>
          <w:tcPr>
            <w:tcW w:type="dxa" w:w="1020"/>
            <w:shd w:val="clear" w:color="auto" w:fill="F9FAFB"/>
          </w:tcPr>
          <w:p>
            <w:pPr>
              <w:spacing w:after="0"/>
            </w:pPr>
            <w:r/>
            <w:r>
              <w:rPr>
                <w:b w:val="0"/>
                <w:i w:val="0"/>
                <w:sz w:val="17"/>
              </w:rPr>
              <w:t>1 step</w:t>
            </w:r>
          </w:p>
        </w:tc>
        <w:tc>
          <w:tcPr>
            <w:tcW w:type="dxa" w:w="1020"/>
            <w:shd w:val="clear" w:color="auto" w:fill="F9FAFB"/>
          </w:tcPr>
          <w:p>
            <w:pPr>
              <w:spacing w:after="0"/>
            </w:pPr>
            <w:r/>
            <w:r>
              <w:rPr>
                <w:b w:val="0"/>
                <w:i w:val="0"/>
                <w:sz w:val="17"/>
              </w:rPr>
              <w:t>1 step</w:t>
            </w:r>
          </w:p>
        </w:tc>
        <w:tc>
          <w:tcPr>
            <w:tcW w:type="dxa" w:w="1474"/>
            <w:shd w:val="clear" w:color="auto" w:fill="F9FAFB"/>
          </w:tcPr>
          <w:p>
            <w:pPr>
              <w:spacing w:after="0"/>
            </w:pPr>
            <w:r/>
            <w:r>
              <w:rPr>
                <w:b w:val="0"/>
                <w:i w:val="0"/>
                <w:sz w:val="17"/>
              </w:rPr>
              <w:t>QRT/Quarantine</w:t>
            </w:r>
          </w:p>
        </w:tc>
        <w:tc>
          <w:tcPr>
            <w:tcW w:type="dxa" w:w="1928"/>
            <w:shd w:val="clear" w:color="auto" w:fill="F9FAFB"/>
          </w:tcPr>
          <w:p>
            <w:pPr>
              <w:spacing w:after="0"/>
            </w:pPr>
            <w:r/>
            <w:r>
              <w:rPr>
                <w:b w:val="0"/>
                <w:i w:val="0"/>
                <w:sz w:val="17"/>
              </w:rPr>
              <w:t>Not sellable; excluded from reservations</w:t>
            </w:r>
          </w:p>
        </w:tc>
      </w:tr>
    </w:tbl>
    <w:p>
      <w:pPr>
        <w:spacing w:after="40"/>
      </w:pPr>
    </w:p>
    <w:p>
      <w:r>
        <w:rPr>
          <w:b w:val="0"/>
          <w:i w:val="0"/>
        </w:rPr>
        <w:t>Create warehouses through Inventory &gt; Configuration &gt; Warehouses so that Odoo generates operation types and routes. Mark QRT as a non-sellable location by excluding it from the sales warehouse selection and by keeping it out of the company's reservable locations (scrap/return location settings).</w:t>
      </w:r>
    </w:p>
    <w:p>
      <w:pPr>
        <w:pStyle w:val="Heading1"/>
      </w:pPr>
      <w:r>
        <w:t>6. Users, roles and access (placeholders)</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041"/>
        <w:gridCol w:w="2494"/>
        <w:gridCol w:w="1361"/>
        <w:gridCol w:w="2381"/>
        <w:gridCol w:w="1361"/>
      </w:tblGrid>
      <w:tr>
        <w:trPr>
          <w:tblHeader w:val="true"/>
        </w:trPr>
        <w:tc>
          <w:tcPr>
            <w:tcW w:type="dxa" w:w="2041"/>
            <w:shd w:val="clear" w:color="auto" w:fill="C8102E"/>
          </w:tcPr>
          <w:p>
            <w:r/>
            <w:r>
              <w:rPr>
                <w:b/>
                <w:color w:val="FFFFFF"/>
                <w:sz w:val="16"/>
              </w:rPr>
              <w:t>User (placeholder)</w:t>
            </w:r>
          </w:p>
        </w:tc>
        <w:tc>
          <w:tcPr>
            <w:tcW w:type="dxa" w:w="2494"/>
            <w:shd w:val="clear" w:color="auto" w:fill="C8102E"/>
          </w:tcPr>
          <w:p>
            <w:r/>
            <w:r>
              <w:rPr>
                <w:b/>
                <w:color w:val="FFFFFF"/>
                <w:sz w:val="16"/>
              </w:rPr>
              <w:t>Role / group</w:t>
            </w:r>
          </w:p>
        </w:tc>
        <w:tc>
          <w:tcPr>
            <w:tcW w:type="dxa" w:w="1361"/>
            <w:shd w:val="clear" w:color="auto" w:fill="C8102E"/>
          </w:tcPr>
          <w:p>
            <w:r/>
            <w:r>
              <w:rPr>
                <w:b/>
                <w:color w:val="FFFFFF"/>
                <w:sz w:val="16"/>
              </w:rPr>
              <w:t>Branch scope</w:t>
            </w:r>
          </w:p>
        </w:tc>
        <w:tc>
          <w:tcPr>
            <w:tcW w:type="dxa" w:w="2381"/>
            <w:shd w:val="clear" w:color="auto" w:fill="C8102E"/>
          </w:tcPr>
          <w:p>
            <w:r/>
            <w:r>
              <w:rPr>
                <w:b/>
                <w:color w:val="FFFFFF"/>
                <w:sz w:val="16"/>
              </w:rPr>
              <w:t>Key access</w:t>
            </w:r>
          </w:p>
        </w:tc>
        <w:tc>
          <w:tcPr>
            <w:tcW w:type="dxa" w:w="1361"/>
            <w:shd w:val="clear" w:color="auto" w:fill="C8102E"/>
          </w:tcPr>
          <w:p>
            <w:r/>
            <w:r>
              <w:rPr>
                <w:b/>
                <w:color w:val="FFFFFF"/>
                <w:sz w:val="16"/>
              </w:rPr>
              <w:t>Credential handling</w:t>
            </w:r>
          </w:p>
        </w:tc>
      </w:tr>
      <w:tr>
        <w:trPr>
          <w:cantSplit w:val="true"/>
        </w:trPr>
        <w:tc>
          <w:tcPr>
            <w:tcW w:type="dxa" w:w="2041"/>
          </w:tcPr>
          <w:p>
            <w:pPr>
              <w:spacing w:after="0"/>
            </w:pPr>
            <w:r/>
            <w:r>
              <w:rPr>
                <w:b w:val="0"/>
                <w:i w:val="0"/>
                <w:sz w:val="16"/>
              </w:rPr>
              <w:t>admin.odoo (IT Administrator)</w:t>
            </w:r>
          </w:p>
        </w:tc>
        <w:tc>
          <w:tcPr>
            <w:tcW w:type="dxa" w:w="2494"/>
          </w:tcPr>
          <w:p>
            <w:pPr>
              <w:spacing w:after="0"/>
            </w:pPr>
            <w:r/>
            <w:r>
              <w:rPr>
                <w:b w:val="0"/>
                <w:i w:val="0"/>
                <w:sz w:val="16"/>
              </w:rPr>
              <w:t>Administration / Settings</w:t>
            </w:r>
          </w:p>
        </w:tc>
        <w:tc>
          <w:tcPr>
            <w:tcW w:type="dxa" w:w="1361"/>
          </w:tcPr>
          <w:p>
            <w:pPr>
              <w:spacing w:after="0"/>
            </w:pPr>
            <w:r/>
            <w:r>
              <w:rPr>
                <w:b w:val="0"/>
                <w:i w:val="0"/>
                <w:sz w:val="16"/>
              </w:rPr>
              <w:t>All</w:t>
            </w:r>
          </w:p>
        </w:tc>
        <w:tc>
          <w:tcPr>
            <w:tcW w:type="dxa" w:w="2381"/>
          </w:tcPr>
          <w:p>
            <w:pPr>
              <w:spacing w:after="0"/>
            </w:pPr>
            <w:r/>
            <w:r>
              <w:rPr>
                <w:b w:val="0"/>
                <w:i w:val="0"/>
                <w:sz w:val="16"/>
              </w:rPr>
              <w:t>Settings, users, technical menus</w:t>
            </w:r>
          </w:p>
        </w:tc>
        <w:tc>
          <w:tcPr>
            <w:tcW w:type="dxa" w:w="1361"/>
          </w:tcPr>
          <w:p>
            <w:pPr>
              <w:spacing w:after="0"/>
            </w:pPr>
            <w:r/>
            <w:r>
              <w:rPr>
                <w:b w:val="0"/>
                <w:i w:val="0"/>
                <w:sz w:val="16"/>
              </w:rPr>
              <w:t>Generated at deployment; MFA recommended</w:t>
            </w:r>
          </w:p>
        </w:tc>
      </w:tr>
      <w:tr>
        <w:trPr>
          <w:cantSplit w:val="true"/>
        </w:trPr>
        <w:tc>
          <w:tcPr>
            <w:tcW w:type="dxa" w:w="2041"/>
            <w:shd w:val="clear" w:color="auto" w:fill="F9FAFB"/>
          </w:tcPr>
          <w:p>
            <w:pPr>
              <w:spacing w:after="0"/>
            </w:pPr>
            <w:r/>
            <w:r>
              <w:rPr>
                <w:b w:val="0"/>
                <w:i w:val="0"/>
                <w:sz w:val="16"/>
              </w:rPr>
              <w:t>gm.redline</w:t>
            </w:r>
          </w:p>
        </w:tc>
        <w:tc>
          <w:tcPr>
            <w:tcW w:type="dxa" w:w="2494"/>
            <w:shd w:val="clear" w:color="auto" w:fill="F9FAFB"/>
          </w:tcPr>
          <w:p>
            <w:pPr>
              <w:spacing w:after="0"/>
            </w:pPr>
            <w:r/>
            <w:r>
              <w:rPr>
                <w:b w:val="0"/>
                <w:i w:val="0"/>
                <w:sz w:val="16"/>
              </w:rPr>
              <w:t>General Manager (read all, approve)</w:t>
            </w:r>
          </w:p>
        </w:tc>
        <w:tc>
          <w:tcPr>
            <w:tcW w:type="dxa" w:w="1361"/>
            <w:shd w:val="clear" w:color="auto" w:fill="F9FAFB"/>
          </w:tcPr>
          <w:p>
            <w:pPr>
              <w:spacing w:after="0"/>
            </w:pPr>
            <w:r/>
            <w:r>
              <w:rPr>
                <w:b w:val="0"/>
                <w:i w:val="0"/>
                <w:sz w:val="16"/>
              </w:rPr>
              <w:t>All</w:t>
            </w:r>
          </w:p>
        </w:tc>
        <w:tc>
          <w:tcPr>
            <w:tcW w:type="dxa" w:w="2381"/>
            <w:shd w:val="clear" w:color="auto" w:fill="F9FAFB"/>
          </w:tcPr>
          <w:p>
            <w:pPr>
              <w:spacing w:after="0"/>
            </w:pPr>
            <w:r/>
            <w:r>
              <w:rPr>
                <w:b w:val="0"/>
                <w:i w:val="0"/>
                <w:sz w:val="16"/>
              </w:rPr>
              <w:t>Dashboards, approvals</w:t>
            </w:r>
          </w:p>
        </w:tc>
        <w:tc>
          <w:tcPr>
            <w:tcW w:type="dxa" w:w="1361"/>
            <w:shd w:val="clear" w:color="auto" w:fill="F9FAFB"/>
          </w:tcPr>
          <w:p>
            <w:pPr>
              <w:spacing w:after="0"/>
            </w:pPr>
            <w:r/>
            <w:r>
              <w:rPr>
                <w:b w:val="0"/>
                <w:i w:val="0"/>
                <w:sz w:val="16"/>
              </w:rPr>
              <w:t>Placeholder</w:t>
            </w:r>
          </w:p>
        </w:tc>
      </w:tr>
      <w:tr>
        <w:trPr>
          <w:cantSplit w:val="true"/>
        </w:trPr>
        <w:tc>
          <w:tcPr>
            <w:tcW w:type="dxa" w:w="2041"/>
          </w:tcPr>
          <w:p>
            <w:pPr>
              <w:spacing w:after="0"/>
            </w:pPr>
            <w:r/>
            <w:r>
              <w:rPr>
                <w:b w:val="0"/>
                <w:i w:val="0"/>
                <w:sz w:val="16"/>
              </w:rPr>
              <w:t>fin.manager</w:t>
            </w:r>
          </w:p>
        </w:tc>
        <w:tc>
          <w:tcPr>
            <w:tcW w:type="dxa" w:w="2494"/>
          </w:tcPr>
          <w:p>
            <w:pPr>
              <w:spacing w:after="0"/>
            </w:pPr>
            <w:r/>
            <w:r>
              <w:rPr>
                <w:b w:val="0"/>
                <w:i w:val="0"/>
                <w:sz w:val="16"/>
              </w:rPr>
              <w:t>Accounting / Adviser</w:t>
            </w:r>
          </w:p>
        </w:tc>
        <w:tc>
          <w:tcPr>
            <w:tcW w:type="dxa" w:w="1361"/>
          </w:tcPr>
          <w:p>
            <w:pPr>
              <w:spacing w:after="0"/>
            </w:pPr>
            <w:r/>
            <w:r>
              <w:rPr>
                <w:b w:val="0"/>
                <w:i w:val="0"/>
                <w:sz w:val="16"/>
              </w:rPr>
              <w:t>All</w:t>
            </w:r>
          </w:p>
        </w:tc>
        <w:tc>
          <w:tcPr>
            <w:tcW w:type="dxa" w:w="2381"/>
          </w:tcPr>
          <w:p>
            <w:pPr>
              <w:spacing w:after="0"/>
            </w:pPr>
            <w:r/>
            <w:r>
              <w:rPr>
                <w:b w:val="0"/>
                <w:i w:val="0"/>
                <w:sz w:val="16"/>
              </w:rPr>
              <w:t>Full accounting, period lock</w:t>
            </w:r>
          </w:p>
        </w:tc>
        <w:tc>
          <w:tcPr>
            <w:tcW w:type="dxa" w:w="1361"/>
          </w:tcPr>
          <w:p>
            <w:pPr>
              <w:spacing w:after="0"/>
            </w:pPr>
            <w:r/>
            <w:r>
              <w:rPr>
                <w:b w:val="0"/>
                <w:i w:val="0"/>
                <w:sz w:val="16"/>
              </w:rPr>
              <w:t>Placeholder</w:t>
            </w:r>
          </w:p>
        </w:tc>
      </w:tr>
      <w:tr>
        <w:trPr>
          <w:cantSplit w:val="true"/>
        </w:trPr>
        <w:tc>
          <w:tcPr>
            <w:tcW w:type="dxa" w:w="2041"/>
            <w:shd w:val="clear" w:color="auto" w:fill="F9FAFB"/>
          </w:tcPr>
          <w:p>
            <w:pPr>
              <w:spacing w:after="0"/>
            </w:pPr>
            <w:r/>
            <w:r>
              <w:rPr>
                <w:b w:val="0"/>
                <w:i w:val="0"/>
                <w:sz w:val="16"/>
              </w:rPr>
              <w:t>ar.officer / ap.officer</w:t>
            </w:r>
          </w:p>
        </w:tc>
        <w:tc>
          <w:tcPr>
            <w:tcW w:type="dxa" w:w="2494"/>
            <w:shd w:val="clear" w:color="auto" w:fill="F9FAFB"/>
          </w:tcPr>
          <w:p>
            <w:pPr>
              <w:spacing w:after="0"/>
            </w:pPr>
            <w:r/>
            <w:r>
              <w:rPr>
                <w:b w:val="0"/>
                <w:i w:val="0"/>
                <w:sz w:val="16"/>
              </w:rPr>
              <w:t>Accounting / Billing</w:t>
            </w:r>
          </w:p>
        </w:tc>
        <w:tc>
          <w:tcPr>
            <w:tcW w:type="dxa" w:w="1361"/>
            <w:shd w:val="clear" w:color="auto" w:fill="F9FAFB"/>
          </w:tcPr>
          <w:p>
            <w:pPr>
              <w:spacing w:after="0"/>
            </w:pPr>
            <w:r/>
            <w:r>
              <w:rPr>
                <w:b w:val="0"/>
                <w:i w:val="0"/>
                <w:sz w:val="16"/>
              </w:rPr>
              <w:t>All</w:t>
            </w:r>
          </w:p>
        </w:tc>
        <w:tc>
          <w:tcPr>
            <w:tcW w:type="dxa" w:w="2381"/>
            <w:shd w:val="clear" w:color="auto" w:fill="F9FAFB"/>
          </w:tcPr>
          <w:p>
            <w:pPr>
              <w:spacing w:after="0"/>
            </w:pPr>
            <w:r/>
            <w:r>
              <w:rPr>
                <w:b w:val="0"/>
                <w:i w:val="0"/>
                <w:sz w:val="16"/>
              </w:rPr>
              <w:t>Invoices, bills, payments (no lock dates)</w:t>
            </w:r>
          </w:p>
        </w:tc>
        <w:tc>
          <w:tcPr>
            <w:tcW w:type="dxa" w:w="1361"/>
            <w:shd w:val="clear" w:color="auto" w:fill="F9FAFB"/>
          </w:tcPr>
          <w:p>
            <w:pPr>
              <w:spacing w:after="0"/>
            </w:pPr>
            <w:r/>
            <w:r>
              <w:rPr>
                <w:b w:val="0"/>
                <w:i w:val="0"/>
                <w:sz w:val="16"/>
              </w:rPr>
              <w:t>Placeholder</w:t>
            </w:r>
          </w:p>
        </w:tc>
      </w:tr>
      <w:tr>
        <w:trPr>
          <w:cantSplit w:val="true"/>
        </w:trPr>
        <w:tc>
          <w:tcPr>
            <w:tcW w:type="dxa" w:w="2041"/>
          </w:tcPr>
          <w:p>
            <w:pPr>
              <w:spacing w:after="0"/>
            </w:pPr>
            <w:r/>
            <w:r>
              <w:rPr>
                <w:b w:val="0"/>
                <w:i w:val="0"/>
                <w:sz w:val="16"/>
              </w:rPr>
              <w:t>sales.mgr</w:t>
            </w:r>
          </w:p>
        </w:tc>
        <w:tc>
          <w:tcPr>
            <w:tcW w:type="dxa" w:w="2494"/>
          </w:tcPr>
          <w:p>
            <w:pPr>
              <w:spacing w:after="0"/>
            </w:pPr>
            <w:r/>
            <w:r>
              <w:rPr>
                <w:b w:val="0"/>
                <w:i w:val="0"/>
                <w:sz w:val="16"/>
              </w:rPr>
              <w:t>Sales / Administrator</w:t>
            </w:r>
          </w:p>
        </w:tc>
        <w:tc>
          <w:tcPr>
            <w:tcW w:type="dxa" w:w="1361"/>
          </w:tcPr>
          <w:p>
            <w:pPr>
              <w:spacing w:after="0"/>
            </w:pPr>
            <w:r/>
            <w:r>
              <w:rPr>
                <w:b w:val="0"/>
                <w:i w:val="0"/>
                <w:sz w:val="16"/>
              </w:rPr>
              <w:t>All</w:t>
            </w:r>
          </w:p>
        </w:tc>
        <w:tc>
          <w:tcPr>
            <w:tcW w:type="dxa" w:w="2381"/>
          </w:tcPr>
          <w:p>
            <w:pPr>
              <w:spacing w:after="0"/>
            </w:pPr>
            <w:r/>
            <w:r>
              <w:rPr>
                <w:b w:val="0"/>
                <w:i w:val="0"/>
                <w:sz w:val="16"/>
              </w:rPr>
              <w:t>Quotations, pricelists, approvals</w:t>
            </w:r>
          </w:p>
        </w:tc>
        <w:tc>
          <w:tcPr>
            <w:tcW w:type="dxa" w:w="1361"/>
          </w:tcPr>
          <w:p>
            <w:pPr>
              <w:spacing w:after="0"/>
            </w:pPr>
            <w:r/>
            <w:r>
              <w:rPr>
                <w:b w:val="0"/>
                <w:i w:val="0"/>
                <w:sz w:val="16"/>
              </w:rPr>
              <w:t>Placeholder</w:t>
            </w:r>
          </w:p>
        </w:tc>
      </w:tr>
      <w:tr>
        <w:trPr>
          <w:cantSplit w:val="true"/>
        </w:trPr>
        <w:tc>
          <w:tcPr>
            <w:tcW w:type="dxa" w:w="2041"/>
            <w:shd w:val="clear" w:color="auto" w:fill="F9FAFB"/>
          </w:tcPr>
          <w:p>
            <w:pPr>
              <w:spacing w:after="0"/>
            </w:pPr>
            <w:r/>
            <w:r>
              <w:rPr>
                <w:b w:val="0"/>
                <w:i w:val="0"/>
                <w:sz w:val="16"/>
              </w:rPr>
              <w:t>sales.nsc / sales.moh</w:t>
            </w:r>
          </w:p>
        </w:tc>
        <w:tc>
          <w:tcPr>
            <w:tcW w:type="dxa" w:w="2494"/>
            <w:shd w:val="clear" w:color="auto" w:fill="F9FAFB"/>
          </w:tcPr>
          <w:p>
            <w:pPr>
              <w:spacing w:after="0"/>
            </w:pPr>
            <w:r/>
            <w:r>
              <w:rPr>
                <w:b w:val="0"/>
                <w:i w:val="0"/>
                <w:sz w:val="16"/>
              </w:rPr>
              <w:t>Sales / User: Own documents</w:t>
            </w:r>
          </w:p>
        </w:tc>
        <w:tc>
          <w:tcPr>
            <w:tcW w:type="dxa" w:w="1361"/>
            <w:shd w:val="clear" w:color="auto" w:fill="F9FAFB"/>
          </w:tcPr>
          <w:p>
            <w:pPr>
              <w:spacing w:after="0"/>
            </w:pPr>
            <w:r/>
            <w:r>
              <w:rPr>
                <w:b w:val="0"/>
                <w:i w:val="0"/>
                <w:sz w:val="16"/>
              </w:rPr>
              <w:t>BR-NSC / BR-MOH</w:t>
            </w:r>
          </w:p>
        </w:tc>
        <w:tc>
          <w:tcPr>
            <w:tcW w:type="dxa" w:w="2381"/>
            <w:shd w:val="clear" w:color="auto" w:fill="F9FAFB"/>
          </w:tcPr>
          <w:p>
            <w:pPr>
              <w:spacing w:after="0"/>
            </w:pPr>
            <w:r/>
            <w:r>
              <w:rPr>
                <w:b w:val="0"/>
                <w:i w:val="0"/>
                <w:sz w:val="16"/>
              </w:rPr>
              <w:t>Quotations and orders</w:t>
            </w:r>
          </w:p>
        </w:tc>
        <w:tc>
          <w:tcPr>
            <w:tcW w:type="dxa" w:w="1361"/>
            <w:shd w:val="clear" w:color="auto" w:fill="F9FAFB"/>
          </w:tcPr>
          <w:p>
            <w:pPr>
              <w:spacing w:after="0"/>
            </w:pPr>
            <w:r/>
            <w:r>
              <w:rPr>
                <w:b w:val="0"/>
                <w:i w:val="0"/>
                <w:sz w:val="16"/>
              </w:rPr>
              <w:t>Placeholder</w:t>
            </w:r>
          </w:p>
        </w:tc>
      </w:tr>
      <w:tr>
        <w:trPr>
          <w:cantSplit w:val="true"/>
        </w:trPr>
        <w:tc>
          <w:tcPr>
            <w:tcW w:type="dxa" w:w="2041"/>
          </w:tcPr>
          <w:p>
            <w:pPr>
              <w:spacing w:after="0"/>
            </w:pPr>
            <w:r/>
            <w:r>
              <w:rPr>
                <w:b w:val="0"/>
                <w:i w:val="0"/>
                <w:sz w:val="16"/>
              </w:rPr>
              <w:t>retail.maadi</w:t>
            </w:r>
          </w:p>
        </w:tc>
        <w:tc>
          <w:tcPr>
            <w:tcW w:type="dxa" w:w="2494"/>
          </w:tcPr>
          <w:p>
            <w:pPr>
              <w:spacing w:after="0"/>
            </w:pPr>
            <w:r/>
            <w:r>
              <w:rPr>
                <w:b w:val="0"/>
                <w:i w:val="0"/>
                <w:sz w:val="16"/>
              </w:rPr>
              <w:t>Sales / User + Point of sale (optional)</w:t>
            </w:r>
          </w:p>
        </w:tc>
        <w:tc>
          <w:tcPr>
            <w:tcW w:type="dxa" w:w="1361"/>
          </w:tcPr>
          <w:p>
            <w:pPr>
              <w:spacing w:after="0"/>
            </w:pPr>
            <w:r/>
            <w:r>
              <w:rPr>
                <w:b w:val="0"/>
                <w:i w:val="0"/>
                <w:sz w:val="16"/>
              </w:rPr>
              <w:t>BR-MAA</w:t>
            </w:r>
          </w:p>
        </w:tc>
        <w:tc>
          <w:tcPr>
            <w:tcW w:type="dxa" w:w="2381"/>
          </w:tcPr>
          <w:p>
            <w:pPr>
              <w:spacing w:after="0"/>
            </w:pPr>
            <w:r/>
            <w:r>
              <w:rPr>
                <w:b w:val="0"/>
                <w:i w:val="0"/>
                <w:sz w:val="16"/>
              </w:rPr>
              <w:t>Retail orders; cash safe CSH2 receipts</w:t>
            </w:r>
          </w:p>
        </w:tc>
        <w:tc>
          <w:tcPr>
            <w:tcW w:type="dxa" w:w="1361"/>
          </w:tcPr>
          <w:p>
            <w:pPr>
              <w:spacing w:after="0"/>
            </w:pPr>
            <w:r/>
            <w:r>
              <w:rPr>
                <w:b w:val="0"/>
                <w:i w:val="0"/>
                <w:sz w:val="16"/>
              </w:rPr>
              <w:t>Placeholder</w:t>
            </w:r>
          </w:p>
        </w:tc>
      </w:tr>
      <w:tr>
        <w:trPr>
          <w:cantSplit w:val="true"/>
        </w:trPr>
        <w:tc>
          <w:tcPr>
            <w:tcW w:type="dxa" w:w="2041"/>
            <w:shd w:val="clear" w:color="auto" w:fill="F9FAFB"/>
          </w:tcPr>
          <w:p>
            <w:pPr>
              <w:spacing w:after="0"/>
            </w:pPr>
            <w:r/>
            <w:r>
              <w:rPr>
                <w:b w:val="0"/>
                <w:i w:val="0"/>
                <w:sz w:val="16"/>
              </w:rPr>
              <w:t>purch.mgr / purch.officer</w:t>
            </w:r>
          </w:p>
        </w:tc>
        <w:tc>
          <w:tcPr>
            <w:tcW w:type="dxa" w:w="2494"/>
            <w:shd w:val="clear" w:color="auto" w:fill="F9FAFB"/>
          </w:tcPr>
          <w:p>
            <w:pPr>
              <w:spacing w:after="0"/>
            </w:pPr>
            <w:r/>
            <w:r>
              <w:rPr>
                <w:b w:val="0"/>
                <w:i w:val="0"/>
                <w:sz w:val="16"/>
              </w:rPr>
              <w:t>Purchase / Administrator and User</w:t>
            </w:r>
          </w:p>
        </w:tc>
        <w:tc>
          <w:tcPr>
            <w:tcW w:type="dxa" w:w="1361"/>
            <w:shd w:val="clear" w:color="auto" w:fill="F9FAFB"/>
          </w:tcPr>
          <w:p>
            <w:pPr>
              <w:spacing w:after="0"/>
            </w:pPr>
            <w:r/>
            <w:r>
              <w:rPr>
                <w:b w:val="0"/>
                <w:i w:val="0"/>
                <w:sz w:val="16"/>
              </w:rPr>
              <w:t>All</w:t>
            </w:r>
          </w:p>
        </w:tc>
        <w:tc>
          <w:tcPr>
            <w:tcW w:type="dxa" w:w="2381"/>
            <w:shd w:val="clear" w:color="auto" w:fill="F9FAFB"/>
          </w:tcPr>
          <w:p>
            <w:pPr>
              <w:spacing w:after="0"/>
            </w:pPr>
            <w:r/>
            <w:r>
              <w:rPr>
                <w:b w:val="0"/>
                <w:i w:val="0"/>
                <w:sz w:val="16"/>
              </w:rPr>
              <w:t>RFQs, POs; approval by manager</w:t>
            </w:r>
          </w:p>
        </w:tc>
        <w:tc>
          <w:tcPr>
            <w:tcW w:type="dxa" w:w="1361"/>
            <w:shd w:val="clear" w:color="auto" w:fill="F9FAFB"/>
          </w:tcPr>
          <w:p>
            <w:pPr>
              <w:spacing w:after="0"/>
            </w:pPr>
            <w:r/>
            <w:r>
              <w:rPr>
                <w:b w:val="0"/>
                <w:i w:val="0"/>
                <w:sz w:val="16"/>
              </w:rPr>
              <w:t>Placeholder</w:t>
            </w:r>
          </w:p>
        </w:tc>
      </w:tr>
      <w:tr>
        <w:trPr>
          <w:cantSplit w:val="true"/>
        </w:trPr>
        <w:tc>
          <w:tcPr>
            <w:tcW w:type="dxa" w:w="2041"/>
          </w:tcPr>
          <w:p>
            <w:pPr>
              <w:spacing w:after="0"/>
            </w:pPr>
            <w:r/>
            <w:r>
              <w:rPr>
                <w:b w:val="0"/>
                <w:i w:val="0"/>
                <w:sz w:val="16"/>
              </w:rPr>
              <w:t>wh.mgr</w:t>
            </w:r>
          </w:p>
        </w:tc>
        <w:tc>
          <w:tcPr>
            <w:tcW w:type="dxa" w:w="2494"/>
          </w:tcPr>
          <w:p>
            <w:pPr>
              <w:spacing w:after="0"/>
            </w:pPr>
            <w:r/>
            <w:r>
              <w:rPr>
                <w:b w:val="0"/>
                <w:i w:val="0"/>
                <w:sz w:val="16"/>
              </w:rPr>
              <w:t>Inventory / Administrator</w:t>
            </w:r>
          </w:p>
        </w:tc>
        <w:tc>
          <w:tcPr>
            <w:tcW w:type="dxa" w:w="1361"/>
          </w:tcPr>
          <w:p>
            <w:pPr>
              <w:spacing w:after="0"/>
            </w:pPr>
            <w:r/>
            <w:r>
              <w:rPr>
                <w:b w:val="0"/>
                <w:i w:val="0"/>
                <w:sz w:val="16"/>
              </w:rPr>
              <w:t>All warehouses</w:t>
            </w:r>
          </w:p>
        </w:tc>
        <w:tc>
          <w:tcPr>
            <w:tcW w:type="dxa" w:w="2381"/>
          </w:tcPr>
          <w:p>
            <w:pPr>
              <w:spacing w:after="0"/>
            </w:pPr>
            <w:r/>
            <w:r>
              <w:rPr>
                <w:b w:val="0"/>
                <w:i w:val="0"/>
                <w:sz w:val="16"/>
              </w:rPr>
              <w:t>All stock operations, adjustments</w:t>
            </w:r>
          </w:p>
        </w:tc>
        <w:tc>
          <w:tcPr>
            <w:tcW w:type="dxa" w:w="1361"/>
          </w:tcPr>
          <w:p>
            <w:pPr>
              <w:spacing w:after="0"/>
            </w:pPr>
            <w:r/>
            <w:r>
              <w:rPr>
                <w:b w:val="0"/>
                <w:i w:val="0"/>
                <w:sz w:val="16"/>
              </w:rPr>
              <w:t>Placeholder</w:t>
            </w:r>
          </w:p>
        </w:tc>
      </w:tr>
      <w:tr>
        <w:trPr>
          <w:cantSplit w:val="true"/>
        </w:trPr>
        <w:tc>
          <w:tcPr>
            <w:tcW w:type="dxa" w:w="2041"/>
            <w:shd w:val="clear" w:color="auto" w:fill="F9FAFB"/>
          </w:tcPr>
          <w:p>
            <w:pPr>
              <w:spacing w:after="0"/>
            </w:pPr>
            <w:r/>
            <w:r>
              <w:rPr>
                <w:b w:val="0"/>
                <w:i w:val="0"/>
                <w:sz w:val="16"/>
              </w:rPr>
              <w:t>wh.eqp / wh.con / wh.spr</w:t>
            </w:r>
          </w:p>
        </w:tc>
        <w:tc>
          <w:tcPr>
            <w:tcW w:type="dxa" w:w="2494"/>
            <w:shd w:val="clear" w:color="auto" w:fill="F9FAFB"/>
          </w:tcPr>
          <w:p>
            <w:pPr>
              <w:spacing w:after="0"/>
            </w:pPr>
            <w:r/>
            <w:r>
              <w:rPr>
                <w:b w:val="0"/>
                <w:i w:val="0"/>
                <w:sz w:val="16"/>
              </w:rPr>
              <w:t>Inventory / User</w:t>
            </w:r>
          </w:p>
        </w:tc>
        <w:tc>
          <w:tcPr>
            <w:tcW w:type="dxa" w:w="1361"/>
            <w:shd w:val="clear" w:color="auto" w:fill="F9FAFB"/>
          </w:tcPr>
          <w:p>
            <w:pPr>
              <w:spacing w:after="0"/>
            </w:pPr>
            <w:r/>
            <w:r>
              <w:rPr>
                <w:b w:val="0"/>
                <w:i w:val="0"/>
                <w:sz w:val="16"/>
              </w:rPr>
              <w:t>Own warehouse</w:t>
            </w:r>
          </w:p>
        </w:tc>
        <w:tc>
          <w:tcPr>
            <w:tcW w:type="dxa" w:w="2381"/>
            <w:shd w:val="clear" w:color="auto" w:fill="F9FAFB"/>
          </w:tcPr>
          <w:p>
            <w:pPr>
              <w:spacing w:after="0"/>
            </w:pPr>
            <w:r/>
            <w:r>
              <w:rPr>
                <w:b w:val="0"/>
                <w:i w:val="0"/>
                <w:sz w:val="16"/>
              </w:rPr>
              <w:t>Receipts, deliveries, transfers</w:t>
            </w:r>
          </w:p>
        </w:tc>
        <w:tc>
          <w:tcPr>
            <w:tcW w:type="dxa" w:w="1361"/>
            <w:shd w:val="clear" w:color="auto" w:fill="F9FAFB"/>
          </w:tcPr>
          <w:p>
            <w:pPr>
              <w:spacing w:after="0"/>
            </w:pPr>
            <w:r/>
            <w:r>
              <w:rPr>
                <w:b w:val="0"/>
                <w:i w:val="0"/>
                <w:sz w:val="16"/>
              </w:rPr>
              <w:t>Placeholder</w:t>
            </w:r>
          </w:p>
        </w:tc>
      </w:tr>
      <w:tr>
        <w:trPr>
          <w:cantSplit w:val="true"/>
        </w:trPr>
        <w:tc>
          <w:tcPr>
            <w:tcW w:type="dxa" w:w="2041"/>
          </w:tcPr>
          <w:p>
            <w:pPr>
              <w:spacing w:after="0"/>
            </w:pPr>
            <w:r/>
            <w:r>
              <w:rPr>
                <w:b w:val="0"/>
                <w:i w:val="0"/>
                <w:sz w:val="16"/>
              </w:rPr>
              <w:t>quality.officer</w:t>
            </w:r>
          </w:p>
        </w:tc>
        <w:tc>
          <w:tcPr>
            <w:tcW w:type="dxa" w:w="2494"/>
          </w:tcPr>
          <w:p>
            <w:pPr>
              <w:spacing w:after="0"/>
            </w:pPr>
            <w:r/>
            <w:r>
              <w:rPr>
                <w:b w:val="0"/>
                <w:i w:val="0"/>
                <w:sz w:val="16"/>
              </w:rPr>
              <w:t>Quality / User + Inventory / User</w:t>
            </w:r>
          </w:p>
        </w:tc>
        <w:tc>
          <w:tcPr>
            <w:tcW w:type="dxa" w:w="1361"/>
          </w:tcPr>
          <w:p>
            <w:pPr>
              <w:spacing w:after="0"/>
            </w:pPr>
            <w:r/>
            <w:r>
              <w:rPr>
                <w:b w:val="0"/>
                <w:i w:val="0"/>
                <w:sz w:val="16"/>
              </w:rPr>
              <w:t>QRT + all</w:t>
            </w:r>
          </w:p>
        </w:tc>
        <w:tc>
          <w:tcPr>
            <w:tcW w:type="dxa" w:w="2381"/>
          </w:tcPr>
          <w:p>
            <w:pPr>
              <w:spacing w:after="0"/>
            </w:pPr>
            <w:r/>
            <w:r>
              <w:rPr>
                <w:b w:val="0"/>
                <w:i w:val="0"/>
                <w:sz w:val="16"/>
              </w:rPr>
              <w:t>Quality checks, quarantine, scrap</w:t>
            </w:r>
          </w:p>
        </w:tc>
        <w:tc>
          <w:tcPr>
            <w:tcW w:type="dxa" w:w="1361"/>
          </w:tcPr>
          <w:p>
            <w:pPr>
              <w:spacing w:after="0"/>
            </w:pPr>
            <w:r/>
            <w:r>
              <w:rPr>
                <w:b w:val="0"/>
                <w:i w:val="0"/>
                <w:sz w:val="16"/>
              </w:rPr>
              <w:t>Placeholder</w:t>
            </w:r>
          </w:p>
        </w:tc>
      </w:tr>
      <w:tr>
        <w:trPr>
          <w:cantSplit w:val="true"/>
        </w:trPr>
        <w:tc>
          <w:tcPr>
            <w:tcW w:type="dxa" w:w="2041"/>
            <w:shd w:val="clear" w:color="auto" w:fill="F9FAFB"/>
          </w:tcPr>
          <w:p>
            <w:pPr>
              <w:spacing w:after="0"/>
            </w:pPr>
            <w:r/>
            <w:r>
              <w:rPr>
                <w:b w:val="0"/>
                <w:i w:val="0"/>
                <w:sz w:val="16"/>
              </w:rPr>
              <w:t>service.mgr</w:t>
            </w:r>
          </w:p>
        </w:tc>
        <w:tc>
          <w:tcPr>
            <w:tcW w:type="dxa" w:w="2494"/>
            <w:shd w:val="clear" w:color="auto" w:fill="F9FAFB"/>
          </w:tcPr>
          <w:p>
            <w:pPr>
              <w:spacing w:after="0"/>
            </w:pPr>
            <w:r/>
            <w:r>
              <w:rPr>
                <w:b w:val="0"/>
                <w:i w:val="0"/>
                <w:sz w:val="16"/>
              </w:rPr>
              <w:t>Inventory / User (read) + custom Service</w:t>
            </w:r>
          </w:p>
        </w:tc>
        <w:tc>
          <w:tcPr>
            <w:tcW w:type="dxa" w:w="1361"/>
            <w:shd w:val="clear" w:color="auto" w:fill="F9FAFB"/>
          </w:tcPr>
          <w:p>
            <w:pPr>
              <w:spacing w:after="0"/>
            </w:pPr>
            <w:r/>
            <w:r>
              <w:rPr>
                <w:b w:val="0"/>
                <w:i w:val="0"/>
                <w:sz w:val="16"/>
              </w:rPr>
              <w:t>BR-MOH</w:t>
            </w:r>
          </w:p>
        </w:tc>
        <w:tc>
          <w:tcPr>
            <w:tcW w:type="dxa" w:w="2381"/>
            <w:shd w:val="clear" w:color="auto" w:fill="F9FAFB"/>
          </w:tcPr>
          <w:p>
            <w:pPr>
              <w:spacing w:after="0"/>
            </w:pPr>
            <w:r/>
            <w:r>
              <w:rPr>
                <w:b w:val="0"/>
                <w:i w:val="0"/>
                <w:sz w:val="16"/>
              </w:rPr>
              <w:t>Warranty, spare-part issues</w:t>
            </w:r>
          </w:p>
        </w:tc>
        <w:tc>
          <w:tcPr>
            <w:tcW w:type="dxa" w:w="1361"/>
            <w:shd w:val="clear" w:color="auto" w:fill="F9FAFB"/>
          </w:tcPr>
          <w:p>
            <w:pPr>
              <w:spacing w:after="0"/>
            </w:pPr>
            <w:r/>
            <w:r>
              <w:rPr>
                <w:b w:val="0"/>
                <w:i w:val="0"/>
                <w:sz w:val="16"/>
              </w:rPr>
              <w:t>Placeholder</w:t>
            </w:r>
          </w:p>
        </w:tc>
      </w:tr>
    </w:tbl>
    <w:p>
      <w:pPr>
        <w:spacing w:after="40"/>
      </w:pPr>
    </w:p>
    <w:p>
      <w:r>
        <w:rPr>
          <w:b/>
          <w:i w:val="0"/>
        </w:rPr>
        <w:t>Segregation of duties.</w:t>
      </w:r>
      <w:r>
        <w:rPr>
          <w:b w:val="0"/>
          <w:i w:val="0"/>
        </w:rPr>
        <w:t xml:space="preserve"> Creating a vendor, approving a bill and releasing a payment must be performed by different users (SEC-004). Standard Odoo groups give coarse control; record rules per branch/warehouse (SEC-002) and a multi-level approval chain are proposed customizations/Studio configuration to be verified.</w:t>
      </w:r>
    </w:p>
    <w:p>
      <w:pPr>
        <w:pStyle w:val="Heading1"/>
      </w:pPr>
      <w:r>
        <w:t>7. Module settings</w:t>
      </w:r>
    </w:p>
    <w:p>
      <w:pPr>
        <w:pStyle w:val="Heading2"/>
      </w:pPr>
      <w:r>
        <w:t>7.1 Sales</w:t>
      </w:r>
    </w:p>
    <w:p>
      <w:pPr>
        <w:pStyle w:val="ListBullet"/>
        <w:spacing w:after="40"/>
      </w:pPr>
      <w:r>
        <w:rPr>
          <w:b w:val="0"/>
          <w:i w:val="0"/>
        </w:rPr>
        <w:t>Quotation templates, pricelists with fixed discounts per customer (SAL-006); VAT 14% default on products.</w:t>
      </w:r>
    </w:p>
    <w:p>
      <w:pPr>
        <w:pStyle w:val="ListBullet"/>
        <w:spacing w:after="40"/>
      </w:pPr>
      <w:r>
        <w:rPr>
          <w:b w:val="0"/>
          <w:i w:val="0"/>
        </w:rPr>
        <w:t>Customer credit limit: enable the credit-limit warning on sales orders; hard block is a proposed customization (CON-004).</w:t>
      </w:r>
    </w:p>
    <w:p>
      <w:pPr>
        <w:pStyle w:val="ListBullet"/>
        <w:spacing w:after="40"/>
      </w:pPr>
      <w:r>
        <w:rPr>
          <w:b w:val="0"/>
          <w:i w:val="0"/>
        </w:rPr>
        <w:t>Approvals: quotation approval above EGP 500,000 (SAL-002, proposed - Studio or custom rule).</w:t>
      </w:r>
    </w:p>
    <w:p>
      <w:pPr>
        <w:pStyle w:val="ListBullet"/>
        <w:spacing w:after="40"/>
      </w:pPr>
      <w:r>
        <w:rPr>
          <w:b w:val="0"/>
          <w:i w:val="0"/>
        </w:rPr>
        <w:t>Invoicing policy: delivered quantities for equipment and consumables.</w:t>
      </w:r>
    </w:p>
    <w:p>
      <w:pPr>
        <w:pStyle w:val="ListBullet"/>
        <w:spacing w:after="40"/>
      </w:pPr>
      <w:r>
        <w:rPr>
          <w:b w:val="0"/>
          <w:i w:val="0"/>
        </w:rPr>
        <w:t>Analytic account 'Branch' assigned from the salesperson/branch.</w:t>
      </w:r>
    </w:p>
    <w:p>
      <w:pPr>
        <w:pStyle w:val="Heading2"/>
      </w:pPr>
      <w:r>
        <w:t>7.1a CRM</w:t>
      </w:r>
    </w:p>
    <w:p>
      <w:pPr>
        <w:pStyle w:val="ListBullet"/>
        <w:spacing w:after="40"/>
      </w:pPr>
      <w:r>
        <w:rPr>
          <w:b w:val="0"/>
          <w:i w:val="0"/>
        </w:rPr>
        <w:t>Install the CRM app; create sales teams Nasr City, Maadi and Mohandeseen with placeholder salespeople (CRM-004).</w:t>
      </w:r>
    </w:p>
    <w:p>
      <w:pPr>
        <w:pStyle w:val="ListBullet"/>
        <w:spacing w:after="40"/>
      </w:pPr>
      <w:r>
        <w:rPr>
          <w:b w:val="0"/>
          <w:i w:val="0"/>
        </w:rPr>
        <w:t>Stages: New, Qualified, Quotation Sent, Negotiation, Won, Lost with probabilities 10/25/50/75/100/0 (CRM-002); lost reasons list (CRM-007).</w:t>
      </w:r>
    </w:p>
    <w:p>
      <w:pPr>
        <w:pStyle w:val="ListBullet"/>
        <w:spacing w:after="40"/>
      </w:pPr>
      <w:r>
        <w:rPr>
          <w:b w:val="0"/>
          <w:i w:val="0"/>
        </w:rPr>
        <w:t>Activities types: call, visit, demo; lead sources list (CRM-001, CRM-005).</w:t>
      </w:r>
    </w:p>
    <w:p>
      <w:pPr>
        <w:pStyle w:val="ListBullet"/>
        <w:spacing w:after="40"/>
      </w:pPr>
      <w:r>
        <w:rPr>
          <w:b w:val="0"/>
          <w:i w:val="0"/>
        </w:rPr>
        <w:t>Enable quotations from opportunities; tender tags (CRM-003, CRM-008).</w:t>
      </w:r>
    </w:p>
    <w:p>
      <w:pPr>
        <w:pStyle w:val="Heading2"/>
      </w:pPr>
      <w:r>
        <w:t>7.2 Purchase</w:t>
      </w:r>
    </w:p>
    <w:p>
      <w:pPr>
        <w:pStyle w:val="ListBullet"/>
        <w:spacing w:after="40"/>
      </w:pPr>
      <w:r>
        <w:rPr>
          <w:b w:val="0"/>
          <w:i w:val="0"/>
        </w:rPr>
        <w:t>Order approval: double validation above EGP 250,000 (PUR-002).</w:t>
      </w:r>
    </w:p>
    <w:p>
      <w:pPr>
        <w:pStyle w:val="ListBullet"/>
        <w:spacing w:after="40"/>
      </w:pPr>
      <w:r>
        <w:rPr>
          <w:b w:val="0"/>
          <w:i w:val="0"/>
        </w:rPr>
        <w:t>Billing control: on received quantities (three-way match).</w:t>
      </w:r>
    </w:p>
    <w:p>
      <w:pPr>
        <w:pStyle w:val="ListBullet"/>
        <w:spacing w:after="40"/>
      </w:pPr>
      <w:r>
        <w:rPr>
          <w:b w:val="0"/>
          <w:i w:val="0"/>
        </w:rPr>
        <w:t>Vendor lead times and reordering rules per product (INV-012).</w:t>
      </w:r>
    </w:p>
    <w:p>
      <w:pPr>
        <w:pStyle w:val="ListBullet"/>
        <w:spacing w:after="40"/>
      </w:pPr>
      <w:r>
        <w:rPr>
          <w:b w:val="0"/>
          <w:i w:val="0"/>
        </w:rPr>
        <w:t>Vendor price lists hold supplier product code and unit cost.</w:t>
      </w:r>
    </w:p>
    <w:p>
      <w:pPr>
        <w:pStyle w:val="Heading2"/>
      </w:pPr>
      <w:r>
        <w:t>7.3 Inventory</w:t>
      </w:r>
    </w:p>
    <w:p>
      <w:pPr>
        <w:pStyle w:val="ListBullet"/>
        <w:spacing w:after="40"/>
      </w:pPr>
      <w:r>
        <w:rPr>
          <w:b w:val="0"/>
          <w:i w:val="0"/>
        </w:rPr>
        <w:t>Enable: Storage Locations, Multi-Step Routes, Lots &amp; Serial Numbers, Expiration Dates, Display Lots &amp; Serial Numbers on Delivery Slips, Packages (optional), Barcode (optional).</w:t>
      </w:r>
    </w:p>
    <w:p>
      <w:pPr>
        <w:pStyle w:val="ListBullet"/>
        <w:spacing w:after="40"/>
      </w:pPr>
      <w:r>
        <w:rPr>
          <w:b w:val="0"/>
          <w:i w:val="0"/>
        </w:rPr>
        <w:t>Removal strategy: FEFO for category 'Medical Consumables'; FIFO for others.</w:t>
      </w:r>
    </w:p>
    <w:p>
      <w:pPr>
        <w:pStyle w:val="ListBullet"/>
        <w:spacing w:after="40"/>
      </w:pPr>
      <w:r>
        <w:rPr>
          <w:b w:val="0"/>
          <w:i w:val="0"/>
        </w:rPr>
        <w:t>Negative stock disabled; reservation from specific lots enabled.</w:t>
      </w:r>
    </w:p>
    <w:p>
      <w:pPr>
        <w:pStyle w:val="ListBullet"/>
        <w:spacing w:after="40"/>
      </w:pPr>
      <w:r>
        <w:rPr>
          <w:b w:val="0"/>
          <w:i w:val="0"/>
        </w:rPr>
        <w:t>Delivery in 2 steps (Pick, Ship) for EQP and CON; reception in 2 steps with quality control point on receipts (Quality - Enterprise).</w:t>
      </w:r>
    </w:p>
    <w:p>
      <w:pPr>
        <w:pStyle w:val="ListBullet"/>
        <w:spacing w:after="40"/>
      </w:pPr>
      <w:r>
        <w:rPr>
          <w:b w:val="0"/>
          <w:i w:val="0"/>
        </w:rPr>
        <w:t>Scrap reasons: 'Expired' -&gt; account 540200, 'Damaged' -&gt; account 540300 (account mapping on the scrap location or by journal-entry rule - verify).</w:t>
      </w:r>
    </w:p>
    <w:p>
      <w:pPr>
        <w:pStyle w:val="Heading2"/>
      </w:pPr>
      <w:r>
        <w:t>7.4 Accounting</w:t>
      </w:r>
    </w:p>
    <w:p>
      <w:pPr>
        <w:pStyle w:val="ListBullet"/>
        <w:spacing w:after="40"/>
      </w:pPr>
      <w:r>
        <w:rPr>
          <w:b w:val="0"/>
          <w:i w:val="0"/>
        </w:rPr>
        <w:t>Load chart of accounts (101 accounts) and journals from the import package; set account groups for statements.</w:t>
      </w:r>
    </w:p>
    <w:p>
      <w:pPr>
        <w:pStyle w:val="ListBullet"/>
        <w:spacing w:after="40"/>
      </w:pPr>
      <w:r>
        <w:rPr>
          <w:b w:val="0"/>
          <w:i w:val="0"/>
        </w:rPr>
        <w:t>Automated inventory valuation, FIFO, Anglo-Saxon accounting (stock interim accounts 130600 / 210500).</w:t>
      </w:r>
    </w:p>
    <w:p>
      <w:pPr>
        <w:pStyle w:val="ListBullet"/>
        <w:spacing w:after="40"/>
      </w:pPr>
      <w:r>
        <w:rPr>
          <w:b w:val="0"/>
          <w:i w:val="0"/>
        </w:rPr>
        <w:t>Enable analytic accounting with plan 'Branch'; lock dates at month-end; fiscal year Jan-Dec.</w:t>
      </w:r>
    </w:p>
    <w:p>
      <w:pPr>
        <w:pStyle w:val="ListBullet"/>
        <w:spacing w:after="40"/>
      </w:pPr>
      <w:r>
        <w:rPr>
          <w:b w:val="0"/>
          <w:i w:val="0"/>
        </w:rPr>
        <w:t>Payment methods: manual, cheque; bank journals CIB1 and NBE1; cash journals CSH1-CSH3.</w:t>
      </w:r>
    </w:p>
    <w:p>
      <w:pPr>
        <w:pStyle w:val="Heading1"/>
      </w:pPr>
      <w:r>
        <w:t>8. Product tracking and expiry configuration</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928"/>
        <w:gridCol w:w="2268"/>
        <w:gridCol w:w="2494"/>
        <w:gridCol w:w="1020"/>
        <w:gridCol w:w="1928"/>
      </w:tblGrid>
      <w:tr>
        <w:trPr>
          <w:tblHeader w:val="true"/>
        </w:trPr>
        <w:tc>
          <w:tcPr>
            <w:tcW w:type="dxa" w:w="1928"/>
            <w:shd w:val="clear" w:color="auto" w:fill="C8102E"/>
          </w:tcPr>
          <w:p>
            <w:r/>
            <w:r>
              <w:rPr>
                <w:b/>
                <w:color w:val="FFFFFF"/>
                <w:sz w:val="17"/>
              </w:rPr>
              <w:t>Product group</w:t>
            </w:r>
          </w:p>
        </w:tc>
        <w:tc>
          <w:tcPr>
            <w:tcW w:type="dxa" w:w="2268"/>
            <w:shd w:val="clear" w:color="auto" w:fill="C8102E"/>
          </w:tcPr>
          <w:p>
            <w:r/>
            <w:r>
              <w:rPr>
                <w:b/>
                <w:color w:val="FFFFFF"/>
                <w:sz w:val="17"/>
              </w:rPr>
              <w:t>Tracking</w:t>
            </w:r>
          </w:p>
        </w:tc>
        <w:tc>
          <w:tcPr>
            <w:tcW w:type="dxa" w:w="2494"/>
            <w:shd w:val="clear" w:color="auto" w:fill="C8102E"/>
          </w:tcPr>
          <w:p>
            <w:r/>
            <w:r>
              <w:rPr>
                <w:b/>
                <w:color w:val="FFFFFF"/>
                <w:sz w:val="17"/>
              </w:rPr>
              <w:t>Expiry</w:t>
            </w:r>
          </w:p>
        </w:tc>
        <w:tc>
          <w:tcPr>
            <w:tcW w:type="dxa" w:w="1020"/>
            <w:shd w:val="clear" w:color="auto" w:fill="C8102E"/>
          </w:tcPr>
          <w:p>
            <w:r/>
            <w:r>
              <w:rPr>
                <w:b/>
                <w:color w:val="FFFFFF"/>
                <w:sz w:val="17"/>
              </w:rPr>
              <w:t>Removal</w:t>
            </w:r>
          </w:p>
        </w:tc>
        <w:tc>
          <w:tcPr>
            <w:tcW w:type="dxa" w:w="1928"/>
            <w:shd w:val="clear" w:color="auto" w:fill="C8102E"/>
          </w:tcPr>
          <w:p>
            <w:r/>
            <w:r>
              <w:rPr>
                <w:b/>
                <w:color w:val="FFFFFF"/>
                <w:sz w:val="17"/>
              </w:rPr>
              <w:t>Examples</w:t>
            </w:r>
          </w:p>
        </w:tc>
      </w:tr>
      <w:tr>
        <w:trPr>
          <w:cantSplit w:val="true"/>
        </w:trPr>
        <w:tc>
          <w:tcPr>
            <w:tcW w:type="dxa" w:w="1928"/>
          </w:tcPr>
          <w:p>
            <w:pPr>
              <w:spacing w:after="0"/>
            </w:pPr>
            <w:r/>
            <w:r>
              <w:rPr>
                <w:b w:val="0"/>
                <w:i w:val="0"/>
                <w:sz w:val="17"/>
              </w:rPr>
              <w:t>Equipment</w:t>
            </w:r>
          </w:p>
        </w:tc>
        <w:tc>
          <w:tcPr>
            <w:tcW w:type="dxa" w:w="2268"/>
          </w:tcPr>
          <w:p>
            <w:pPr>
              <w:spacing w:after="0"/>
            </w:pPr>
            <w:r/>
            <w:r>
              <w:rPr>
                <w:b w:val="0"/>
                <w:i w:val="0"/>
                <w:sz w:val="17"/>
              </w:rPr>
              <w:t>By unique serial number</w:t>
            </w:r>
          </w:p>
        </w:tc>
        <w:tc>
          <w:tcPr>
            <w:tcW w:type="dxa" w:w="2494"/>
          </w:tcPr>
          <w:p>
            <w:pPr>
              <w:spacing w:after="0"/>
            </w:pPr>
            <w:r/>
            <w:r>
              <w:rPr>
                <w:b w:val="0"/>
                <w:i w:val="0"/>
                <w:sz w:val="17"/>
              </w:rPr>
              <w:t>No (no business reason)</w:t>
            </w:r>
          </w:p>
        </w:tc>
        <w:tc>
          <w:tcPr>
            <w:tcW w:type="dxa" w:w="1020"/>
          </w:tcPr>
          <w:p>
            <w:pPr>
              <w:spacing w:after="0"/>
            </w:pPr>
            <w:r/>
            <w:r>
              <w:rPr>
                <w:b w:val="0"/>
                <w:i w:val="0"/>
                <w:sz w:val="17"/>
              </w:rPr>
              <w:t>FIFO</w:t>
            </w:r>
          </w:p>
        </w:tc>
        <w:tc>
          <w:tcPr>
            <w:tcW w:type="dxa" w:w="1928"/>
          </w:tcPr>
          <w:p>
            <w:pPr>
              <w:spacing w:after="0"/>
            </w:pPr>
            <w:r/>
            <w:r>
              <w:rPr>
                <w:b w:val="0"/>
                <w:i w:val="0"/>
                <w:sz w:val="17"/>
              </w:rPr>
              <w:t>EQ-MRI-001, EQ-MON-001</w:t>
            </w:r>
          </w:p>
        </w:tc>
      </w:tr>
      <w:tr>
        <w:trPr>
          <w:cantSplit w:val="true"/>
        </w:trPr>
        <w:tc>
          <w:tcPr>
            <w:tcW w:type="dxa" w:w="1928"/>
            <w:shd w:val="clear" w:color="auto" w:fill="F9FAFB"/>
          </w:tcPr>
          <w:p>
            <w:pPr>
              <w:spacing w:after="0"/>
            </w:pPr>
            <w:r/>
            <w:r>
              <w:rPr>
                <w:b w:val="0"/>
                <w:i w:val="0"/>
                <w:sz w:val="17"/>
              </w:rPr>
              <w:t>Consumables with shelf life</w:t>
            </w:r>
          </w:p>
        </w:tc>
        <w:tc>
          <w:tcPr>
            <w:tcW w:type="dxa" w:w="2268"/>
            <w:shd w:val="clear" w:color="auto" w:fill="F9FAFB"/>
          </w:tcPr>
          <w:p>
            <w:pPr>
              <w:spacing w:after="0"/>
            </w:pPr>
            <w:r/>
            <w:r>
              <w:rPr>
                <w:b w:val="0"/>
                <w:i w:val="0"/>
                <w:sz w:val="17"/>
              </w:rPr>
              <w:t>By lots</w:t>
            </w:r>
          </w:p>
        </w:tc>
        <w:tc>
          <w:tcPr>
            <w:tcW w:type="dxa" w:w="2494"/>
            <w:shd w:val="clear" w:color="auto" w:fill="F9FAFB"/>
          </w:tcPr>
          <w:p>
            <w:pPr>
              <w:spacing w:after="0"/>
            </w:pPr>
            <w:r/>
            <w:r>
              <w:rPr>
                <w:b w:val="0"/>
                <w:i w:val="0"/>
                <w:sz w:val="17"/>
              </w:rPr>
              <w:t>Yes: expiration, alert (60 days), removal dates</w:t>
            </w:r>
          </w:p>
        </w:tc>
        <w:tc>
          <w:tcPr>
            <w:tcW w:type="dxa" w:w="1020"/>
            <w:shd w:val="clear" w:color="auto" w:fill="F9FAFB"/>
          </w:tcPr>
          <w:p>
            <w:pPr>
              <w:spacing w:after="0"/>
            </w:pPr>
            <w:r/>
            <w:r>
              <w:rPr>
                <w:b w:val="0"/>
                <w:i w:val="0"/>
                <w:sz w:val="17"/>
              </w:rPr>
              <w:t>FEFO</w:t>
            </w:r>
          </w:p>
        </w:tc>
        <w:tc>
          <w:tcPr>
            <w:tcW w:type="dxa" w:w="1928"/>
            <w:shd w:val="clear" w:color="auto" w:fill="F9FAFB"/>
          </w:tcPr>
          <w:p>
            <w:pPr>
              <w:spacing w:after="0"/>
            </w:pPr>
            <w:r/>
            <w:r>
              <w:rPr>
                <w:b w:val="0"/>
                <w:i w:val="0"/>
                <w:sz w:val="17"/>
              </w:rPr>
              <w:t>CN-SYR-001, CN-GLV-001, CN-KIT-001</w:t>
            </w:r>
          </w:p>
        </w:tc>
      </w:tr>
      <w:tr>
        <w:trPr>
          <w:cantSplit w:val="true"/>
        </w:trPr>
        <w:tc>
          <w:tcPr>
            <w:tcW w:type="dxa" w:w="1928"/>
          </w:tcPr>
          <w:p>
            <w:pPr>
              <w:spacing w:after="0"/>
            </w:pPr>
            <w:r/>
            <w:r>
              <w:rPr>
                <w:b w:val="0"/>
                <w:i w:val="0"/>
                <w:sz w:val="17"/>
              </w:rPr>
              <w:t>Consumables without expiry</w:t>
            </w:r>
          </w:p>
        </w:tc>
        <w:tc>
          <w:tcPr>
            <w:tcW w:type="dxa" w:w="2268"/>
          </w:tcPr>
          <w:p>
            <w:pPr>
              <w:spacing w:after="0"/>
            </w:pPr>
            <w:r/>
            <w:r>
              <w:rPr>
                <w:b w:val="0"/>
                <w:i w:val="0"/>
                <w:sz w:val="17"/>
              </w:rPr>
              <w:t>By lots</w:t>
            </w:r>
          </w:p>
        </w:tc>
        <w:tc>
          <w:tcPr>
            <w:tcW w:type="dxa" w:w="2494"/>
          </w:tcPr>
          <w:p>
            <w:pPr>
              <w:spacing w:after="0"/>
            </w:pPr>
            <w:r/>
            <w:r>
              <w:rPr>
                <w:b w:val="0"/>
                <w:i w:val="0"/>
                <w:sz w:val="17"/>
              </w:rPr>
              <w:t>No</w:t>
            </w:r>
          </w:p>
        </w:tc>
        <w:tc>
          <w:tcPr>
            <w:tcW w:type="dxa" w:w="1020"/>
          </w:tcPr>
          <w:p>
            <w:pPr>
              <w:spacing w:after="0"/>
            </w:pPr>
            <w:r/>
            <w:r>
              <w:rPr>
                <w:b w:val="0"/>
                <w:i w:val="0"/>
                <w:sz w:val="17"/>
              </w:rPr>
              <w:t>FIFO</w:t>
            </w:r>
          </w:p>
        </w:tc>
        <w:tc>
          <w:tcPr>
            <w:tcW w:type="dxa" w:w="1928"/>
          </w:tcPr>
          <w:p>
            <w:pPr>
              <w:spacing w:after="0"/>
            </w:pPr>
            <w:r/>
            <w:r>
              <w:rPr>
                <w:b w:val="0"/>
                <w:i w:val="0"/>
                <w:sz w:val="17"/>
              </w:rPr>
              <w:t>CN-TUB-001 (silicone tubing)</w:t>
            </w:r>
          </w:p>
        </w:tc>
      </w:tr>
      <w:tr>
        <w:trPr>
          <w:cantSplit w:val="true"/>
        </w:trPr>
        <w:tc>
          <w:tcPr>
            <w:tcW w:type="dxa" w:w="1928"/>
            <w:shd w:val="clear" w:color="auto" w:fill="F9FAFB"/>
          </w:tcPr>
          <w:p>
            <w:pPr>
              <w:spacing w:after="0"/>
            </w:pPr>
            <w:r/>
            <w:r>
              <w:rPr>
                <w:b w:val="0"/>
                <w:i w:val="0"/>
                <w:sz w:val="17"/>
              </w:rPr>
              <w:t>Spare parts</w:t>
            </w:r>
          </w:p>
        </w:tc>
        <w:tc>
          <w:tcPr>
            <w:tcW w:type="dxa" w:w="2268"/>
            <w:shd w:val="clear" w:color="auto" w:fill="F9FAFB"/>
          </w:tcPr>
          <w:p>
            <w:pPr>
              <w:spacing w:after="0"/>
            </w:pPr>
            <w:r/>
            <w:r>
              <w:rPr>
                <w:b w:val="0"/>
                <w:i w:val="0"/>
                <w:sz w:val="17"/>
              </w:rPr>
              <w:t>None (batteries/sensors/gaskets) or lots (filters)</w:t>
            </w:r>
          </w:p>
        </w:tc>
        <w:tc>
          <w:tcPr>
            <w:tcW w:type="dxa" w:w="2494"/>
            <w:shd w:val="clear" w:color="auto" w:fill="F9FAFB"/>
          </w:tcPr>
          <w:p>
            <w:pPr>
              <w:spacing w:after="0"/>
            </w:pPr>
            <w:r/>
            <w:r>
              <w:rPr>
                <w:b w:val="0"/>
                <w:i w:val="0"/>
                <w:sz w:val="17"/>
              </w:rPr>
              <w:t>No</w:t>
            </w:r>
          </w:p>
        </w:tc>
        <w:tc>
          <w:tcPr>
            <w:tcW w:type="dxa" w:w="1020"/>
            <w:shd w:val="clear" w:color="auto" w:fill="F9FAFB"/>
          </w:tcPr>
          <w:p>
            <w:pPr>
              <w:spacing w:after="0"/>
            </w:pPr>
            <w:r/>
            <w:r>
              <w:rPr>
                <w:b w:val="0"/>
                <w:i w:val="0"/>
                <w:sz w:val="17"/>
              </w:rPr>
              <w:t>FIFO</w:t>
            </w:r>
          </w:p>
        </w:tc>
        <w:tc>
          <w:tcPr>
            <w:tcW w:type="dxa" w:w="1928"/>
            <w:shd w:val="clear" w:color="auto" w:fill="F9FAFB"/>
          </w:tcPr>
          <w:p>
            <w:pPr>
              <w:spacing w:after="0"/>
            </w:pPr>
            <w:r/>
            <w:r>
              <w:rPr>
                <w:b w:val="0"/>
                <w:i w:val="0"/>
                <w:sz w:val="17"/>
              </w:rPr>
              <w:t>SP-BAT-001, SP-FIL-001</w:t>
            </w:r>
          </w:p>
        </w:tc>
      </w:tr>
    </w:tbl>
    <w:p>
      <w:pPr>
        <w:spacing w:after="40"/>
      </w:pPr>
    </w:p>
    <w:p>
      <w:r>
        <w:rPr>
          <w:b w:val="0"/>
          <w:i w:val="0"/>
        </w:rPr>
        <w:t>Expiry rules: lots with fewer than 60 days remaining are excluded from customer picking and isolated monthly in the Quarantine warehouse; expired lots are scrapped to account 540200.</w:t>
      </w:r>
    </w:p>
    <w:p>
      <w:pPr>
        <w:pStyle w:val="Heading1"/>
      </w:pPr>
      <w:r>
        <w:t>9. Taxes, payment terms, journals and reporting</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1134"/>
        <w:gridCol w:w="1701"/>
        <w:gridCol w:w="4535"/>
      </w:tblGrid>
      <w:tr>
        <w:trPr>
          <w:tblHeader w:val="true"/>
        </w:trPr>
        <w:tc>
          <w:tcPr>
            <w:tcW w:type="dxa" w:w="2268"/>
            <w:shd w:val="clear" w:color="auto" w:fill="C8102E"/>
          </w:tcPr>
          <w:p>
            <w:r/>
            <w:r>
              <w:rPr>
                <w:b/>
                <w:color w:val="FFFFFF"/>
                <w:sz w:val="17"/>
              </w:rPr>
              <w:t>Tax</w:t>
            </w:r>
          </w:p>
        </w:tc>
        <w:tc>
          <w:tcPr>
            <w:tcW w:type="dxa" w:w="1134"/>
            <w:shd w:val="clear" w:color="auto" w:fill="C8102E"/>
          </w:tcPr>
          <w:p>
            <w:r/>
            <w:r>
              <w:rPr>
                <w:b/>
                <w:color w:val="FFFFFF"/>
                <w:sz w:val="17"/>
              </w:rPr>
              <w:t>Rate</w:t>
            </w:r>
          </w:p>
        </w:tc>
        <w:tc>
          <w:tcPr>
            <w:tcW w:type="dxa" w:w="1701"/>
            <w:shd w:val="clear" w:color="auto" w:fill="C8102E"/>
          </w:tcPr>
          <w:p>
            <w:r/>
            <w:r>
              <w:rPr>
                <w:b/>
                <w:color w:val="FFFFFF"/>
                <w:sz w:val="17"/>
              </w:rPr>
              <w:t>Account</w:t>
            </w:r>
          </w:p>
        </w:tc>
        <w:tc>
          <w:tcPr>
            <w:tcW w:type="dxa" w:w="4535"/>
            <w:shd w:val="clear" w:color="auto" w:fill="C8102E"/>
          </w:tcPr>
          <w:p>
            <w:r/>
            <w:r>
              <w:rPr>
                <w:b/>
                <w:color w:val="FFFFFF"/>
                <w:sz w:val="17"/>
              </w:rPr>
              <w:t>Use</w:t>
            </w:r>
          </w:p>
        </w:tc>
      </w:tr>
      <w:tr>
        <w:trPr>
          <w:cantSplit w:val="true"/>
        </w:trPr>
        <w:tc>
          <w:tcPr>
            <w:tcW w:type="dxa" w:w="2268"/>
          </w:tcPr>
          <w:p>
            <w:pPr>
              <w:spacing w:after="0"/>
            </w:pPr>
            <w:r/>
            <w:r>
              <w:rPr>
                <w:b w:val="0"/>
                <w:i w:val="0"/>
                <w:sz w:val="17"/>
              </w:rPr>
              <w:t>Sales VAT 14%</w:t>
            </w:r>
          </w:p>
        </w:tc>
        <w:tc>
          <w:tcPr>
            <w:tcW w:type="dxa" w:w="1134"/>
          </w:tcPr>
          <w:p>
            <w:pPr>
              <w:spacing w:after="0"/>
            </w:pPr>
            <w:r/>
            <w:r>
              <w:rPr>
                <w:b w:val="0"/>
                <w:i w:val="0"/>
                <w:sz w:val="17"/>
              </w:rPr>
              <w:t>14%</w:t>
            </w:r>
          </w:p>
        </w:tc>
        <w:tc>
          <w:tcPr>
            <w:tcW w:type="dxa" w:w="1701"/>
          </w:tcPr>
          <w:p>
            <w:pPr>
              <w:spacing w:after="0"/>
            </w:pPr>
            <w:r/>
            <w:r>
              <w:rPr>
                <w:b w:val="0"/>
                <w:i w:val="0"/>
                <w:sz w:val="17"/>
              </w:rPr>
              <w:t>220100</w:t>
            </w:r>
          </w:p>
        </w:tc>
        <w:tc>
          <w:tcPr>
            <w:tcW w:type="dxa" w:w="4535"/>
          </w:tcPr>
          <w:p>
            <w:pPr>
              <w:spacing w:after="0"/>
            </w:pPr>
            <w:r/>
            <w:r>
              <w:rPr>
                <w:b w:val="0"/>
                <w:i w:val="0"/>
                <w:sz w:val="17"/>
              </w:rPr>
              <w:t>Customer invoices</w:t>
            </w:r>
          </w:p>
        </w:tc>
      </w:tr>
      <w:tr>
        <w:trPr>
          <w:cantSplit w:val="true"/>
        </w:trPr>
        <w:tc>
          <w:tcPr>
            <w:tcW w:type="dxa" w:w="2268"/>
            <w:shd w:val="clear" w:color="auto" w:fill="F9FAFB"/>
          </w:tcPr>
          <w:p>
            <w:pPr>
              <w:spacing w:after="0"/>
            </w:pPr>
            <w:r/>
            <w:r>
              <w:rPr>
                <w:b w:val="0"/>
                <w:i w:val="0"/>
                <w:sz w:val="17"/>
              </w:rPr>
              <w:t>Purchase VAT 14%</w:t>
            </w:r>
          </w:p>
        </w:tc>
        <w:tc>
          <w:tcPr>
            <w:tcW w:type="dxa" w:w="1134"/>
            <w:shd w:val="clear" w:color="auto" w:fill="F9FAFB"/>
          </w:tcPr>
          <w:p>
            <w:pPr>
              <w:spacing w:after="0"/>
            </w:pPr>
            <w:r/>
            <w:r>
              <w:rPr>
                <w:b w:val="0"/>
                <w:i w:val="0"/>
                <w:sz w:val="17"/>
              </w:rPr>
              <w:t>14%</w:t>
            </w:r>
          </w:p>
        </w:tc>
        <w:tc>
          <w:tcPr>
            <w:tcW w:type="dxa" w:w="1701"/>
            <w:shd w:val="clear" w:color="auto" w:fill="F9FAFB"/>
          </w:tcPr>
          <w:p>
            <w:pPr>
              <w:spacing w:after="0"/>
            </w:pPr>
            <w:r/>
            <w:r>
              <w:rPr>
                <w:b w:val="0"/>
                <w:i w:val="0"/>
                <w:sz w:val="17"/>
              </w:rPr>
              <w:t>140300</w:t>
            </w:r>
          </w:p>
        </w:tc>
        <w:tc>
          <w:tcPr>
            <w:tcW w:type="dxa" w:w="4535"/>
            <w:shd w:val="clear" w:color="auto" w:fill="F9FAFB"/>
          </w:tcPr>
          <w:p>
            <w:pPr>
              <w:spacing w:after="0"/>
            </w:pPr>
            <w:r/>
            <w:r>
              <w:rPr>
                <w:b w:val="0"/>
                <w:i w:val="0"/>
                <w:sz w:val="17"/>
              </w:rPr>
              <w:t>Vendor bills</w:t>
            </w:r>
          </w:p>
        </w:tc>
      </w:tr>
    </w:tbl>
    <w:p>
      <w:pPr>
        <w:spacing w:after="40"/>
      </w:pPr>
    </w:p>
    <w:p>
      <w:r>
        <w:rPr>
          <w:b w:val="0"/>
          <w:i/>
          <w:sz w:val="18"/>
        </w:rPr>
        <w:t xml:space="preserve">The 14% rate and full recoverability are </w:t>
      </w:r>
      <w:r>
        <w:rPr>
          <w:b/>
          <w:i/>
          <w:sz w:val="18"/>
        </w:rPr>
        <w:t>assumptions</w:t>
      </w:r>
      <w:r>
        <w:rPr>
          <w:b w:val="0"/>
          <w:i/>
          <w:sz w:val="18"/>
        </w:rPr>
        <w:t xml:space="preserve"> for the simulation; a qualified Egyptian tax advisor must confirm rates, exemptions for specific medical items, withholding tax and e-invoicing obligations before go-live.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268"/>
        <w:gridCol w:w="7370"/>
      </w:tblGrid>
      <w:tr>
        <w:trPr>
          <w:tblHeader w:val="true"/>
        </w:trPr>
        <w:tc>
          <w:tcPr>
            <w:tcW w:type="dxa" w:w="2268"/>
            <w:shd w:val="clear" w:color="auto" w:fill="C8102E"/>
          </w:tcPr>
          <w:p>
            <w:r/>
            <w:r>
              <w:rPr>
                <w:b/>
                <w:color w:val="FFFFFF"/>
                <w:sz w:val="17"/>
              </w:rPr>
              <w:t>Payment term</w:t>
            </w:r>
          </w:p>
        </w:tc>
        <w:tc>
          <w:tcPr>
            <w:tcW w:type="dxa" w:w="7370"/>
            <w:shd w:val="clear" w:color="auto" w:fill="C8102E"/>
          </w:tcPr>
          <w:p>
            <w:r/>
            <w:r>
              <w:rPr>
                <w:b/>
                <w:color w:val="FFFFFF"/>
                <w:sz w:val="17"/>
              </w:rPr>
              <w:t>Definition</w:t>
            </w:r>
          </w:p>
        </w:tc>
      </w:tr>
      <w:tr>
        <w:trPr>
          <w:cantSplit w:val="true"/>
        </w:trPr>
        <w:tc>
          <w:tcPr>
            <w:tcW w:type="dxa" w:w="2268"/>
          </w:tcPr>
          <w:p>
            <w:pPr>
              <w:spacing w:after="0"/>
            </w:pPr>
            <w:r/>
            <w:r>
              <w:rPr>
                <w:b w:val="0"/>
                <w:i w:val="0"/>
                <w:sz w:val="17"/>
              </w:rPr>
              <w:t>Immediate</w:t>
            </w:r>
          </w:p>
        </w:tc>
        <w:tc>
          <w:tcPr>
            <w:tcW w:type="dxa" w:w="7370"/>
          </w:tcPr>
          <w:p>
            <w:pPr>
              <w:spacing w:after="0"/>
            </w:pPr>
            <w:r/>
            <w:r>
              <w:rPr>
                <w:b w:val="0"/>
                <w:i w:val="0"/>
                <w:sz w:val="17"/>
              </w:rPr>
              <w:t>Due on invoice date</w:t>
            </w:r>
          </w:p>
        </w:tc>
      </w:tr>
      <w:tr>
        <w:trPr>
          <w:cantSplit w:val="true"/>
        </w:trPr>
        <w:tc>
          <w:tcPr>
            <w:tcW w:type="dxa" w:w="2268"/>
            <w:shd w:val="clear" w:color="auto" w:fill="F9FAFB"/>
          </w:tcPr>
          <w:p>
            <w:pPr>
              <w:spacing w:after="0"/>
            </w:pPr>
            <w:r/>
            <w:r>
              <w:rPr>
                <w:b w:val="0"/>
                <w:i w:val="0"/>
                <w:sz w:val="17"/>
              </w:rPr>
              <w:t>15 days</w:t>
            </w:r>
          </w:p>
        </w:tc>
        <w:tc>
          <w:tcPr>
            <w:tcW w:type="dxa" w:w="7370"/>
            <w:shd w:val="clear" w:color="auto" w:fill="F9FAFB"/>
          </w:tcPr>
          <w:p>
            <w:pPr>
              <w:spacing w:after="0"/>
            </w:pPr>
            <w:r/>
            <w:r>
              <w:rPr>
                <w:b w:val="0"/>
                <w:i w:val="0"/>
                <w:sz w:val="17"/>
              </w:rPr>
              <w:t>Net 15</w:t>
            </w:r>
          </w:p>
        </w:tc>
      </w:tr>
      <w:tr>
        <w:trPr>
          <w:cantSplit w:val="true"/>
        </w:trPr>
        <w:tc>
          <w:tcPr>
            <w:tcW w:type="dxa" w:w="2268"/>
          </w:tcPr>
          <w:p>
            <w:pPr>
              <w:spacing w:after="0"/>
            </w:pPr>
            <w:r/>
            <w:r>
              <w:rPr>
                <w:b w:val="0"/>
                <w:i w:val="0"/>
                <w:sz w:val="17"/>
              </w:rPr>
              <w:t>30 days</w:t>
            </w:r>
          </w:p>
        </w:tc>
        <w:tc>
          <w:tcPr>
            <w:tcW w:type="dxa" w:w="7370"/>
          </w:tcPr>
          <w:p>
            <w:pPr>
              <w:spacing w:after="0"/>
            </w:pPr>
            <w:r/>
            <w:r>
              <w:rPr>
                <w:b w:val="0"/>
                <w:i w:val="0"/>
                <w:sz w:val="17"/>
              </w:rPr>
              <w:t>Net 30</w:t>
            </w:r>
          </w:p>
        </w:tc>
      </w:tr>
      <w:tr>
        <w:trPr>
          <w:cantSplit w:val="true"/>
        </w:trPr>
        <w:tc>
          <w:tcPr>
            <w:tcW w:type="dxa" w:w="2268"/>
            <w:shd w:val="clear" w:color="auto" w:fill="F9FAFB"/>
          </w:tcPr>
          <w:p>
            <w:pPr>
              <w:spacing w:after="0"/>
            </w:pPr>
            <w:r/>
            <w:r>
              <w:rPr>
                <w:b w:val="0"/>
                <w:i w:val="0"/>
                <w:sz w:val="17"/>
              </w:rPr>
              <w:t>45 days</w:t>
            </w:r>
          </w:p>
        </w:tc>
        <w:tc>
          <w:tcPr>
            <w:tcW w:type="dxa" w:w="7370"/>
            <w:shd w:val="clear" w:color="auto" w:fill="F9FAFB"/>
          </w:tcPr>
          <w:p>
            <w:pPr>
              <w:spacing w:after="0"/>
            </w:pPr>
            <w:r/>
            <w:r>
              <w:rPr>
                <w:b w:val="0"/>
                <w:i w:val="0"/>
                <w:sz w:val="17"/>
              </w:rPr>
              <w:t>Net 45</w:t>
            </w:r>
          </w:p>
        </w:tc>
      </w:tr>
      <w:tr>
        <w:trPr>
          <w:cantSplit w:val="true"/>
        </w:trPr>
        <w:tc>
          <w:tcPr>
            <w:tcW w:type="dxa" w:w="2268"/>
          </w:tcPr>
          <w:p>
            <w:pPr>
              <w:spacing w:after="0"/>
            </w:pPr>
            <w:r/>
            <w:r>
              <w:rPr>
                <w:b w:val="0"/>
                <w:i w:val="0"/>
                <w:sz w:val="17"/>
              </w:rPr>
              <w:t>60 days</w:t>
            </w:r>
          </w:p>
        </w:tc>
        <w:tc>
          <w:tcPr>
            <w:tcW w:type="dxa" w:w="7370"/>
          </w:tcPr>
          <w:p>
            <w:pPr>
              <w:spacing w:after="0"/>
            </w:pPr>
            <w:r/>
            <w:r>
              <w:rPr>
                <w:b w:val="0"/>
                <w:i w:val="0"/>
                <w:sz w:val="17"/>
              </w:rPr>
              <w:t>Net 60</w:t>
            </w:r>
          </w:p>
        </w:tc>
      </w:tr>
    </w:tbl>
    <w:p>
      <w:pPr>
        <w:spacing w:after="40"/>
      </w:pP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1134"/>
        <w:gridCol w:w="2835"/>
        <w:gridCol w:w="1417"/>
        <w:gridCol w:w="4252"/>
      </w:tblGrid>
      <w:tr>
        <w:trPr>
          <w:tblHeader w:val="true"/>
        </w:trPr>
        <w:tc>
          <w:tcPr>
            <w:tcW w:type="dxa" w:w="1134"/>
            <w:shd w:val="clear" w:color="auto" w:fill="C8102E"/>
          </w:tcPr>
          <w:p>
            <w:r/>
            <w:r>
              <w:rPr>
                <w:b/>
                <w:color w:val="FFFFFF"/>
                <w:sz w:val="16"/>
              </w:rPr>
              <w:t>Journal</w:t>
            </w:r>
          </w:p>
        </w:tc>
        <w:tc>
          <w:tcPr>
            <w:tcW w:type="dxa" w:w="2835"/>
            <w:shd w:val="clear" w:color="auto" w:fill="C8102E"/>
          </w:tcPr>
          <w:p>
            <w:r/>
            <w:r>
              <w:rPr>
                <w:b/>
                <w:color w:val="FFFFFF"/>
                <w:sz w:val="16"/>
              </w:rPr>
              <w:t>Name</w:t>
            </w:r>
          </w:p>
        </w:tc>
        <w:tc>
          <w:tcPr>
            <w:tcW w:type="dxa" w:w="1417"/>
            <w:shd w:val="clear" w:color="auto" w:fill="C8102E"/>
          </w:tcPr>
          <w:p>
            <w:r/>
            <w:r>
              <w:rPr>
                <w:b/>
                <w:color w:val="FFFFFF"/>
                <w:sz w:val="16"/>
              </w:rPr>
              <w:t>Type</w:t>
            </w:r>
          </w:p>
        </w:tc>
        <w:tc>
          <w:tcPr>
            <w:tcW w:type="dxa" w:w="4252"/>
            <w:shd w:val="clear" w:color="auto" w:fill="C8102E"/>
          </w:tcPr>
          <w:p>
            <w:r/>
            <w:r>
              <w:rPr>
                <w:b/>
                <w:color w:val="FFFFFF"/>
                <w:sz w:val="16"/>
              </w:rPr>
              <w:t>Default account</w:t>
            </w:r>
          </w:p>
        </w:tc>
      </w:tr>
      <w:tr>
        <w:trPr>
          <w:cantSplit w:val="true"/>
        </w:trPr>
        <w:tc>
          <w:tcPr>
            <w:tcW w:type="dxa" w:w="1134"/>
          </w:tcPr>
          <w:p>
            <w:pPr>
              <w:spacing w:after="0"/>
            </w:pPr>
            <w:r/>
            <w:r>
              <w:rPr>
                <w:b w:val="0"/>
                <w:i w:val="0"/>
                <w:sz w:val="16"/>
              </w:rPr>
              <w:t>INV</w:t>
            </w:r>
          </w:p>
        </w:tc>
        <w:tc>
          <w:tcPr>
            <w:tcW w:type="dxa" w:w="2835"/>
          </w:tcPr>
          <w:p>
            <w:pPr>
              <w:spacing w:after="0"/>
            </w:pPr>
            <w:r/>
            <w:r>
              <w:rPr>
                <w:b w:val="0"/>
                <w:i w:val="0"/>
                <w:sz w:val="16"/>
              </w:rPr>
              <w:t>Customer Invoices</w:t>
            </w:r>
          </w:p>
        </w:tc>
        <w:tc>
          <w:tcPr>
            <w:tcW w:type="dxa" w:w="1417"/>
          </w:tcPr>
          <w:p>
            <w:pPr>
              <w:spacing w:after="0"/>
            </w:pPr>
            <w:r/>
            <w:r>
              <w:rPr>
                <w:b w:val="0"/>
                <w:i w:val="0"/>
                <w:sz w:val="16"/>
              </w:rPr>
              <w:t>Sales</w:t>
            </w:r>
          </w:p>
        </w:tc>
        <w:tc>
          <w:tcPr>
            <w:tcW w:type="dxa" w:w="4252"/>
          </w:tcPr>
          <w:p>
            <w:pPr>
              <w:spacing w:after="0"/>
            </w:pPr>
            <w:r/>
            <w:r>
              <w:rPr>
                <w:b w:val="0"/>
                <w:i w:val="0"/>
                <w:sz w:val="16"/>
              </w:rPr>
              <w:t>410100 (per product category)</w:t>
            </w:r>
          </w:p>
        </w:tc>
      </w:tr>
      <w:tr>
        <w:trPr>
          <w:cantSplit w:val="true"/>
        </w:trPr>
        <w:tc>
          <w:tcPr>
            <w:tcW w:type="dxa" w:w="1134"/>
            <w:shd w:val="clear" w:color="auto" w:fill="F9FAFB"/>
          </w:tcPr>
          <w:p>
            <w:pPr>
              <w:spacing w:after="0"/>
            </w:pPr>
            <w:r/>
            <w:r>
              <w:rPr>
                <w:b w:val="0"/>
                <w:i w:val="0"/>
                <w:sz w:val="16"/>
              </w:rPr>
              <w:t>BILL</w:t>
            </w:r>
          </w:p>
        </w:tc>
        <w:tc>
          <w:tcPr>
            <w:tcW w:type="dxa" w:w="2835"/>
            <w:shd w:val="clear" w:color="auto" w:fill="F9FAFB"/>
          </w:tcPr>
          <w:p>
            <w:pPr>
              <w:spacing w:after="0"/>
            </w:pPr>
            <w:r/>
            <w:r>
              <w:rPr>
                <w:b w:val="0"/>
                <w:i w:val="0"/>
                <w:sz w:val="16"/>
              </w:rPr>
              <w:t>Vendor Bills</w:t>
            </w:r>
          </w:p>
        </w:tc>
        <w:tc>
          <w:tcPr>
            <w:tcW w:type="dxa" w:w="1417"/>
            <w:shd w:val="clear" w:color="auto" w:fill="F9FAFB"/>
          </w:tcPr>
          <w:p>
            <w:pPr>
              <w:spacing w:after="0"/>
            </w:pPr>
            <w:r/>
            <w:r>
              <w:rPr>
                <w:b w:val="0"/>
                <w:i w:val="0"/>
                <w:sz w:val="16"/>
              </w:rPr>
              <w:t>Purchase</w:t>
            </w:r>
          </w:p>
        </w:tc>
        <w:tc>
          <w:tcPr>
            <w:tcW w:type="dxa" w:w="4252"/>
            <w:shd w:val="clear" w:color="auto" w:fill="F9FAFB"/>
          </w:tcPr>
          <w:p>
            <w:pPr>
              <w:spacing w:after="0"/>
            </w:pPr>
            <w:r/>
            <w:r>
              <w:rPr>
                <w:b w:val="0"/>
                <w:i w:val="0"/>
                <w:sz w:val="16"/>
              </w:rPr>
              <w:t>Per product category / expense account</w:t>
            </w:r>
          </w:p>
        </w:tc>
      </w:tr>
      <w:tr>
        <w:trPr>
          <w:cantSplit w:val="true"/>
        </w:trPr>
        <w:tc>
          <w:tcPr>
            <w:tcW w:type="dxa" w:w="1134"/>
          </w:tcPr>
          <w:p>
            <w:pPr>
              <w:spacing w:after="0"/>
            </w:pPr>
            <w:r/>
            <w:r>
              <w:rPr>
                <w:b w:val="0"/>
                <w:i w:val="0"/>
                <w:sz w:val="16"/>
              </w:rPr>
              <w:t>STJ</w:t>
            </w:r>
          </w:p>
        </w:tc>
        <w:tc>
          <w:tcPr>
            <w:tcW w:type="dxa" w:w="2835"/>
          </w:tcPr>
          <w:p>
            <w:pPr>
              <w:spacing w:after="0"/>
            </w:pPr>
            <w:r/>
            <w:r>
              <w:rPr>
                <w:b w:val="0"/>
                <w:i w:val="0"/>
                <w:sz w:val="16"/>
              </w:rPr>
              <w:t>Inventory Valuation</w:t>
            </w:r>
          </w:p>
        </w:tc>
        <w:tc>
          <w:tcPr>
            <w:tcW w:type="dxa" w:w="1417"/>
          </w:tcPr>
          <w:p>
            <w:pPr>
              <w:spacing w:after="0"/>
            </w:pPr>
            <w:r/>
            <w:r>
              <w:rPr>
                <w:b w:val="0"/>
                <w:i w:val="0"/>
                <w:sz w:val="16"/>
              </w:rPr>
              <w:t>General</w:t>
            </w:r>
          </w:p>
        </w:tc>
        <w:tc>
          <w:tcPr>
            <w:tcW w:type="dxa" w:w="4252"/>
          </w:tcPr>
          <w:p>
            <w:pPr>
              <w:spacing w:after="0"/>
            </w:pPr>
            <w:r/>
            <w:r>
              <w:rPr>
                <w:b w:val="0"/>
                <w:i w:val="0"/>
                <w:sz w:val="16"/>
              </w:rPr>
              <w:t>Stock valuation accounts (130100/130200/130300)</w:t>
            </w:r>
          </w:p>
        </w:tc>
      </w:tr>
      <w:tr>
        <w:trPr>
          <w:cantSplit w:val="true"/>
        </w:trPr>
        <w:tc>
          <w:tcPr>
            <w:tcW w:type="dxa" w:w="1134"/>
            <w:shd w:val="clear" w:color="auto" w:fill="F9FAFB"/>
          </w:tcPr>
          <w:p>
            <w:pPr>
              <w:spacing w:after="0"/>
            </w:pPr>
            <w:r/>
            <w:r>
              <w:rPr>
                <w:b w:val="0"/>
                <w:i w:val="0"/>
                <w:sz w:val="16"/>
              </w:rPr>
              <w:t>MISC</w:t>
            </w:r>
          </w:p>
        </w:tc>
        <w:tc>
          <w:tcPr>
            <w:tcW w:type="dxa" w:w="2835"/>
            <w:shd w:val="clear" w:color="auto" w:fill="F9FAFB"/>
          </w:tcPr>
          <w:p>
            <w:pPr>
              <w:spacing w:after="0"/>
            </w:pPr>
            <w:r/>
            <w:r>
              <w:rPr>
                <w:b w:val="0"/>
                <w:i w:val="0"/>
                <w:sz w:val="16"/>
              </w:rPr>
              <w:t>Miscellaneous Operations</w:t>
            </w:r>
          </w:p>
        </w:tc>
        <w:tc>
          <w:tcPr>
            <w:tcW w:type="dxa" w:w="1417"/>
            <w:shd w:val="clear" w:color="auto" w:fill="F9FAFB"/>
          </w:tcPr>
          <w:p>
            <w:pPr>
              <w:spacing w:after="0"/>
            </w:pPr>
            <w:r/>
            <w:r>
              <w:rPr>
                <w:b w:val="0"/>
                <w:i w:val="0"/>
                <w:sz w:val="16"/>
              </w:rPr>
              <w:t>General</w:t>
            </w:r>
          </w:p>
        </w:tc>
        <w:tc>
          <w:tcPr>
            <w:tcW w:type="dxa" w:w="4252"/>
            <w:shd w:val="clear" w:color="auto" w:fill="F9FAFB"/>
          </w:tcPr>
          <w:p>
            <w:pPr>
              <w:spacing w:after="0"/>
            </w:pPr>
            <w:r/>
            <w:r>
              <w:rPr>
                <w:b w:val="0"/>
                <w:i w:val="0"/>
                <w:sz w:val="16"/>
              </w:rPr>
              <w:t>—</w:t>
            </w:r>
          </w:p>
        </w:tc>
      </w:tr>
      <w:tr>
        <w:trPr>
          <w:cantSplit w:val="true"/>
        </w:trPr>
        <w:tc>
          <w:tcPr>
            <w:tcW w:type="dxa" w:w="1134"/>
          </w:tcPr>
          <w:p>
            <w:pPr>
              <w:spacing w:after="0"/>
            </w:pPr>
            <w:r/>
            <w:r>
              <w:rPr>
                <w:b w:val="0"/>
                <w:i w:val="0"/>
                <w:sz w:val="16"/>
              </w:rPr>
              <w:t>OPEN</w:t>
            </w:r>
          </w:p>
        </w:tc>
        <w:tc>
          <w:tcPr>
            <w:tcW w:type="dxa" w:w="2835"/>
          </w:tcPr>
          <w:p>
            <w:pPr>
              <w:spacing w:after="0"/>
            </w:pPr>
            <w:r/>
            <w:r>
              <w:rPr>
                <w:b w:val="0"/>
                <w:i w:val="0"/>
                <w:sz w:val="16"/>
              </w:rPr>
              <w:t>Opening Balances</w:t>
            </w:r>
          </w:p>
        </w:tc>
        <w:tc>
          <w:tcPr>
            <w:tcW w:type="dxa" w:w="1417"/>
          </w:tcPr>
          <w:p>
            <w:pPr>
              <w:spacing w:after="0"/>
            </w:pPr>
            <w:r/>
            <w:r>
              <w:rPr>
                <w:b w:val="0"/>
                <w:i w:val="0"/>
                <w:sz w:val="16"/>
              </w:rPr>
              <w:t>General</w:t>
            </w:r>
          </w:p>
        </w:tc>
        <w:tc>
          <w:tcPr>
            <w:tcW w:type="dxa" w:w="4252"/>
          </w:tcPr>
          <w:p>
            <w:pPr>
              <w:spacing w:after="0"/>
            </w:pPr>
            <w:r/>
            <w:r>
              <w:rPr>
                <w:b w:val="0"/>
                <w:i w:val="0"/>
                <w:sz w:val="16"/>
              </w:rPr>
              <w:t>310200</w:t>
            </w:r>
          </w:p>
        </w:tc>
      </w:tr>
      <w:tr>
        <w:trPr>
          <w:cantSplit w:val="true"/>
        </w:trPr>
        <w:tc>
          <w:tcPr>
            <w:tcW w:type="dxa" w:w="1134"/>
            <w:shd w:val="clear" w:color="auto" w:fill="F9FAFB"/>
          </w:tcPr>
          <w:p>
            <w:pPr>
              <w:spacing w:after="0"/>
            </w:pPr>
            <w:r/>
            <w:r>
              <w:rPr>
                <w:b w:val="0"/>
                <w:i w:val="0"/>
                <w:sz w:val="16"/>
              </w:rPr>
              <w:t>CIB1</w:t>
            </w:r>
          </w:p>
        </w:tc>
        <w:tc>
          <w:tcPr>
            <w:tcW w:type="dxa" w:w="2835"/>
            <w:shd w:val="clear" w:color="auto" w:fill="F9FAFB"/>
          </w:tcPr>
          <w:p>
            <w:pPr>
              <w:spacing w:after="0"/>
            </w:pPr>
            <w:r/>
            <w:r>
              <w:rPr>
                <w:b w:val="0"/>
                <w:i w:val="0"/>
                <w:sz w:val="16"/>
              </w:rPr>
              <w:t>CIB Bank</w:t>
            </w:r>
          </w:p>
        </w:tc>
        <w:tc>
          <w:tcPr>
            <w:tcW w:type="dxa" w:w="1417"/>
            <w:shd w:val="clear" w:color="auto" w:fill="F9FAFB"/>
          </w:tcPr>
          <w:p>
            <w:pPr>
              <w:spacing w:after="0"/>
            </w:pPr>
            <w:r/>
            <w:r>
              <w:rPr>
                <w:b w:val="0"/>
                <w:i w:val="0"/>
                <w:sz w:val="16"/>
              </w:rPr>
              <w:t>Bank</w:t>
            </w:r>
          </w:p>
        </w:tc>
        <w:tc>
          <w:tcPr>
            <w:tcW w:type="dxa" w:w="4252"/>
            <w:shd w:val="clear" w:color="auto" w:fill="F9FAFB"/>
          </w:tcPr>
          <w:p>
            <w:pPr>
              <w:spacing w:after="0"/>
            </w:pPr>
            <w:r/>
            <w:r>
              <w:rPr>
                <w:b w:val="0"/>
                <w:i w:val="0"/>
                <w:sz w:val="16"/>
              </w:rPr>
              <w:t>110201</w:t>
            </w:r>
          </w:p>
        </w:tc>
      </w:tr>
      <w:tr>
        <w:trPr>
          <w:cantSplit w:val="true"/>
        </w:trPr>
        <w:tc>
          <w:tcPr>
            <w:tcW w:type="dxa" w:w="1134"/>
          </w:tcPr>
          <w:p>
            <w:pPr>
              <w:spacing w:after="0"/>
            </w:pPr>
            <w:r/>
            <w:r>
              <w:rPr>
                <w:b w:val="0"/>
                <w:i w:val="0"/>
                <w:sz w:val="16"/>
              </w:rPr>
              <w:t>NBE1</w:t>
            </w:r>
          </w:p>
        </w:tc>
        <w:tc>
          <w:tcPr>
            <w:tcW w:type="dxa" w:w="2835"/>
          </w:tcPr>
          <w:p>
            <w:pPr>
              <w:spacing w:after="0"/>
            </w:pPr>
            <w:r/>
            <w:r>
              <w:rPr>
                <w:b w:val="0"/>
                <w:i w:val="0"/>
                <w:sz w:val="16"/>
              </w:rPr>
              <w:t>NBE Bank</w:t>
            </w:r>
          </w:p>
        </w:tc>
        <w:tc>
          <w:tcPr>
            <w:tcW w:type="dxa" w:w="1417"/>
          </w:tcPr>
          <w:p>
            <w:pPr>
              <w:spacing w:after="0"/>
            </w:pPr>
            <w:r/>
            <w:r>
              <w:rPr>
                <w:b w:val="0"/>
                <w:i w:val="0"/>
                <w:sz w:val="16"/>
              </w:rPr>
              <w:t>Bank</w:t>
            </w:r>
          </w:p>
        </w:tc>
        <w:tc>
          <w:tcPr>
            <w:tcW w:type="dxa" w:w="4252"/>
          </w:tcPr>
          <w:p>
            <w:pPr>
              <w:spacing w:after="0"/>
            </w:pPr>
            <w:r/>
            <w:r>
              <w:rPr>
                <w:b w:val="0"/>
                <w:i w:val="0"/>
                <w:sz w:val="16"/>
              </w:rPr>
              <w:t>110202</w:t>
            </w:r>
          </w:p>
        </w:tc>
      </w:tr>
      <w:tr>
        <w:trPr>
          <w:cantSplit w:val="true"/>
        </w:trPr>
        <w:tc>
          <w:tcPr>
            <w:tcW w:type="dxa" w:w="1134"/>
            <w:shd w:val="clear" w:color="auto" w:fill="F9FAFB"/>
          </w:tcPr>
          <w:p>
            <w:pPr>
              <w:spacing w:after="0"/>
            </w:pPr>
            <w:r/>
            <w:r>
              <w:rPr>
                <w:b w:val="0"/>
                <w:i w:val="0"/>
                <w:sz w:val="16"/>
              </w:rPr>
              <w:t>CSH1</w:t>
            </w:r>
          </w:p>
        </w:tc>
        <w:tc>
          <w:tcPr>
            <w:tcW w:type="dxa" w:w="2835"/>
            <w:shd w:val="clear" w:color="auto" w:fill="F9FAFB"/>
          </w:tcPr>
          <w:p>
            <w:pPr>
              <w:spacing w:after="0"/>
            </w:pPr>
            <w:r/>
            <w:r>
              <w:rPr>
                <w:b w:val="0"/>
                <w:i w:val="0"/>
                <w:sz w:val="16"/>
              </w:rPr>
              <w:t>Cash Safe — Nasr City</w:t>
            </w:r>
          </w:p>
        </w:tc>
        <w:tc>
          <w:tcPr>
            <w:tcW w:type="dxa" w:w="1417"/>
            <w:shd w:val="clear" w:color="auto" w:fill="F9FAFB"/>
          </w:tcPr>
          <w:p>
            <w:pPr>
              <w:spacing w:after="0"/>
            </w:pPr>
            <w:r/>
            <w:r>
              <w:rPr>
                <w:b w:val="0"/>
                <w:i w:val="0"/>
                <w:sz w:val="16"/>
              </w:rPr>
              <w:t>Cash</w:t>
            </w:r>
          </w:p>
        </w:tc>
        <w:tc>
          <w:tcPr>
            <w:tcW w:type="dxa" w:w="4252"/>
            <w:shd w:val="clear" w:color="auto" w:fill="F9FAFB"/>
          </w:tcPr>
          <w:p>
            <w:pPr>
              <w:spacing w:after="0"/>
            </w:pPr>
            <w:r/>
            <w:r>
              <w:rPr>
                <w:b w:val="0"/>
                <w:i w:val="0"/>
                <w:sz w:val="16"/>
              </w:rPr>
              <w:t>110101</w:t>
            </w:r>
          </w:p>
        </w:tc>
      </w:tr>
      <w:tr>
        <w:trPr>
          <w:cantSplit w:val="true"/>
        </w:trPr>
        <w:tc>
          <w:tcPr>
            <w:tcW w:type="dxa" w:w="1134"/>
          </w:tcPr>
          <w:p>
            <w:pPr>
              <w:spacing w:after="0"/>
            </w:pPr>
            <w:r/>
            <w:r>
              <w:rPr>
                <w:b w:val="0"/>
                <w:i w:val="0"/>
                <w:sz w:val="16"/>
              </w:rPr>
              <w:t>CSH2</w:t>
            </w:r>
          </w:p>
        </w:tc>
        <w:tc>
          <w:tcPr>
            <w:tcW w:type="dxa" w:w="2835"/>
          </w:tcPr>
          <w:p>
            <w:pPr>
              <w:spacing w:after="0"/>
            </w:pPr>
            <w:r/>
            <w:r>
              <w:rPr>
                <w:b w:val="0"/>
                <w:i w:val="0"/>
                <w:sz w:val="16"/>
              </w:rPr>
              <w:t>Cash Safe — Maadi</w:t>
            </w:r>
          </w:p>
        </w:tc>
        <w:tc>
          <w:tcPr>
            <w:tcW w:type="dxa" w:w="1417"/>
          </w:tcPr>
          <w:p>
            <w:pPr>
              <w:spacing w:after="0"/>
            </w:pPr>
            <w:r/>
            <w:r>
              <w:rPr>
                <w:b w:val="0"/>
                <w:i w:val="0"/>
                <w:sz w:val="16"/>
              </w:rPr>
              <w:t>Cash</w:t>
            </w:r>
          </w:p>
        </w:tc>
        <w:tc>
          <w:tcPr>
            <w:tcW w:type="dxa" w:w="4252"/>
          </w:tcPr>
          <w:p>
            <w:pPr>
              <w:spacing w:after="0"/>
            </w:pPr>
            <w:r/>
            <w:r>
              <w:rPr>
                <w:b w:val="0"/>
                <w:i w:val="0"/>
                <w:sz w:val="16"/>
              </w:rPr>
              <w:t>110102</w:t>
            </w:r>
          </w:p>
        </w:tc>
      </w:tr>
      <w:tr>
        <w:trPr>
          <w:cantSplit w:val="true"/>
        </w:trPr>
        <w:tc>
          <w:tcPr>
            <w:tcW w:type="dxa" w:w="1134"/>
            <w:shd w:val="clear" w:color="auto" w:fill="F9FAFB"/>
          </w:tcPr>
          <w:p>
            <w:pPr>
              <w:spacing w:after="0"/>
            </w:pPr>
            <w:r/>
            <w:r>
              <w:rPr>
                <w:b w:val="0"/>
                <w:i w:val="0"/>
                <w:sz w:val="16"/>
              </w:rPr>
              <w:t>CSH3</w:t>
            </w:r>
          </w:p>
        </w:tc>
        <w:tc>
          <w:tcPr>
            <w:tcW w:type="dxa" w:w="2835"/>
            <w:shd w:val="clear" w:color="auto" w:fill="F9FAFB"/>
          </w:tcPr>
          <w:p>
            <w:pPr>
              <w:spacing w:after="0"/>
            </w:pPr>
            <w:r/>
            <w:r>
              <w:rPr>
                <w:b w:val="0"/>
                <w:i w:val="0"/>
                <w:sz w:val="16"/>
              </w:rPr>
              <w:t>Cash Safe — Mohandeseen</w:t>
            </w:r>
          </w:p>
        </w:tc>
        <w:tc>
          <w:tcPr>
            <w:tcW w:type="dxa" w:w="1417"/>
            <w:shd w:val="clear" w:color="auto" w:fill="F9FAFB"/>
          </w:tcPr>
          <w:p>
            <w:pPr>
              <w:spacing w:after="0"/>
            </w:pPr>
            <w:r/>
            <w:r>
              <w:rPr>
                <w:b w:val="0"/>
                <w:i w:val="0"/>
                <w:sz w:val="16"/>
              </w:rPr>
              <w:t>Cash</w:t>
            </w:r>
          </w:p>
        </w:tc>
        <w:tc>
          <w:tcPr>
            <w:tcW w:type="dxa" w:w="4252"/>
            <w:shd w:val="clear" w:color="auto" w:fill="F9FAFB"/>
          </w:tcPr>
          <w:p>
            <w:pPr>
              <w:spacing w:after="0"/>
            </w:pPr>
            <w:r/>
            <w:r>
              <w:rPr>
                <w:b w:val="0"/>
                <w:i w:val="0"/>
                <w:sz w:val="16"/>
              </w:rPr>
              <w:t>110103</w:t>
            </w:r>
          </w:p>
        </w:tc>
      </w:tr>
      <w:tr>
        <w:trPr>
          <w:cantSplit w:val="true"/>
        </w:trPr>
        <w:tc>
          <w:tcPr>
            <w:tcW w:type="dxa" w:w="1134"/>
          </w:tcPr>
          <w:p>
            <w:pPr>
              <w:spacing w:after="0"/>
            </w:pPr>
            <w:r/>
            <w:r>
              <w:rPr>
                <w:b w:val="0"/>
                <w:i w:val="0"/>
                <w:sz w:val="16"/>
              </w:rPr>
              <w:t>EXCH</w:t>
            </w:r>
          </w:p>
        </w:tc>
        <w:tc>
          <w:tcPr>
            <w:tcW w:type="dxa" w:w="2835"/>
          </w:tcPr>
          <w:p>
            <w:pPr>
              <w:spacing w:after="0"/>
            </w:pPr>
            <w:r/>
            <w:r>
              <w:rPr>
                <w:b w:val="0"/>
                <w:i w:val="0"/>
                <w:sz w:val="16"/>
              </w:rPr>
              <w:t>Exchange Difference</w:t>
            </w:r>
          </w:p>
        </w:tc>
        <w:tc>
          <w:tcPr>
            <w:tcW w:type="dxa" w:w="1417"/>
          </w:tcPr>
          <w:p>
            <w:pPr>
              <w:spacing w:after="0"/>
            </w:pPr>
            <w:r/>
            <w:r>
              <w:rPr>
                <w:b w:val="0"/>
                <w:i w:val="0"/>
                <w:sz w:val="16"/>
              </w:rPr>
              <w:t>General</w:t>
            </w:r>
          </w:p>
        </w:tc>
        <w:tc>
          <w:tcPr>
            <w:tcW w:type="dxa" w:w="4252"/>
          </w:tcPr>
          <w:p>
            <w:pPr>
              <w:spacing w:after="0"/>
            </w:pPr>
            <w:r/>
            <w:r>
              <w:rPr>
                <w:b w:val="0"/>
                <w:i w:val="0"/>
                <w:sz w:val="16"/>
              </w:rPr>
              <w:t>450200 / 710200</w:t>
            </w:r>
          </w:p>
        </w:tc>
      </w:tr>
    </w:tbl>
    <w:p>
      <w:pPr>
        <w:spacing w:after="40"/>
      </w:pPr>
    </w:p>
    <w:p>
      <w:r>
        <w:rPr>
          <w:b w:val="0"/>
          <w:i w:val="0"/>
        </w:rPr>
        <w:t>Standard reports configured: Balance Sheet, Profit &amp; Loss (branch filter), Trial Balance, Partner Ledger, Aged Receivable/Payable, Tax report, Inventory Valuation, Stock Traceability, Expiry report. See Organization_and_Accounting_Charts.xlsx, sheet 'Financial Reporting Structure'.</w:t>
      </w:r>
    </w:p>
    <w:p>
      <w:pPr>
        <w:pStyle w:val="Heading1"/>
      </w:pPr>
      <w:r>
        <w:t>10. Training outline</w:t>
      </w:r>
    </w:p>
    <w:tbl>
      <w:tblPr>
        <w:tblStyle w:val="TableGrid"/>
        <w:tblW w:type="auto" w:w="0"/>
        <w:jc w:val="center"/>
        <w:tblLook w:firstColumn="1" w:firstRow="1" w:lastColumn="0" w:lastRow="0" w:noHBand="0" w:noVBand="1" w:val="04A0"/>
        <w:tblLayout w:type="fixed"/>
        <w:tblCellMar>
          <w:top w:w="50" w:type="dxa"/>
          <w:left w:w="80" w:type="dxa"/>
          <w:bottom w:w="50" w:type="dxa"/>
          <w:right w:w="80" w:type="dxa"/>
        </w:tblCellMar>
        <w:tblLayout w:type="fixed"/>
      </w:tblPr>
      <w:tblGrid>
        <w:gridCol w:w="2551"/>
        <w:gridCol w:w="1814"/>
        <w:gridCol w:w="1020"/>
        <w:gridCol w:w="4252"/>
      </w:tblGrid>
      <w:tr>
        <w:trPr>
          <w:tblHeader w:val="true"/>
        </w:trPr>
        <w:tc>
          <w:tcPr>
            <w:tcW w:type="dxa" w:w="2551"/>
            <w:shd w:val="clear" w:color="auto" w:fill="C8102E"/>
          </w:tcPr>
          <w:p>
            <w:r/>
            <w:r>
              <w:rPr>
                <w:b/>
                <w:color w:val="FFFFFF"/>
                <w:sz w:val="17"/>
              </w:rPr>
              <w:t>Module</w:t>
            </w:r>
          </w:p>
        </w:tc>
        <w:tc>
          <w:tcPr>
            <w:tcW w:type="dxa" w:w="1814"/>
            <w:shd w:val="clear" w:color="auto" w:fill="C8102E"/>
          </w:tcPr>
          <w:p>
            <w:r/>
            <w:r>
              <w:rPr>
                <w:b/>
                <w:color w:val="FFFFFF"/>
                <w:sz w:val="17"/>
              </w:rPr>
              <w:t>Audience</w:t>
            </w:r>
          </w:p>
        </w:tc>
        <w:tc>
          <w:tcPr>
            <w:tcW w:type="dxa" w:w="1020"/>
            <w:shd w:val="clear" w:color="auto" w:fill="C8102E"/>
          </w:tcPr>
          <w:p>
            <w:r/>
            <w:r>
              <w:rPr>
                <w:b/>
                <w:color w:val="FFFFFF"/>
                <w:sz w:val="17"/>
              </w:rPr>
              <w:t>Duration</w:t>
            </w:r>
          </w:p>
        </w:tc>
        <w:tc>
          <w:tcPr>
            <w:tcW w:type="dxa" w:w="4252"/>
            <w:shd w:val="clear" w:color="auto" w:fill="C8102E"/>
          </w:tcPr>
          <w:p>
            <w:r/>
            <w:r>
              <w:rPr>
                <w:b/>
                <w:color w:val="FFFFFF"/>
                <w:sz w:val="17"/>
              </w:rPr>
              <w:t>Hands-on exercise</w:t>
            </w:r>
          </w:p>
        </w:tc>
      </w:tr>
      <w:tr>
        <w:trPr>
          <w:cantSplit w:val="true"/>
        </w:trPr>
        <w:tc>
          <w:tcPr>
            <w:tcW w:type="dxa" w:w="2551"/>
          </w:tcPr>
          <w:p>
            <w:pPr>
              <w:spacing w:after="0"/>
            </w:pPr>
            <w:r/>
            <w:r>
              <w:rPr>
                <w:b w:val="0"/>
                <w:i w:val="0"/>
                <w:sz w:val="17"/>
              </w:rPr>
              <w:t>Odoo navigation, Arabic/English</w:t>
            </w:r>
          </w:p>
        </w:tc>
        <w:tc>
          <w:tcPr>
            <w:tcW w:type="dxa" w:w="1814"/>
          </w:tcPr>
          <w:p>
            <w:pPr>
              <w:spacing w:after="0"/>
            </w:pPr>
            <w:r/>
            <w:r>
              <w:rPr>
                <w:b w:val="0"/>
                <w:i w:val="0"/>
                <w:sz w:val="17"/>
              </w:rPr>
              <w:t>All users</w:t>
            </w:r>
          </w:p>
        </w:tc>
        <w:tc>
          <w:tcPr>
            <w:tcW w:type="dxa" w:w="1020"/>
          </w:tcPr>
          <w:p>
            <w:pPr>
              <w:spacing w:after="0"/>
            </w:pPr>
            <w:r/>
            <w:r>
              <w:rPr>
                <w:b w:val="0"/>
                <w:i w:val="0"/>
                <w:sz w:val="17"/>
              </w:rPr>
              <w:t>2 h</w:t>
            </w:r>
          </w:p>
        </w:tc>
        <w:tc>
          <w:tcPr>
            <w:tcW w:type="dxa" w:w="4252"/>
          </w:tcPr>
          <w:p>
            <w:pPr>
              <w:spacing w:after="0"/>
            </w:pPr>
            <w:r/>
            <w:r>
              <w:rPr>
                <w:b w:val="0"/>
                <w:i w:val="0"/>
                <w:sz w:val="17"/>
              </w:rPr>
              <w:t>Switch language; print a quotation in Arabic</w:t>
            </w:r>
          </w:p>
        </w:tc>
      </w:tr>
      <w:tr>
        <w:trPr>
          <w:cantSplit w:val="true"/>
        </w:trPr>
        <w:tc>
          <w:tcPr>
            <w:tcW w:type="dxa" w:w="2551"/>
            <w:shd w:val="clear" w:color="auto" w:fill="F9FAFB"/>
          </w:tcPr>
          <w:p>
            <w:pPr>
              <w:spacing w:after="0"/>
            </w:pPr>
            <w:r/>
            <w:r>
              <w:rPr>
                <w:b w:val="0"/>
                <w:i w:val="0"/>
                <w:sz w:val="17"/>
              </w:rPr>
              <w:t>Sales and credit control</w:t>
            </w:r>
          </w:p>
        </w:tc>
        <w:tc>
          <w:tcPr>
            <w:tcW w:type="dxa" w:w="1814"/>
            <w:shd w:val="clear" w:color="auto" w:fill="F9FAFB"/>
          </w:tcPr>
          <w:p>
            <w:pPr>
              <w:spacing w:after="0"/>
            </w:pPr>
            <w:r/>
            <w:r>
              <w:rPr>
                <w:b w:val="0"/>
                <w:i w:val="0"/>
                <w:sz w:val="17"/>
              </w:rPr>
              <w:t>Sales team</w:t>
            </w:r>
          </w:p>
        </w:tc>
        <w:tc>
          <w:tcPr>
            <w:tcW w:type="dxa" w:w="1020"/>
            <w:shd w:val="clear" w:color="auto" w:fill="F9FAFB"/>
          </w:tcPr>
          <w:p>
            <w:pPr>
              <w:spacing w:after="0"/>
            </w:pPr>
            <w:r/>
            <w:r>
              <w:rPr>
                <w:b w:val="0"/>
                <w:i w:val="0"/>
                <w:sz w:val="17"/>
              </w:rPr>
              <w:t>4 h</w:t>
            </w:r>
          </w:p>
        </w:tc>
        <w:tc>
          <w:tcPr>
            <w:tcW w:type="dxa" w:w="4252"/>
            <w:shd w:val="clear" w:color="auto" w:fill="F9FAFB"/>
          </w:tcPr>
          <w:p>
            <w:pPr>
              <w:spacing w:after="0"/>
            </w:pPr>
            <w:r/>
            <w:r>
              <w:rPr>
                <w:b w:val="0"/>
                <w:i w:val="0"/>
                <w:sz w:val="17"/>
              </w:rPr>
              <w:t>Quote -&gt; order -&gt; delivery -&gt; invoice; credit warning</w:t>
            </w:r>
          </w:p>
        </w:tc>
      </w:tr>
      <w:tr>
        <w:trPr>
          <w:cantSplit w:val="true"/>
        </w:trPr>
        <w:tc>
          <w:tcPr>
            <w:tcW w:type="dxa" w:w="2551"/>
          </w:tcPr>
          <w:p>
            <w:pPr>
              <w:spacing w:after="0"/>
            </w:pPr>
            <w:r/>
            <w:r>
              <w:rPr>
                <w:b w:val="0"/>
                <w:i w:val="0"/>
                <w:sz w:val="17"/>
              </w:rPr>
              <w:t>Purchase and replenishment</w:t>
            </w:r>
          </w:p>
        </w:tc>
        <w:tc>
          <w:tcPr>
            <w:tcW w:type="dxa" w:w="1814"/>
          </w:tcPr>
          <w:p>
            <w:pPr>
              <w:spacing w:after="0"/>
            </w:pPr>
            <w:r/>
            <w:r>
              <w:rPr>
                <w:b w:val="0"/>
                <w:i w:val="0"/>
                <w:sz w:val="17"/>
              </w:rPr>
              <w:t>Procurement</w:t>
            </w:r>
          </w:p>
        </w:tc>
        <w:tc>
          <w:tcPr>
            <w:tcW w:type="dxa" w:w="1020"/>
          </w:tcPr>
          <w:p>
            <w:pPr>
              <w:spacing w:after="0"/>
            </w:pPr>
            <w:r/>
            <w:r>
              <w:rPr>
                <w:b w:val="0"/>
                <w:i w:val="0"/>
                <w:sz w:val="17"/>
              </w:rPr>
              <w:t>3 h</w:t>
            </w:r>
          </w:p>
        </w:tc>
        <w:tc>
          <w:tcPr>
            <w:tcW w:type="dxa" w:w="4252"/>
          </w:tcPr>
          <w:p>
            <w:pPr>
              <w:spacing w:after="0"/>
            </w:pPr>
            <w:r/>
            <w:r>
              <w:rPr>
                <w:b w:val="0"/>
                <w:i w:val="0"/>
                <w:sz w:val="17"/>
              </w:rPr>
              <w:t>Run scheduler; PO approval; bill matching</w:t>
            </w:r>
          </w:p>
        </w:tc>
      </w:tr>
      <w:tr>
        <w:trPr>
          <w:cantSplit w:val="true"/>
        </w:trPr>
        <w:tc>
          <w:tcPr>
            <w:tcW w:type="dxa" w:w="2551"/>
            <w:shd w:val="clear" w:color="auto" w:fill="F9FAFB"/>
          </w:tcPr>
          <w:p>
            <w:pPr>
              <w:spacing w:after="0"/>
            </w:pPr>
            <w:r/>
            <w:r>
              <w:rPr>
                <w:b w:val="0"/>
                <w:i w:val="0"/>
                <w:sz w:val="17"/>
              </w:rPr>
              <w:t>Warehouse, lots, serials, FEFO</w:t>
            </w:r>
          </w:p>
        </w:tc>
        <w:tc>
          <w:tcPr>
            <w:tcW w:type="dxa" w:w="1814"/>
            <w:shd w:val="clear" w:color="auto" w:fill="F9FAFB"/>
          </w:tcPr>
          <w:p>
            <w:pPr>
              <w:spacing w:after="0"/>
            </w:pPr>
            <w:r/>
            <w:r>
              <w:rPr>
                <w:b w:val="0"/>
                <w:i w:val="0"/>
                <w:sz w:val="17"/>
              </w:rPr>
              <w:t>Warehouse staff</w:t>
            </w:r>
          </w:p>
        </w:tc>
        <w:tc>
          <w:tcPr>
            <w:tcW w:type="dxa" w:w="1020"/>
            <w:shd w:val="clear" w:color="auto" w:fill="F9FAFB"/>
          </w:tcPr>
          <w:p>
            <w:pPr>
              <w:spacing w:after="0"/>
            </w:pPr>
            <w:r/>
            <w:r>
              <w:rPr>
                <w:b w:val="0"/>
                <w:i w:val="0"/>
                <w:sz w:val="17"/>
              </w:rPr>
              <w:t>5 h</w:t>
            </w:r>
          </w:p>
        </w:tc>
        <w:tc>
          <w:tcPr>
            <w:tcW w:type="dxa" w:w="4252"/>
            <w:shd w:val="clear" w:color="auto" w:fill="F9FAFB"/>
          </w:tcPr>
          <w:p>
            <w:pPr>
              <w:spacing w:after="0"/>
            </w:pPr>
            <w:r/>
            <w:r>
              <w:rPr>
                <w:b w:val="0"/>
                <w:i w:val="0"/>
                <w:sz w:val="17"/>
              </w:rPr>
              <w:t>Receive lots with expiry; serial equipment; FEFO delivery; transfer</w:t>
            </w:r>
          </w:p>
        </w:tc>
      </w:tr>
      <w:tr>
        <w:trPr>
          <w:cantSplit w:val="true"/>
        </w:trPr>
        <w:tc>
          <w:tcPr>
            <w:tcW w:type="dxa" w:w="2551"/>
          </w:tcPr>
          <w:p>
            <w:pPr>
              <w:spacing w:after="0"/>
            </w:pPr>
            <w:r/>
            <w:r>
              <w:rPr>
                <w:b w:val="0"/>
                <w:i w:val="0"/>
                <w:sz w:val="17"/>
              </w:rPr>
              <w:t>Quality and quarantine</w:t>
            </w:r>
          </w:p>
        </w:tc>
        <w:tc>
          <w:tcPr>
            <w:tcW w:type="dxa" w:w="1814"/>
          </w:tcPr>
          <w:p>
            <w:pPr>
              <w:spacing w:after="0"/>
            </w:pPr>
            <w:r/>
            <w:r>
              <w:rPr>
                <w:b w:val="0"/>
                <w:i w:val="0"/>
                <w:sz w:val="17"/>
              </w:rPr>
              <w:t>Quality, Warehouse</w:t>
            </w:r>
          </w:p>
        </w:tc>
        <w:tc>
          <w:tcPr>
            <w:tcW w:type="dxa" w:w="1020"/>
          </w:tcPr>
          <w:p>
            <w:pPr>
              <w:spacing w:after="0"/>
            </w:pPr>
            <w:r/>
            <w:r>
              <w:rPr>
                <w:b w:val="0"/>
                <w:i w:val="0"/>
                <w:sz w:val="17"/>
              </w:rPr>
              <w:t>3 h</w:t>
            </w:r>
          </w:p>
        </w:tc>
        <w:tc>
          <w:tcPr>
            <w:tcW w:type="dxa" w:w="4252"/>
          </w:tcPr>
          <w:p>
            <w:pPr>
              <w:spacing w:after="0"/>
            </w:pPr>
            <w:r/>
            <w:r>
              <w:rPr>
                <w:b w:val="0"/>
                <w:i w:val="0"/>
                <w:sz w:val="17"/>
              </w:rPr>
              <w:t>Failed inspection; return to vendor; scrap expired lot</w:t>
            </w:r>
          </w:p>
        </w:tc>
      </w:tr>
      <w:tr>
        <w:trPr>
          <w:cantSplit w:val="true"/>
        </w:trPr>
        <w:tc>
          <w:tcPr>
            <w:tcW w:type="dxa" w:w="2551"/>
            <w:shd w:val="clear" w:color="auto" w:fill="F9FAFB"/>
          </w:tcPr>
          <w:p>
            <w:pPr>
              <w:spacing w:after="0"/>
            </w:pPr>
            <w:r/>
            <w:r>
              <w:rPr>
                <w:b w:val="0"/>
                <w:i w:val="0"/>
                <w:sz w:val="17"/>
              </w:rPr>
              <w:t>Accounting and period close</w:t>
            </w:r>
          </w:p>
        </w:tc>
        <w:tc>
          <w:tcPr>
            <w:tcW w:type="dxa" w:w="1814"/>
            <w:shd w:val="clear" w:color="auto" w:fill="F9FAFB"/>
          </w:tcPr>
          <w:p>
            <w:pPr>
              <w:spacing w:after="0"/>
            </w:pPr>
            <w:r/>
            <w:r>
              <w:rPr>
                <w:b w:val="0"/>
                <w:i w:val="0"/>
                <w:sz w:val="17"/>
              </w:rPr>
              <w:t>Finance</w:t>
            </w:r>
          </w:p>
        </w:tc>
        <w:tc>
          <w:tcPr>
            <w:tcW w:type="dxa" w:w="1020"/>
            <w:shd w:val="clear" w:color="auto" w:fill="F9FAFB"/>
          </w:tcPr>
          <w:p>
            <w:pPr>
              <w:spacing w:after="0"/>
            </w:pPr>
            <w:r/>
            <w:r>
              <w:rPr>
                <w:b w:val="0"/>
                <w:i w:val="0"/>
                <w:sz w:val="17"/>
              </w:rPr>
              <w:t>6 h</w:t>
            </w:r>
          </w:p>
        </w:tc>
        <w:tc>
          <w:tcPr>
            <w:tcW w:type="dxa" w:w="4252"/>
            <w:shd w:val="clear" w:color="auto" w:fill="F9FAFB"/>
          </w:tcPr>
          <w:p>
            <w:pPr>
              <w:spacing w:after="0"/>
            </w:pPr>
            <w:r/>
            <w:r>
              <w:rPr>
                <w:b w:val="0"/>
                <w:i w:val="0"/>
                <w:sz w:val="17"/>
              </w:rPr>
              <w:t>Payments, reconciliation, valuation to GL, lock dates</w:t>
            </w:r>
          </w:p>
        </w:tc>
      </w:tr>
    </w:tbl>
    <w:p>
      <w:pPr>
        <w:spacing w:after="40"/>
      </w:pPr>
    </w:p>
    <w:p>
      <w:pPr>
        <w:pStyle w:val="Heading1"/>
      </w:pPr>
      <w:r>
        <w:t>11. Backup, import and data-validation procedures</w:t>
      </w:r>
    </w:p>
    <w:p>
      <w:pPr>
        <w:pStyle w:val="Heading2"/>
      </w:pPr>
      <w:r>
        <w:t>11.1 Backup</w:t>
      </w:r>
    </w:p>
    <w:p>
      <w:pPr>
        <w:pStyle w:val="ListNumber"/>
        <w:spacing w:after="40"/>
      </w:pPr>
      <w:r>
        <w:rPr>
          <w:b w:val="0"/>
          <w:i w:val="0"/>
        </w:rPr>
        <w:t>Daily automated database dump + filestore copy (retention: 7 daily, 4 weekly, 6 monthly) to storage outside the application server.</w:t>
      </w:r>
    </w:p>
    <w:p>
      <w:pPr>
        <w:pStyle w:val="ListNumber"/>
        <w:spacing w:after="40"/>
      </w:pPr>
      <w:r>
        <w:rPr>
          <w:b w:val="0"/>
          <w:i w:val="0"/>
        </w:rPr>
        <w:t>Weekly restore test to the staging database; compare record counts (partners, products, journal entries).</w:t>
      </w:r>
    </w:p>
    <w:p>
      <w:pPr>
        <w:pStyle w:val="ListNumber"/>
        <w:spacing w:after="40"/>
      </w:pPr>
      <w:r>
        <w:rPr>
          <w:b w:val="0"/>
          <w:i w:val="0"/>
        </w:rPr>
        <w:t>Take an extra full backup before each import batch and before period close.</w:t>
      </w:r>
    </w:p>
    <w:p>
      <w:pPr>
        <w:pStyle w:val="Heading2"/>
      </w:pPr>
      <w:r>
        <w:t>11.2 Import order and data validation</w:t>
      </w:r>
    </w:p>
    <w:p>
      <w:pPr>
        <w:pStyle w:val="ListNumber"/>
        <w:spacing w:after="40"/>
      </w:pPr>
      <w:r>
        <w:rPr>
          <w:b w:val="0"/>
          <w:i w:val="0"/>
        </w:rPr>
        <w:t>Settings and accounts: company, accounts, journals, taxes, payment terms.</w:t>
      </w:r>
    </w:p>
    <w:p>
      <w:pPr>
        <w:pStyle w:val="ListNumber"/>
        <w:spacing w:after="40"/>
      </w:pPr>
      <w:r>
        <w:rPr>
          <w:b w:val="0"/>
          <w:i w:val="0"/>
        </w:rPr>
        <w:t>Warehouses and locations; product categories; products; partners; lots and serials; opening stock; reordering rules (see Import_Package/README.md).</w:t>
      </w:r>
    </w:p>
    <w:p>
      <w:pPr>
        <w:pStyle w:val="ListNumber"/>
        <w:spacing w:after="40"/>
      </w:pPr>
      <w:r>
        <w:rPr>
          <w:b w:val="0"/>
          <w:i w:val="0"/>
        </w:rPr>
        <w:t>After each batch compare imported counts with the CSV (Chart of accounts 101, products 24, customers 13, vendors 6, serials 186).</w:t>
      </w:r>
    </w:p>
    <w:p>
      <w:pPr>
        <w:pStyle w:val="ListNumber"/>
        <w:spacing w:after="40"/>
      </w:pPr>
      <w:r>
        <w:rPr>
          <w:b w:val="0"/>
          <w:i w:val="0"/>
        </w:rPr>
        <w:t>Reconcile opening stock quantity and value (EGP 24,170,200.00) to the opening-balance workbook; reclassify the stock-adjustment counter-account to 310200.</w:t>
      </w:r>
    </w:p>
    <w:p>
      <w:pPr>
        <w:pStyle w:val="ListNumber"/>
        <w:spacing w:after="40"/>
      </w:pPr>
      <w:r>
        <w:rPr>
          <w:b w:val="0"/>
          <w:i w:val="0"/>
        </w:rPr>
        <w:t>Run trial balance and valuation report; investigate any difference before go-live.</w:t>
      </w:r>
    </w:p>
    <w:p>
      <w:pPr>
        <w:pStyle w:val="Heading1"/>
      </w:pPr>
      <w:r>
        <w:t>12. Go-live checklist and limitations</w:t>
      </w:r>
    </w:p>
    <w:p>
      <w:pPr>
        <w:pStyle w:val="ListBullet"/>
        <w:spacing w:after="40"/>
      </w:pPr>
      <w:r>
        <w:rPr>
          <w:b w:val="0"/>
          <w:i w:val="0"/>
        </w:rPr>
        <w:t>Confirm Odoo version/edition and re-verify all menu paths and field names.</w:t>
      </w:r>
    </w:p>
    <w:p>
      <w:pPr>
        <w:pStyle w:val="ListBullet"/>
        <w:spacing w:after="40"/>
      </w:pPr>
      <w:r>
        <w:rPr>
          <w:b w:val="0"/>
          <w:i w:val="0"/>
        </w:rPr>
        <w:t>Accountant review of chart of accounts, VAT, withholding tax, e-invoicing.</w:t>
      </w:r>
    </w:p>
    <w:p>
      <w:pPr>
        <w:pStyle w:val="ListBullet"/>
        <w:spacing w:after="40"/>
      </w:pPr>
      <w:r>
        <w:rPr>
          <w:b w:val="0"/>
          <w:i w:val="0"/>
        </w:rPr>
        <w:t>Verify branch management availability and decide the fallback model.</w:t>
      </w:r>
    </w:p>
    <w:p>
      <w:pPr>
        <w:pStyle w:val="ListBullet"/>
        <w:spacing w:after="40"/>
      </w:pPr>
      <w:r>
        <w:rPr>
          <w:b w:val="0"/>
          <w:i w:val="0"/>
        </w:rPr>
        <w:t>Test Arabic RTL printing for every customer-facing document.</w:t>
      </w:r>
    </w:p>
    <w:p>
      <w:pPr>
        <w:pStyle w:val="ListBullet"/>
        <w:spacing w:after="40"/>
      </w:pPr>
      <w:r>
        <w:rPr>
          <w:b w:val="0"/>
          <w:i w:val="0"/>
        </w:rPr>
        <w:t>Execute UAT on a staging database (UATD workbook); today most scenarios are 'simulated review' only.</w:t>
      </w:r>
    </w:p>
    <w:p>
      <w:pPr>
        <w:pStyle w:val="ListBullet"/>
        <w:spacing w:after="40"/>
      </w:pPr>
      <w:r>
        <w:rPr>
          <w:b w:val="0"/>
          <w:i w:val="0"/>
        </w:rPr>
        <w:t>Replace placeholder tax IDs, bank accounts and user credentials with real values through secure channels.</w:t>
      </w:r>
    </w:p>
    <w:sectPr w:rsidR="00FC693F" w:rsidRPr="0006063C" w:rsidSect="00034616">
      <w:headerReference w:type="default" r:id="rId9"/>
      <w:footerReference w:type="default" r:id="rId10"/>
      <w:pgSz w:w="11906" w:h="16838"/>
      <w:pgMar w:top="1304" w:right="1134"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280"/>
        <w:sz w:val="15"/>
      </w:rPr>
      <w:t xml:space="preserve">RL-BDC-001  |  v1.0  |  2026-10-25  |  Simulated graduation project - not verified on a live Odoo server  |  Page </w:t>
    </w:r>
    <w:r>
      <w:rPr>
        <w:sz w:val="15"/>
      </w:rPr>
      <w:fldChar w:fldCharType="begin"/>
      <w:instrText xml:space="preserve">PAGE</w:instrText>
      <w:fldChar w:fldCharType="end"/>
    </w:r>
    <w:r>
      <w:rPr>
        <w:color w:val="6B7280"/>
        <w:sz w:val="15"/>
      </w:rPr>
      <w:t xml:space="preserve"> of </w:t>
    </w:r>
    <w:r>
      <w:rPr>
        <w:sz w:val="15"/>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C8102E"/>
      </w:pBdr>
    </w:pPr>
    <w:r/>
    <w:r>
      <w:rPr>
        <w:color w:val="6B7280"/>
        <w:sz w:val="16"/>
      </w:rPr>
      <w:t>RedLine Medical Supplies &amp; Equipment Trading  |  Basic Database Configuration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eastAsia="Arial"/>
      <w:b/>
      <w:bCs/>
      <w:color w:val="C8102E"/>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eastAsia="Arial"/>
      <w:b/>
      <w:bCs/>
      <w:color w:val="1F2937"/>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