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Company Profile</w:t>
      </w:r>
    </w:p>
    <w:p>
      <w:pPr>
        <w:bidi/>
        <w:jc w:val="right"/>
      </w:pPr>
      <w:r>
        <w:rPr>
          <w:color w:val="C8102E"/>
          <w:sz w:val="40"/>
          <w:rtl/>
          <w:rFonts w:cs="Arial" w:ascii="Arial" w:hAnsi="Arial"/>
        </w:rPr>
        <w:t>نبذة عن الشركة</w:t>
      </w:r>
    </w:p>
    <w:p>
      <w:r>
        <w:rPr>
          <w:color w:val="6B7280"/>
          <w:sz w:val="26"/>
        </w:rPr>
        <w:t>RedLine Medical Supplies &amp; Equipment Trading - company, branches, warehouses and operations</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RL-CP-001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Company at a glance / لمحة سريعة</w:t>
            </w:r>
          </w:p>
        </w:tc>
      </w:tr>
      <w:tr>
        <w:tc>
          <w:tcPr>
            <w:tcW w:type="dxa" w:w="1134"/>
          </w:tcPr>
          <w:p>
            <w:r>
              <w:rPr>
                <w:sz w:val="19"/>
              </w:rPr>
              <w:t>2</w:t>
            </w:r>
          </w:p>
        </w:tc>
        <w:tc>
          <w:tcPr>
            <w:tcW w:type="dxa" w:w="8504"/>
          </w:tcPr>
          <w:p>
            <w:r>
              <w:rPr>
                <w:sz w:val="19"/>
              </w:rPr>
              <w:t>History and operating context</w:t>
            </w:r>
          </w:p>
        </w:tc>
      </w:tr>
      <w:tr>
        <w:tc>
          <w:tcPr>
            <w:tcW w:type="dxa" w:w="1134"/>
            <w:shd w:val="clear" w:color="auto" w:fill="F9FAFB"/>
          </w:tcPr>
          <w:p>
            <w:r>
              <w:rPr>
                <w:sz w:val="19"/>
              </w:rPr>
              <w:t>3</w:t>
            </w:r>
          </w:p>
        </w:tc>
        <w:tc>
          <w:tcPr>
            <w:tcW w:type="dxa" w:w="8504"/>
            <w:shd w:val="clear" w:color="auto" w:fill="F9FAFB"/>
          </w:tcPr>
          <w:p>
            <w:r>
              <w:rPr>
                <w:sz w:val="19"/>
              </w:rPr>
              <w:t>Business model</w:t>
            </w:r>
          </w:p>
        </w:tc>
      </w:tr>
      <w:tr>
        <w:tc>
          <w:tcPr>
            <w:tcW w:type="dxa" w:w="1134"/>
          </w:tcPr>
          <w:p>
            <w:r>
              <w:rPr>
                <w:sz w:val="19"/>
              </w:rPr>
              <w:t>4</w:t>
            </w:r>
          </w:p>
        </w:tc>
        <w:tc>
          <w:tcPr>
            <w:tcW w:type="dxa" w:w="8504"/>
          </w:tcPr>
          <w:p>
            <w:r>
              <w:rPr>
                <w:sz w:val="19"/>
              </w:rPr>
              <w:t>Vision and mission / الرؤية والرسالة</w:t>
            </w:r>
          </w:p>
        </w:tc>
      </w:tr>
      <w:tr>
        <w:tc>
          <w:tcPr>
            <w:tcW w:type="dxa" w:w="1134"/>
            <w:shd w:val="clear" w:color="auto" w:fill="F9FAFB"/>
          </w:tcPr>
          <w:p>
            <w:r>
              <w:rPr>
                <w:sz w:val="19"/>
              </w:rPr>
              <w:t>5</w:t>
            </w:r>
          </w:p>
        </w:tc>
        <w:tc>
          <w:tcPr>
            <w:tcW w:type="dxa" w:w="8504"/>
            <w:shd w:val="clear" w:color="auto" w:fill="F9FAFB"/>
          </w:tcPr>
          <w:p>
            <w:r>
              <w:rPr>
                <w:sz w:val="19"/>
              </w:rPr>
              <w:t>Organizational structure</w:t>
            </w:r>
          </w:p>
        </w:tc>
      </w:tr>
      <w:tr>
        <w:tc>
          <w:tcPr>
            <w:tcW w:type="dxa" w:w="1134"/>
          </w:tcPr>
          <w:p>
            <w:r>
              <w:rPr>
                <w:sz w:val="19"/>
              </w:rPr>
              <w:t>6</w:t>
            </w:r>
          </w:p>
        </w:tc>
        <w:tc>
          <w:tcPr>
            <w:tcW w:type="dxa" w:w="8504"/>
          </w:tcPr>
          <w:p>
            <w:r>
              <w:rPr>
                <w:sz w:val="19"/>
              </w:rPr>
              <w:t>Branches</w:t>
            </w:r>
          </w:p>
        </w:tc>
      </w:tr>
      <w:tr>
        <w:tc>
          <w:tcPr>
            <w:tcW w:type="dxa" w:w="1134"/>
            <w:shd w:val="clear" w:color="auto" w:fill="F9FAFB"/>
          </w:tcPr>
          <w:p>
            <w:r>
              <w:rPr>
                <w:sz w:val="19"/>
              </w:rPr>
              <w:t>7</w:t>
            </w:r>
          </w:p>
        </w:tc>
        <w:tc>
          <w:tcPr>
            <w:tcW w:type="dxa" w:w="8504"/>
            <w:shd w:val="clear" w:color="auto" w:fill="F9FAFB"/>
          </w:tcPr>
          <w:p>
            <w:r>
              <w:rPr>
                <w:sz w:val="19"/>
              </w:rPr>
              <w:t>Warehouse network</w:t>
            </w:r>
          </w:p>
        </w:tc>
      </w:tr>
      <w:tr>
        <w:tc>
          <w:tcPr>
            <w:tcW w:type="dxa" w:w="1134"/>
          </w:tcPr>
          <w:p>
            <w:r>
              <w:rPr>
                <w:sz w:val="19"/>
              </w:rPr>
              <w:t>8</w:t>
            </w:r>
          </w:p>
        </w:tc>
        <w:tc>
          <w:tcPr>
            <w:tcW w:type="dxa" w:w="8504"/>
          </w:tcPr>
          <w:p>
            <w:r>
              <w:rPr>
                <w:sz w:val="19"/>
              </w:rPr>
              <w:t>Product categories</w:t>
            </w:r>
          </w:p>
        </w:tc>
      </w:tr>
      <w:tr>
        <w:tc>
          <w:tcPr>
            <w:tcW w:type="dxa" w:w="1134"/>
            <w:shd w:val="clear" w:color="auto" w:fill="F9FAFB"/>
          </w:tcPr>
          <w:p>
            <w:r>
              <w:rPr>
                <w:sz w:val="19"/>
              </w:rPr>
              <w:t>9</w:t>
            </w:r>
          </w:p>
        </w:tc>
        <w:tc>
          <w:tcPr>
            <w:tcW w:type="dxa" w:w="8504"/>
            <w:shd w:val="clear" w:color="auto" w:fill="F9FAFB"/>
          </w:tcPr>
          <w:p>
            <w:r>
              <w:rPr>
                <w:sz w:val="19"/>
              </w:rPr>
              <w:t>Target customers</w:t>
            </w:r>
          </w:p>
        </w:tc>
      </w:tr>
      <w:tr>
        <w:tc>
          <w:tcPr>
            <w:tcW w:type="dxa" w:w="1134"/>
          </w:tcPr>
          <w:p>
            <w:r>
              <w:rPr>
                <w:sz w:val="19"/>
              </w:rPr>
              <w:t>10</w:t>
            </w:r>
          </w:p>
        </w:tc>
        <w:tc>
          <w:tcPr>
            <w:tcW w:type="dxa" w:w="8504"/>
          </w:tcPr>
          <w:p>
            <w:r>
              <w:rPr>
                <w:sz w:val="19"/>
              </w:rPr>
              <w:t>Supplier relationships</w:t>
            </w:r>
          </w:p>
        </w:tc>
      </w:tr>
      <w:tr>
        <w:tc>
          <w:tcPr>
            <w:tcW w:type="dxa" w:w="1134"/>
            <w:shd w:val="clear" w:color="auto" w:fill="F9FAFB"/>
          </w:tcPr>
          <w:p>
            <w:r>
              <w:rPr>
                <w:sz w:val="19"/>
              </w:rPr>
              <w:t>11</w:t>
            </w:r>
          </w:p>
        </w:tc>
        <w:tc>
          <w:tcPr>
            <w:tcW w:type="dxa" w:w="8504"/>
            <w:shd w:val="clear" w:color="auto" w:fill="F9FAFB"/>
          </w:tcPr>
          <w:p>
            <w:r>
              <w:rPr>
                <w:sz w:val="19"/>
              </w:rPr>
              <w:t>Operational scale (five-month simulation)</w:t>
            </w:r>
          </w:p>
        </w:tc>
      </w:tr>
      <w:tr>
        <w:tc>
          <w:tcPr>
            <w:tcW w:type="dxa" w:w="1134"/>
          </w:tcPr>
          <w:p>
            <w:r>
              <w:rPr>
                <w:sz w:val="19"/>
              </w:rPr>
              <w:t>12</w:t>
            </w:r>
          </w:p>
        </w:tc>
        <w:tc>
          <w:tcPr>
            <w:tcW w:type="dxa" w:w="8504"/>
          </w:tcPr>
          <w:p>
            <w:r>
              <w:rPr>
                <w:sz w:val="19"/>
              </w:rPr>
              <w:t>Management objectives for the Odoo project</w:t>
            </w:r>
          </w:p>
        </w:tc>
      </w:tr>
      <w:tr>
        <w:tc>
          <w:tcPr>
            <w:tcW w:type="dxa" w:w="1134"/>
            <w:shd w:val="clear" w:color="auto" w:fill="F9FAFB"/>
          </w:tcPr>
          <w:p>
            <w:r>
              <w:rPr>
                <w:sz w:val="19"/>
              </w:rPr>
              <w:t>13</w:t>
            </w:r>
          </w:p>
        </w:tc>
        <w:tc>
          <w:tcPr>
            <w:tcW w:type="dxa" w:w="8504"/>
            <w:shd w:val="clear" w:color="auto" w:fill="F9FAFB"/>
          </w:tcPr>
          <w:p>
            <w:r>
              <w:rPr>
                <w:sz w:val="19"/>
              </w:rPr>
              <w:t>Terminology and data caveats</w:t>
            </w:r>
          </w:p>
        </w:tc>
      </w:tr>
    </w:tbl>
    <w:p>
      <w:r>
        <w:rPr>
          <w:i/>
          <w:color w:val="6B7280"/>
          <w:sz w:val="17"/>
        </w:rPr>
        <w:t>Section numbers are used for cross-references throughout the document set (e.g. 'SSD 4.2' = Solution Design Document, section 4.2).</w:t>
      </w:r>
    </w:p>
    <w:p>
      <w:r>
        <w:br w:type="page"/>
      </w:r>
    </w:p>
    <w:p>
      <w:pPr>
        <w:pStyle w:val="Heading1"/>
      </w:pPr>
      <w:r>
        <w:t>1. Company at a glance / لمحة سريعة</w:t>
      </w:r>
    </w:p>
    <w:p>
      <w:r>
        <w:rPr>
          <w:b w:val="0"/>
          <w:i w:val="0"/>
        </w:rPr>
        <w:t>RedLine Medical Supplies &amp; Equipment Trading is a Cairo-based trading company that imports, distributes and sells medical equipment, consumables, disposables and spare parts to hospitals, clinics, laboratories and healthcare providers across Egypt.</w:t>
      </w:r>
    </w:p>
    <w:p>
      <w:pPr>
        <w:bidi/>
        <w:spacing w:after="160"/>
        <w:jc w:val="right"/>
      </w:pPr>
      <w:r>
        <w:rPr>
          <w:b w:val="0"/>
          <w:i w:val="0"/>
          <w:rtl/>
          <w:rFonts w:cs="Arial" w:ascii="Arial" w:hAnsi="Arial"/>
        </w:rPr>
        <w:t>ريد لاين للتجارة في المستلزمات والمعدات الطبية شركة مقرها القاهرة، تعمل في استيراد وتوزيع وبيع المعدات الطبية والمستهلكات والمستلزمات وقطع الغيار للمستشفيات والعيادات والمعامل ومقدمي الرعاية الصحية في مصر</w:t>
      </w:r>
      <w:r>
        <w:rPr>
          <w:b w:val="0"/>
          <w:i w:val="0"/>
        </w:rPr>
        <w: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6803"/>
      </w:tblGrid>
      <w:tr>
        <w:trPr>
          <w:tblHeader w:val="true"/>
        </w:trPr>
        <w:tc>
          <w:tcPr>
            <w:tcW w:type="dxa" w:w="2835"/>
            <w:shd w:val="clear" w:color="auto" w:fill="C8102E"/>
          </w:tcPr>
          <w:p>
            <w:r/>
            <w:r>
              <w:rPr>
                <w:b/>
                <w:color w:val="FFFFFF"/>
                <w:sz w:val="18"/>
              </w:rPr>
              <w:t>Item</w:t>
            </w:r>
          </w:p>
        </w:tc>
        <w:tc>
          <w:tcPr>
            <w:tcW w:type="dxa" w:w="6803"/>
            <w:shd w:val="clear" w:color="auto" w:fill="C8102E"/>
          </w:tcPr>
          <w:p>
            <w:r/>
            <w:r>
              <w:rPr>
                <w:b/>
                <w:color w:val="FFFFFF"/>
                <w:sz w:val="18"/>
              </w:rPr>
              <w:t>Detail</w:t>
            </w:r>
          </w:p>
        </w:tc>
      </w:tr>
      <w:tr>
        <w:trPr>
          <w:cantSplit w:val="true"/>
        </w:trPr>
        <w:tc>
          <w:tcPr>
            <w:tcW w:type="dxa" w:w="2835"/>
          </w:tcPr>
          <w:p>
            <w:pPr>
              <w:spacing w:after="0"/>
            </w:pPr>
            <w:r/>
            <w:r>
              <w:rPr>
                <w:b w:val="0"/>
                <w:i w:val="0"/>
                <w:sz w:val="18"/>
              </w:rPr>
              <w:t>Legal name</w:t>
            </w:r>
          </w:p>
        </w:tc>
        <w:tc>
          <w:tcPr>
            <w:tcW w:type="dxa" w:w="6803"/>
          </w:tcPr>
          <w:p>
            <w:pPr>
              <w:spacing w:after="0"/>
            </w:pPr>
            <w:r/>
            <w:r>
              <w:rPr>
                <w:b w:val="0"/>
                <w:i w:val="0"/>
                <w:sz w:val="18"/>
              </w:rPr>
              <w:t>RedLine Medical Supplies &amp; Equipment Trading</w:t>
            </w:r>
          </w:p>
        </w:tc>
      </w:tr>
      <w:tr>
        <w:trPr>
          <w:cantSplit w:val="true"/>
        </w:trPr>
        <w:tc>
          <w:tcPr>
            <w:tcW w:type="dxa" w:w="2835"/>
            <w:shd w:val="clear" w:color="auto" w:fill="F9FAFB"/>
          </w:tcPr>
          <w:p>
            <w:pPr>
              <w:spacing w:after="0"/>
              <w:bidi/>
              <w:jc w:val="right"/>
            </w:pPr>
            <w:r/>
            <w:r>
              <w:rPr>
                <w:b w:val="0"/>
                <w:i w:val="0"/>
                <w:sz w:val="18"/>
                <w:rtl/>
                <w:rFonts w:cs="Arial" w:ascii="Arial" w:hAnsi="Arial"/>
              </w:rPr>
              <w:t>الاسم بالعربية</w:t>
            </w:r>
          </w:p>
        </w:tc>
        <w:tc>
          <w:tcPr>
            <w:tcW w:type="dxa" w:w="6803"/>
            <w:shd w:val="clear" w:color="auto" w:fill="F9FAFB"/>
          </w:tcPr>
          <w:p>
            <w:pPr>
              <w:spacing w:after="0"/>
              <w:bidi/>
              <w:jc w:val="right"/>
            </w:pPr>
            <w:r/>
            <w:r>
              <w:rPr>
                <w:b w:val="0"/>
                <w:i w:val="0"/>
                <w:sz w:val="18"/>
                <w:rtl/>
                <w:rFonts w:cs="Arial" w:ascii="Arial" w:hAnsi="Arial"/>
              </w:rPr>
              <w:t>ريد لاين للتجارة في المستلزمات والمعدات الطبية</w:t>
            </w:r>
          </w:p>
        </w:tc>
      </w:tr>
      <w:tr>
        <w:trPr>
          <w:cantSplit w:val="true"/>
        </w:trPr>
        <w:tc>
          <w:tcPr>
            <w:tcW w:type="dxa" w:w="2835"/>
          </w:tcPr>
          <w:p>
            <w:pPr>
              <w:spacing w:after="0"/>
            </w:pPr>
            <w:r/>
            <w:r>
              <w:rPr>
                <w:b w:val="0"/>
                <w:i w:val="0"/>
                <w:sz w:val="18"/>
              </w:rPr>
              <w:t>Headquarters</w:t>
            </w:r>
          </w:p>
        </w:tc>
        <w:tc>
          <w:tcPr>
            <w:tcW w:type="dxa" w:w="6803"/>
          </w:tcPr>
          <w:p>
            <w:pPr>
              <w:spacing w:after="0"/>
            </w:pPr>
            <w:r/>
            <w:r>
              <w:rPr>
                <w:b w:val="0"/>
                <w:i w:val="0"/>
                <w:sz w:val="18"/>
              </w:rPr>
              <w:t>45 Makram Ebeid St, Nasr City, Cairo, Egypt</w:t>
            </w:r>
          </w:p>
        </w:tc>
      </w:tr>
      <w:tr>
        <w:trPr>
          <w:cantSplit w:val="true"/>
        </w:trPr>
        <w:tc>
          <w:tcPr>
            <w:tcW w:type="dxa" w:w="2835"/>
            <w:shd w:val="clear" w:color="auto" w:fill="F9FAFB"/>
          </w:tcPr>
          <w:p>
            <w:pPr>
              <w:spacing w:after="0"/>
            </w:pPr>
            <w:r/>
            <w:r>
              <w:rPr>
                <w:b w:val="0"/>
                <w:i w:val="0"/>
                <w:sz w:val="18"/>
              </w:rPr>
              <w:t>Email</w:t>
            </w:r>
          </w:p>
        </w:tc>
        <w:tc>
          <w:tcPr>
            <w:tcW w:type="dxa" w:w="6803"/>
            <w:shd w:val="clear" w:color="auto" w:fill="F9FAFB"/>
          </w:tcPr>
          <w:p>
            <w:pPr>
              <w:spacing w:after="0"/>
            </w:pPr>
            <w:r/>
            <w:r>
              <w:rPr>
                <w:b w:val="0"/>
                <w:i w:val="0"/>
                <w:sz w:val="18"/>
              </w:rPr>
              <w:t>info@redlinemedical.com.eg</w:t>
            </w:r>
          </w:p>
        </w:tc>
      </w:tr>
      <w:tr>
        <w:trPr>
          <w:cantSplit w:val="true"/>
        </w:trPr>
        <w:tc>
          <w:tcPr>
            <w:tcW w:type="dxa" w:w="2835"/>
          </w:tcPr>
          <w:p>
            <w:pPr>
              <w:spacing w:after="0"/>
            </w:pPr>
            <w:r/>
            <w:r>
              <w:rPr>
                <w:b w:val="0"/>
                <w:i w:val="0"/>
                <w:sz w:val="18"/>
              </w:rPr>
              <w:t>Country / base currency</w:t>
            </w:r>
          </w:p>
        </w:tc>
        <w:tc>
          <w:tcPr>
            <w:tcW w:type="dxa" w:w="6803"/>
          </w:tcPr>
          <w:p>
            <w:pPr>
              <w:spacing w:after="0"/>
            </w:pPr>
            <w:r/>
            <w:r>
              <w:rPr>
                <w:b w:val="0"/>
                <w:i w:val="0"/>
                <w:sz w:val="18"/>
              </w:rPr>
              <w:t>Egypt / EGP (Egyptian Pound)</w:t>
            </w:r>
          </w:p>
        </w:tc>
      </w:tr>
      <w:tr>
        <w:trPr>
          <w:cantSplit w:val="true"/>
        </w:trPr>
        <w:tc>
          <w:tcPr>
            <w:tcW w:type="dxa" w:w="2835"/>
            <w:shd w:val="clear" w:color="auto" w:fill="F9FAFB"/>
          </w:tcPr>
          <w:p>
            <w:pPr>
              <w:spacing w:after="0"/>
            </w:pPr>
            <w:r/>
            <w:r>
              <w:rPr>
                <w:b w:val="0"/>
                <w:i w:val="0"/>
                <w:sz w:val="18"/>
              </w:rPr>
              <w:t>Primary business</w:t>
            </w:r>
          </w:p>
        </w:tc>
        <w:tc>
          <w:tcPr>
            <w:tcW w:type="dxa" w:w="6803"/>
            <w:shd w:val="clear" w:color="auto" w:fill="F9FAFB"/>
          </w:tcPr>
          <w:p>
            <w:pPr>
              <w:spacing w:after="0"/>
            </w:pPr>
            <w:r/>
            <w:r>
              <w:rPr>
                <w:b w:val="0"/>
                <w:i w:val="0"/>
                <w:sz w:val="18"/>
              </w:rPr>
              <w:t>Trading, importing, distributing and selling medical equipment, consumables, disposables and spare parts</w:t>
            </w:r>
          </w:p>
        </w:tc>
      </w:tr>
      <w:tr>
        <w:trPr>
          <w:cantSplit w:val="true"/>
        </w:trPr>
        <w:tc>
          <w:tcPr>
            <w:tcW w:type="dxa" w:w="2835"/>
          </w:tcPr>
          <w:p>
            <w:pPr>
              <w:spacing w:after="0"/>
            </w:pPr>
            <w:r/>
            <w:r>
              <w:rPr>
                <w:b w:val="0"/>
                <w:i w:val="0"/>
                <w:sz w:val="18"/>
              </w:rPr>
              <w:t>Operating history (simulated)</w:t>
            </w:r>
          </w:p>
        </w:tc>
        <w:tc>
          <w:tcPr>
            <w:tcW w:type="dxa" w:w="6803"/>
          </w:tcPr>
          <w:p>
            <w:pPr>
              <w:spacing w:after="0"/>
            </w:pPr>
            <w:r/>
            <w:r>
              <w:rPr>
                <w:b w:val="0"/>
                <w:i w:val="0"/>
                <w:sz w:val="18"/>
              </w:rPr>
              <w:t>Five completed months: 1 May 2026 – 30 September 2026</w:t>
            </w:r>
          </w:p>
        </w:tc>
      </w:tr>
      <w:tr>
        <w:trPr>
          <w:cantSplit w:val="true"/>
        </w:trPr>
        <w:tc>
          <w:tcPr>
            <w:tcW w:type="dxa" w:w="2835"/>
            <w:shd w:val="clear" w:color="auto" w:fill="F9FAFB"/>
          </w:tcPr>
          <w:p>
            <w:pPr>
              <w:spacing w:after="0"/>
            </w:pPr>
            <w:r/>
            <w:r>
              <w:rPr>
                <w:b w:val="0"/>
                <w:i w:val="0"/>
                <w:sz w:val="18"/>
              </w:rPr>
              <w:t>Legal-entity model</w:t>
            </w:r>
          </w:p>
        </w:tc>
        <w:tc>
          <w:tcPr>
            <w:tcW w:type="dxa" w:w="6803"/>
            <w:shd w:val="clear" w:color="auto" w:fill="F9FAFB"/>
          </w:tcPr>
          <w:p>
            <w:pPr>
              <w:spacing w:after="0"/>
            </w:pPr>
            <w:r/>
            <w:r>
              <w:rPr>
                <w:b w:val="0"/>
                <w:i w:val="0"/>
                <w:sz w:val="18"/>
              </w:rPr>
              <w:t>One legal company; three operational branches in Cairo; four warehouse locations</w:t>
            </w:r>
          </w:p>
        </w:tc>
      </w:tr>
      <w:tr>
        <w:trPr>
          <w:cantSplit w:val="true"/>
        </w:trPr>
        <w:tc>
          <w:tcPr>
            <w:tcW w:type="dxa" w:w="2835"/>
          </w:tcPr>
          <w:p>
            <w:pPr>
              <w:spacing w:after="0"/>
            </w:pPr>
            <w:r/>
            <w:r>
              <w:rPr>
                <w:b w:val="0"/>
                <w:i w:val="0"/>
                <w:sz w:val="18"/>
              </w:rPr>
              <w:t>Target ERP</w:t>
            </w:r>
          </w:p>
        </w:tc>
        <w:tc>
          <w:tcPr>
            <w:tcW w:type="dxa" w:w="6803"/>
          </w:tcPr>
          <w:p>
            <w:pPr>
              <w:spacing w:after="0"/>
            </w:pPr>
            <w:r/>
            <w:r>
              <w:rPr>
                <w:b w:val="0"/>
                <w:i w:val="0"/>
                <w:sz w:val="18"/>
              </w:rPr>
              <w:t>Odoo 19.0 (Enterprise edition assumed)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Important.  </w:t>
            </w:r>
            <w:r>
              <w:rPr>
                <w:b w:val="0"/>
                <w:i w:val="0"/>
                <w:sz w:val="19"/>
              </w:rPr>
              <w:t>The company, partners, transactions and bank relationships described here form a graduation-project simulation. They are not independently verified real-world records.</w:t>
            </w:r>
          </w:p>
        </w:tc>
      </w:tr>
    </w:tbl>
    <w:p>
      <w:pPr>
        <w:spacing w:after="40"/>
      </w:pPr>
    </w:p>
    <w:p>
      <w:pPr>
        <w:pStyle w:val="Heading1"/>
      </w:pPr>
      <w:r>
        <w:t>2. History and operating context</w:t>
      </w:r>
    </w:p>
    <w:p>
      <w:r>
        <w:rPr>
          <w:b w:val="0"/>
          <w:i w:val="0"/>
        </w:rPr>
        <w:t>RedLine is presented as an established trading business that grew from a single sales office in Nasr City into a three-branch operation serving the Greater Cairo region and several governorates. Until the Odoo project the company is assumed to have run on manual processes: spreadsheets for stock cards and customer balances, paper-based purchase and delivery notes, and stand-alone accounting entries (a simulated legacy baseline; no specific legacy software is claimed).</w:t>
      </w:r>
    </w:p>
    <w:p>
      <w:r>
        <w:rPr>
          <w:b w:val="0"/>
          <w:i w:val="0"/>
        </w:rPr>
        <w:t>The assumed pain points that motivated the project are: no reliable lot and expiry control for consumables; equipment serial numbers recorded on paper; delayed stock-to-ledger reconciliation; limited credit control for hospitals paying in 45-60 days; and no single view of branch performance.</w:t>
      </w:r>
    </w:p>
    <w:p>
      <w:r>
        <w:rPr>
          <w:b w:val="0"/>
          <w:i w:val="0"/>
        </w:rPr>
        <w:t xml:space="preserve">The simulated trading history used throughout the project covers </w:t>
      </w:r>
      <w:r>
        <w:rPr>
          <w:b/>
          <w:i w:val="0"/>
        </w:rPr>
        <w:t>1 May 2026 – 30 September 2026</w:t>
      </w:r>
      <w:r>
        <w:rPr>
          <w:b w:val="0"/>
          <w:i w:val="0"/>
        </w:rPr>
        <w:t>, immediately before the project documentation date of 25 October 2026.</w:t>
      </w:r>
    </w:p>
    <w:p>
      <w:pPr>
        <w:pStyle w:val="Heading1"/>
      </w:pPr>
      <w:r>
        <w:t>3. Business model</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3628"/>
        <w:gridCol w:w="2154"/>
        <w:gridCol w:w="1928"/>
      </w:tblGrid>
      <w:tr>
        <w:trPr>
          <w:tblHeader w:val="true"/>
        </w:trPr>
        <w:tc>
          <w:tcPr>
            <w:tcW w:type="dxa" w:w="2041"/>
            <w:shd w:val="clear" w:color="auto" w:fill="C8102E"/>
          </w:tcPr>
          <w:p>
            <w:r/>
            <w:r>
              <w:rPr>
                <w:b/>
                <w:color w:val="FFFFFF"/>
                <w:sz w:val="17"/>
              </w:rPr>
              <w:t>Revenue stream</w:t>
            </w:r>
          </w:p>
        </w:tc>
        <w:tc>
          <w:tcPr>
            <w:tcW w:type="dxa" w:w="3628"/>
            <w:shd w:val="clear" w:color="auto" w:fill="C8102E"/>
          </w:tcPr>
          <w:p>
            <w:r/>
            <w:r>
              <w:rPr>
                <w:b/>
                <w:color w:val="FFFFFF"/>
                <w:sz w:val="17"/>
              </w:rPr>
              <w:t>Description</w:t>
            </w:r>
          </w:p>
        </w:tc>
        <w:tc>
          <w:tcPr>
            <w:tcW w:type="dxa" w:w="2154"/>
            <w:shd w:val="clear" w:color="auto" w:fill="C8102E"/>
          </w:tcPr>
          <w:p>
            <w:r/>
            <w:r>
              <w:rPr>
                <w:b/>
                <w:color w:val="FFFFFF"/>
                <w:sz w:val="17"/>
              </w:rPr>
              <w:t>Typical customers</w:t>
            </w:r>
          </w:p>
        </w:tc>
        <w:tc>
          <w:tcPr>
            <w:tcW w:type="dxa" w:w="1928"/>
            <w:shd w:val="clear" w:color="auto" w:fill="C8102E"/>
          </w:tcPr>
          <w:p>
            <w:r/>
            <w:r>
              <w:rPr>
                <w:b/>
                <w:color w:val="FFFFFF"/>
                <w:sz w:val="17"/>
              </w:rPr>
              <w:t>Stock treatment</w:t>
            </w:r>
          </w:p>
        </w:tc>
      </w:tr>
      <w:tr>
        <w:trPr>
          <w:cantSplit w:val="true"/>
        </w:trPr>
        <w:tc>
          <w:tcPr>
            <w:tcW w:type="dxa" w:w="2041"/>
          </w:tcPr>
          <w:p>
            <w:pPr>
              <w:spacing w:after="0"/>
            </w:pPr>
            <w:r/>
            <w:r>
              <w:rPr>
                <w:b w:val="0"/>
                <w:i w:val="0"/>
                <w:sz w:val="17"/>
              </w:rPr>
              <w:t>Medical equipment trading</w:t>
            </w:r>
          </w:p>
        </w:tc>
        <w:tc>
          <w:tcPr>
            <w:tcW w:type="dxa" w:w="3628"/>
          </w:tcPr>
          <w:p>
            <w:pPr>
              <w:spacing w:after="0"/>
            </w:pPr>
            <w:r/>
            <w:r>
              <w:rPr>
                <w:b w:val="0"/>
                <w:i w:val="0"/>
                <w:sz w:val="17"/>
              </w:rPr>
              <w:t>Capital equipment (MRI, ultrasound, patient monitors, infusion pumps, ECG, defibrillators, hospital beds, oxygen concentrators, autoclaves, surgical sets)</w:t>
            </w:r>
          </w:p>
        </w:tc>
        <w:tc>
          <w:tcPr>
            <w:tcW w:type="dxa" w:w="2154"/>
          </w:tcPr>
          <w:p>
            <w:pPr>
              <w:spacing w:after="0"/>
            </w:pPr>
            <w:r/>
            <w:r>
              <w:rPr>
                <w:b w:val="0"/>
                <w:i w:val="0"/>
                <w:sz w:val="17"/>
              </w:rPr>
              <w:t>Hospitals, imaging centers, clinics</w:t>
            </w:r>
          </w:p>
        </w:tc>
        <w:tc>
          <w:tcPr>
            <w:tcW w:type="dxa" w:w="1928"/>
          </w:tcPr>
          <w:p>
            <w:pPr>
              <w:spacing w:after="0"/>
            </w:pPr>
            <w:r/>
            <w:r>
              <w:rPr>
                <w:b w:val="0"/>
                <w:i w:val="0"/>
                <w:sz w:val="17"/>
              </w:rPr>
              <w:t>Serial-number tracked; FIFO valuation</w:t>
            </w:r>
          </w:p>
        </w:tc>
      </w:tr>
      <w:tr>
        <w:trPr>
          <w:cantSplit w:val="true"/>
        </w:trPr>
        <w:tc>
          <w:tcPr>
            <w:tcW w:type="dxa" w:w="2041"/>
            <w:shd w:val="clear" w:color="auto" w:fill="F9FAFB"/>
          </w:tcPr>
          <w:p>
            <w:pPr>
              <w:spacing w:after="0"/>
            </w:pPr>
            <w:r/>
            <w:r>
              <w:rPr>
                <w:b w:val="0"/>
                <w:i w:val="0"/>
                <w:sz w:val="17"/>
              </w:rPr>
              <w:t>Consumables and disposables</w:t>
            </w:r>
          </w:p>
        </w:tc>
        <w:tc>
          <w:tcPr>
            <w:tcW w:type="dxa" w:w="3628"/>
            <w:shd w:val="clear" w:color="auto" w:fill="F9FAFB"/>
          </w:tcPr>
          <w:p>
            <w:pPr>
              <w:spacing w:after="0"/>
            </w:pPr>
            <w:r/>
            <w:r>
              <w:rPr>
                <w:b w:val="0"/>
                <w:i w:val="0"/>
                <w:sz w:val="17"/>
              </w:rPr>
              <w:t>Syringes, masks, gloves, cannulas, IV sets, gauze, sterile kits, tubing, ECG electrodes, defibrillator pads</w:t>
            </w:r>
          </w:p>
        </w:tc>
        <w:tc>
          <w:tcPr>
            <w:tcW w:type="dxa" w:w="2154"/>
            <w:shd w:val="clear" w:color="auto" w:fill="F9FAFB"/>
          </w:tcPr>
          <w:p>
            <w:pPr>
              <w:spacing w:after="0"/>
            </w:pPr>
            <w:r/>
            <w:r>
              <w:rPr>
                <w:b w:val="0"/>
                <w:i w:val="0"/>
                <w:sz w:val="17"/>
              </w:rPr>
              <w:t>Hospitals, labs, clinics, retail counter</w:t>
            </w:r>
          </w:p>
        </w:tc>
        <w:tc>
          <w:tcPr>
            <w:tcW w:type="dxa" w:w="1928"/>
            <w:shd w:val="clear" w:color="auto" w:fill="F9FAFB"/>
          </w:tcPr>
          <w:p>
            <w:pPr>
              <w:spacing w:after="0"/>
            </w:pPr>
            <w:r/>
            <w:r>
              <w:rPr>
                <w:b w:val="0"/>
                <w:i w:val="0"/>
                <w:sz w:val="17"/>
              </w:rPr>
              <w:t>Lot tracked with expiry; FEFO picking</w:t>
            </w:r>
          </w:p>
        </w:tc>
      </w:tr>
      <w:tr>
        <w:trPr>
          <w:cantSplit w:val="true"/>
        </w:trPr>
        <w:tc>
          <w:tcPr>
            <w:tcW w:type="dxa" w:w="2041"/>
          </w:tcPr>
          <w:p>
            <w:pPr>
              <w:spacing w:after="0"/>
            </w:pPr>
            <w:r/>
            <w:r>
              <w:rPr>
                <w:b w:val="0"/>
                <w:i w:val="0"/>
                <w:sz w:val="17"/>
              </w:rPr>
              <w:t>Spare parts and accessories</w:t>
            </w:r>
          </w:p>
        </w:tc>
        <w:tc>
          <w:tcPr>
            <w:tcW w:type="dxa" w:w="3628"/>
          </w:tcPr>
          <w:p>
            <w:pPr>
              <w:spacing w:after="0"/>
            </w:pPr>
            <w:r/>
            <w:r>
              <w:rPr>
                <w:b w:val="0"/>
                <w:i w:val="0"/>
                <w:sz w:val="17"/>
              </w:rPr>
              <w:t>Filters, sensors, gaskets, batteries for installed equipment</w:t>
            </w:r>
          </w:p>
        </w:tc>
        <w:tc>
          <w:tcPr>
            <w:tcW w:type="dxa" w:w="2154"/>
          </w:tcPr>
          <w:p>
            <w:pPr>
              <w:spacing w:after="0"/>
            </w:pPr>
            <w:r/>
            <w:r>
              <w:rPr>
                <w:b w:val="0"/>
                <w:i w:val="0"/>
                <w:sz w:val="17"/>
              </w:rPr>
              <w:t>Hospitals, service engineers, clinics</w:t>
            </w:r>
          </w:p>
        </w:tc>
        <w:tc>
          <w:tcPr>
            <w:tcW w:type="dxa" w:w="1928"/>
          </w:tcPr>
          <w:p>
            <w:pPr>
              <w:spacing w:after="0"/>
            </w:pPr>
            <w:r/>
            <w:r>
              <w:rPr>
                <w:b w:val="0"/>
                <w:i w:val="0"/>
                <w:sz w:val="17"/>
              </w:rPr>
              <w:t>Untracked or lot tracked (no expiry)</w:t>
            </w:r>
          </w:p>
        </w:tc>
      </w:tr>
      <w:tr>
        <w:trPr>
          <w:cantSplit w:val="true"/>
        </w:trPr>
        <w:tc>
          <w:tcPr>
            <w:tcW w:type="dxa" w:w="2041"/>
            <w:shd w:val="clear" w:color="auto" w:fill="F9FAFB"/>
          </w:tcPr>
          <w:p>
            <w:pPr>
              <w:spacing w:after="0"/>
            </w:pPr>
            <w:r/>
            <w:r>
              <w:rPr>
                <w:b w:val="0"/>
                <w:i w:val="0"/>
                <w:sz w:val="17"/>
              </w:rPr>
              <w:t>After-sales support</w:t>
            </w:r>
          </w:p>
        </w:tc>
        <w:tc>
          <w:tcPr>
            <w:tcW w:type="dxa" w:w="3628"/>
            <w:shd w:val="clear" w:color="auto" w:fill="F9FAFB"/>
          </w:tcPr>
          <w:p>
            <w:pPr>
              <w:spacing w:after="0"/>
            </w:pPr>
            <w:r/>
            <w:r>
              <w:rPr>
                <w:b w:val="0"/>
                <w:i w:val="0"/>
                <w:sz w:val="17"/>
              </w:rPr>
              <w:t>Installation, warranty administration and maintenance contracts (service revenue accounts defined; not simulated)</w:t>
            </w:r>
          </w:p>
        </w:tc>
        <w:tc>
          <w:tcPr>
            <w:tcW w:type="dxa" w:w="2154"/>
            <w:shd w:val="clear" w:color="auto" w:fill="F9FAFB"/>
          </w:tcPr>
          <w:p>
            <w:pPr>
              <w:spacing w:after="0"/>
            </w:pPr>
            <w:r/>
            <w:r>
              <w:rPr>
                <w:b w:val="0"/>
                <w:i w:val="0"/>
                <w:sz w:val="17"/>
              </w:rPr>
              <w:t>Equipment buyers</w:t>
            </w:r>
          </w:p>
        </w:tc>
        <w:tc>
          <w:tcPr>
            <w:tcW w:type="dxa" w:w="1928"/>
            <w:shd w:val="clear" w:color="auto" w:fill="F9FAFB"/>
          </w:tcPr>
          <w:p>
            <w:pPr>
              <w:spacing w:after="0"/>
            </w:pPr>
            <w:r/>
            <w:r>
              <w:rPr>
                <w:b w:val="0"/>
                <w:i w:val="0"/>
                <w:sz w:val="17"/>
              </w:rPr>
              <w:t>Service products</w:t>
            </w:r>
          </w:p>
        </w:tc>
      </w:tr>
    </w:tbl>
    <w:p>
      <w:pPr>
        <w:spacing w:after="40"/>
      </w:pPr>
    </w:p>
    <w:p>
      <w:r>
        <w:rPr>
          <w:b w:val="0"/>
          <w:i w:val="0"/>
        </w:rPr>
        <w:t>Margins in the simulation are driven by product type: equipment carries a gross margin of about 20-25% before customer discounts, consumables 30-40% and spare parts 28-35%. Contract discounts of 0-5% are granted to hospital customers. Credit terms of 15-60 days apply to institutional customers; retail counter sales are cash.</w:t>
      </w:r>
    </w:p>
    <w:p>
      <w:pPr>
        <w:pStyle w:val="Heading1"/>
      </w:pPr>
      <w:r>
        <w:t>4. Vision and mission / الرؤية والرسالة</w:t>
      </w:r>
    </w:p>
    <w:p>
      <w:r>
        <w:rPr>
          <w:b/>
          <w:i w:val="0"/>
        </w:rPr>
        <w:t>Vision:</w:t>
      </w:r>
      <w:r>
        <w:rPr>
          <w:b w:val="0"/>
          <w:i w:val="0"/>
        </w:rPr>
        <w:t xml:space="preserve"> To be Egypt's most trusted partner for medical supplies and equipment, known for traceable quality and dependable delivery.</w:t>
      </w:r>
    </w:p>
    <w:p>
      <w:pPr>
        <w:bidi/>
        <w:spacing w:after="160"/>
        <w:jc w:val="right"/>
      </w:pPr>
      <w:r>
        <w:rPr>
          <w:b/>
          <w:i w:val="0"/>
          <w:rtl/>
          <w:rFonts w:cs="Arial" w:ascii="Arial" w:hAnsi="Arial"/>
        </w:rPr>
        <w:t>الرؤية</w:t>
      </w:r>
      <w:r>
        <w:rPr>
          <w:b/>
          <w:i w:val="0"/>
        </w:rPr>
        <w:t>:</w:t>
      </w:r>
      <w:r>
        <w:rPr>
          <w:b w:val="0"/>
          <w:i w:val="0"/>
        </w:rPr>
        <w:t xml:space="preserve"> </w:t>
      </w:r>
      <w:r>
        <w:rPr>
          <w:b w:val="0"/>
          <w:i w:val="0"/>
          <w:rtl/>
          <w:rFonts w:cs="Arial" w:ascii="Arial" w:hAnsi="Arial"/>
        </w:rPr>
        <w:t>أن تكون الشريك الأكثر ثقة في مصر في المستلزمات والمعدات الطبية، المعروف بالجودة القابلة للتتبع والتسليم الموثوق</w:t>
      </w:r>
      <w:r>
        <w:rPr>
          <w:b w:val="0"/>
          <w:i w:val="0"/>
        </w:rPr>
        <w:t>.</w:t>
      </w:r>
    </w:p>
    <w:p>
      <w:r>
        <w:rPr>
          <w:b/>
          <w:i w:val="0"/>
        </w:rPr>
        <w:t>Mission:</w:t>
      </w:r>
      <w:r>
        <w:rPr>
          <w:b w:val="0"/>
          <w:i w:val="0"/>
        </w:rPr>
        <w:t xml:space="preserve"> To supply healthcare providers with authentic, correctly stored and fully traceable medical products, supported by responsive service and transparent commercial terms.</w:t>
      </w:r>
    </w:p>
    <w:p>
      <w:pPr>
        <w:bidi/>
        <w:spacing w:after="160"/>
        <w:jc w:val="right"/>
      </w:pPr>
      <w:r>
        <w:rPr>
          <w:b/>
          <w:i w:val="0"/>
          <w:rtl/>
          <w:rFonts w:cs="Arial" w:ascii="Arial" w:hAnsi="Arial"/>
        </w:rPr>
        <w:t>الرسالة</w:t>
      </w:r>
      <w:r>
        <w:rPr>
          <w:b/>
          <w:i w:val="0"/>
        </w:rPr>
        <w:t>:</w:t>
      </w:r>
      <w:r>
        <w:rPr>
          <w:b w:val="0"/>
          <w:i w:val="0"/>
        </w:rPr>
        <w:t xml:space="preserve"> </w:t>
      </w:r>
      <w:r>
        <w:rPr>
          <w:b w:val="0"/>
          <w:i w:val="0"/>
          <w:rtl/>
          <w:rFonts w:cs="Arial" w:ascii="Arial" w:hAnsi="Arial"/>
        </w:rPr>
        <w:t>توريد منتجات طبية أصلية ومخزنة بصورة سليمة وقابلة للتتبع بالكامل لمقدمي الرعاية الصحية، مع خدمة سريعة وشروط تجارية واضحة</w:t>
      </w:r>
      <w:r>
        <w:rPr>
          <w:b w:val="0"/>
          <w:i w:val="0"/>
        </w:rPr>
        <w:t>.</w:t>
      </w:r>
    </w:p>
    <w:p>
      <w:r>
        <w:rPr>
          <w:b/>
          <w:i w:val="0"/>
        </w:rPr>
        <w:t xml:space="preserve">Values / </w:t>
      </w:r>
      <w:r>
        <w:rPr>
          <w:b/>
          <w:i w:val="0"/>
          <w:rtl/>
          <w:rFonts w:cs="Arial" w:ascii="Arial" w:hAnsi="Arial"/>
        </w:rPr>
        <w:t>القيم</w:t>
      </w:r>
      <w:r>
        <w:rPr>
          <w:b/>
          <w:i w:val="0"/>
        </w:rPr>
        <w:t>:</w:t>
      </w:r>
      <w:r>
        <w:rPr>
          <w:b w:val="0"/>
          <w:i w:val="0"/>
        </w:rPr>
        <w:t xml:space="preserve"> Patient safety first - Traceability - Integrity - Service reliability - Continuous improvement.</w:t>
      </w:r>
    </w:p>
    <w:p>
      <w:pPr>
        <w:pStyle w:val="Heading1"/>
      </w:pPr>
      <w:r>
        <w:t>5. Organizational structure</w:t>
      </w:r>
    </w:p>
    <w:p>
      <w:r>
        <w:rPr>
          <w:b w:val="0"/>
          <w:i w:val="0"/>
        </w:rPr>
        <w:t>The organization is led by a General Manager reporting to the owners. Functional managers (Finance, Sales, Procurement, Warehouse &amp; Logistics, Technical Service) report to the General Manager; branch managers run the three Cairo branches.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402"/>
        <w:gridCol w:w="2268"/>
        <w:gridCol w:w="3969"/>
      </w:tblGrid>
      <w:tr>
        <w:trPr>
          <w:tblHeader w:val="true"/>
        </w:trPr>
        <w:tc>
          <w:tcPr>
            <w:tcW w:type="dxa" w:w="3402"/>
            <w:shd w:val="clear" w:color="auto" w:fill="C8102E"/>
          </w:tcPr>
          <w:p>
            <w:r/>
            <w:r>
              <w:rPr>
                <w:b/>
                <w:color w:val="FFFFFF"/>
                <w:sz w:val="17"/>
              </w:rPr>
              <w:t>Unit</w:t>
            </w:r>
          </w:p>
        </w:tc>
        <w:tc>
          <w:tcPr>
            <w:tcW w:type="dxa" w:w="2268"/>
            <w:shd w:val="clear" w:color="auto" w:fill="C8102E"/>
          </w:tcPr>
          <w:p>
            <w:r/>
            <w:r>
              <w:rPr>
                <w:b/>
                <w:color w:val="FFFFFF"/>
                <w:sz w:val="17"/>
              </w:rPr>
              <w:t>Reports to</w:t>
            </w:r>
          </w:p>
        </w:tc>
        <w:tc>
          <w:tcPr>
            <w:tcW w:type="dxa" w:w="3969"/>
            <w:shd w:val="clear" w:color="auto" w:fill="C8102E"/>
          </w:tcPr>
          <w:p>
            <w:r/>
            <w:r>
              <w:rPr>
                <w:b/>
                <w:color w:val="FFFFFF"/>
                <w:sz w:val="17"/>
              </w:rPr>
              <w:t>Main responsibilities</w:t>
            </w:r>
          </w:p>
        </w:tc>
      </w:tr>
      <w:tr>
        <w:trPr>
          <w:cantSplit w:val="true"/>
        </w:trPr>
        <w:tc>
          <w:tcPr>
            <w:tcW w:type="dxa" w:w="3402"/>
          </w:tcPr>
          <w:p>
            <w:pPr>
              <w:spacing w:after="0"/>
            </w:pPr>
            <w:r/>
            <w:r>
              <w:rPr>
                <w:b w:val="0"/>
                <w:i w:val="0"/>
                <w:sz w:val="17"/>
              </w:rPr>
              <w:t xml:space="preserve">General Manager / </w:t>
            </w:r>
            <w:r>
              <w:rPr>
                <w:b w:val="0"/>
                <w:i w:val="0"/>
                <w:sz w:val="17"/>
                <w:rtl/>
                <w:rFonts w:cs="Arial" w:ascii="Arial" w:hAnsi="Arial"/>
              </w:rPr>
              <w:t>المدير العام</w:t>
            </w:r>
          </w:p>
        </w:tc>
        <w:tc>
          <w:tcPr>
            <w:tcW w:type="dxa" w:w="2268"/>
          </w:tcPr>
          <w:p>
            <w:pPr>
              <w:spacing w:after="0"/>
            </w:pPr>
            <w:r/>
            <w:r>
              <w:rPr>
                <w:b w:val="0"/>
                <w:i w:val="0"/>
                <w:sz w:val="17"/>
              </w:rPr>
              <w:t>Board / Owners</w:t>
            </w:r>
          </w:p>
        </w:tc>
        <w:tc>
          <w:tcPr>
            <w:tcW w:type="dxa" w:w="3969"/>
          </w:tcPr>
          <w:p>
            <w:pPr>
              <w:spacing w:after="0"/>
            </w:pPr>
            <w:r/>
            <w:r>
              <w:rPr>
                <w:b w:val="0"/>
                <w:i w:val="0"/>
                <w:sz w:val="17"/>
              </w:rPr>
              <w:t>Overall results, final approvals, credit-limit sign-off</w:t>
            </w:r>
          </w:p>
        </w:tc>
      </w:tr>
      <w:tr>
        <w:trPr>
          <w:cantSplit w:val="true"/>
        </w:trPr>
        <w:tc>
          <w:tcPr>
            <w:tcW w:type="dxa" w:w="3402"/>
            <w:shd w:val="clear" w:color="auto" w:fill="F9FAFB"/>
          </w:tcPr>
          <w:p>
            <w:pPr>
              <w:spacing w:after="0"/>
            </w:pPr>
            <w:r/>
            <w:r>
              <w:rPr>
                <w:b w:val="0"/>
                <w:i w:val="0"/>
                <w:sz w:val="17"/>
              </w:rPr>
              <w:t xml:space="preserve">Finance &amp; Accounting Manager / </w:t>
            </w:r>
            <w:r>
              <w:rPr>
                <w:b w:val="0"/>
                <w:i w:val="0"/>
                <w:sz w:val="17"/>
                <w:rtl/>
                <w:rFonts w:cs="Arial" w:ascii="Arial" w:hAnsi="Arial"/>
              </w:rPr>
              <w:t>مدير المالية</w:t>
            </w:r>
          </w:p>
        </w:tc>
        <w:tc>
          <w:tcPr>
            <w:tcW w:type="dxa" w:w="2268"/>
            <w:shd w:val="clear" w:color="auto" w:fill="F9FAFB"/>
          </w:tcPr>
          <w:p>
            <w:pPr>
              <w:spacing w:after="0"/>
            </w:pPr>
            <w:r/>
            <w:r>
              <w:rPr>
                <w:b w:val="0"/>
                <w:i w:val="0"/>
                <w:sz w:val="17"/>
              </w:rPr>
              <w:t>General Manager</w:t>
            </w:r>
          </w:p>
        </w:tc>
        <w:tc>
          <w:tcPr>
            <w:tcW w:type="dxa" w:w="3969"/>
            <w:shd w:val="clear" w:color="auto" w:fill="F9FAFB"/>
          </w:tcPr>
          <w:p>
            <w:pPr>
              <w:spacing w:after="0"/>
            </w:pPr>
            <w:r/>
            <w:r>
              <w:rPr>
                <w:b w:val="0"/>
                <w:i w:val="0"/>
                <w:sz w:val="17"/>
              </w:rPr>
              <w:t>Accounting, VAT, credit control, payment approval, period close</w:t>
            </w:r>
          </w:p>
        </w:tc>
      </w:tr>
      <w:tr>
        <w:trPr>
          <w:cantSplit w:val="true"/>
        </w:trPr>
        <w:tc>
          <w:tcPr>
            <w:tcW w:type="dxa" w:w="3402"/>
          </w:tcPr>
          <w:p>
            <w:pPr>
              <w:spacing w:after="0"/>
            </w:pPr>
            <w:r/>
            <w:r>
              <w:rPr>
                <w:b w:val="0"/>
                <w:i w:val="0"/>
                <w:sz w:val="17"/>
              </w:rPr>
              <w:t xml:space="preserve">Sales &amp; Marketing Manager / </w:t>
            </w:r>
            <w:r>
              <w:rPr>
                <w:b w:val="0"/>
                <w:i w:val="0"/>
                <w:sz w:val="17"/>
                <w:rtl/>
                <w:rFonts w:cs="Arial" w:ascii="Arial" w:hAnsi="Arial"/>
              </w:rPr>
              <w:t>مدير المبيعات</w:t>
            </w:r>
          </w:p>
        </w:tc>
        <w:tc>
          <w:tcPr>
            <w:tcW w:type="dxa" w:w="2268"/>
          </w:tcPr>
          <w:p>
            <w:pPr>
              <w:spacing w:after="0"/>
            </w:pPr>
            <w:r/>
            <w:r>
              <w:rPr>
                <w:b w:val="0"/>
                <w:i w:val="0"/>
                <w:sz w:val="17"/>
              </w:rPr>
              <w:t>General Manager</w:t>
            </w:r>
          </w:p>
        </w:tc>
        <w:tc>
          <w:tcPr>
            <w:tcW w:type="dxa" w:w="3969"/>
          </w:tcPr>
          <w:p>
            <w:pPr>
              <w:spacing w:after="0"/>
            </w:pPr>
            <w:r/>
            <w:r>
              <w:rPr>
                <w:b w:val="0"/>
                <w:i w:val="0"/>
                <w:sz w:val="17"/>
              </w:rPr>
              <w:t>Quotations, pricing, tenders, key accounts</w:t>
            </w:r>
          </w:p>
        </w:tc>
      </w:tr>
      <w:tr>
        <w:trPr>
          <w:cantSplit w:val="true"/>
        </w:trPr>
        <w:tc>
          <w:tcPr>
            <w:tcW w:type="dxa" w:w="3402"/>
            <w:shd w:val="clear" w:color="auto" w:fill="F9FAFB"/>
          </w:tcPr>
          <w:p>
            <w:pPr>
              <w:spacing w:after="0"/>
            </w:pPr>
            <w:r/>
            <w:r>
              <w:rPr>
                <w:b w:val="0"/>
                <w:i w:val="0"/>
                <w:sz w:val="17"/>
              </w:rPr>
              <w:t xml:space="preserve">Procurement Manager / </w:t>
            </w:r>
            <w:r>
              <w:rPr>
                <w:b w:val="0"/>
                <w:i w:val="0"/>
                <w:sz w:val="17"/>
                <w:rtl/>
                <w:rFonts w:cs="Arial" w:ascii="Arial" w:hAnsi="Arial"/>
              </w:rPr>
              <w:t>مدير المشتريات</w:t>
            </w:r>
          </w:p>
        </w:tc>
        <w:tc>
          <w:tcPr>
            <w:tcW w:type="dxa" w:w="2268"/>
            <w:shd w:val="clear" w:color="auto" w:fill="F9FAFB"/>
          </w:tcPr>
          <w:p>
            <w:pPr>
              <w:spacing w:after="0"/>
            </w:pPr>
            <w:r/>
            <w:r>
              <w:rPr>
                <w:b w:val="0"/>
                <w:i w:val="0"/>
                <w:sz w:val="17"/>
              </w:rPr>
              <w:t>General Manager</w:t>
            </w:r>
          </w:p>
        </w:tc>
        <w:tc>
          <w:tcPr>
            <w:tcW w:type="dxa" w:w="3969"/>
            <w:shd w:val="clear" w:color="auto" w:fill="F9FAFB"/>
          </w:tcPr>
          <w:p>
            <w:pPr>
              <w:spacing w:after="0"/>
            </w:pPr>
            <w:r/>
            <w:r>
              <w:rPr>
                <w:b w:val="0"/>
                <w:i w:val="0"/>
                <w:sz w:val="17"/>
              </w:rPr>
              <w:t>Vendor selection, RFQs, imports, purchase orders</w:t>
            </w:r>
          </w:p>
        </w:tc>
      </w:tr>
      <w:tr>
        <w:trPr>
          <w:cantSplit w:val="true"/>
        </w:trPr>
        <w:tc>
          <w:tcPr>
            <w:tcW w:type="dxa" w:w="3402"/>
          </w:tcPr>
          <w:p>
            <w:pPr>
              <w:spacing w:after="0"/>
            </w:pPr>
            <w:r/>
            <w:r>
              <w:rPr>
                <w:b w:val="0"/>
                <w:i w:val="0"/>
                <w:sz w:val="17"/>
              </w:rPr>
              <w:t xml:space="preserve">Warehouse &amp; Logistics Manager / </w:t>
            </w:r>
            <w:r>
              <w:rPr>
                <w:b w:val="0"/>
                <w:i w:val="0"/>
                <w:sz w:val="17"/>
                <w:rtl/>
                <w:rFonts w:cs="Arial" w:ascii="Arial" w:hAnsi="Arial"/>
              </w:rPr>
              <w:t>مدير المخازن</w:t>
            </w:r>
          </w:p>
        </w:tc>
        <w:tc>
          <w:tcPr>
            <w:tcW w:type="dxa" w:w="2268"/>
          </w:tcPr>
          <w:p>
            <w:pPr>
              <w:spacing w:after="0"/>
            </w:pPr>
            <w:r/>
            <w:r>
              <w:rPr>
                <w:b w:val="0"/>
                <w:i w:val="0"/>
                <w:sz w:val="17"/>
              </w:rPr>
              <w:t>General Manager</w:t>
            </w:r>
          </w:p>
        </w:tc>
        <w:tc>
          <w:tcPr>
            <w:tcW w:type="dxa" w:w="3969"/>
          </w:tcPr>
          <w:p>
            <w:pPr>
              <w:spacing w:after="0"/>
            </w:pPr>
            <w:r/>
            <w:r>
              <w:rPr>
                <w:b w:val="0"/>
                <w:i w:val="0"/>
                <w:sz w:val="17"/>
              </w:rPr>
              <w:t>Four warehouses, FEFO, delivery, recall readiness</w:t>
            </w:r>
          </w:p>
        </w:tc>
      </w:tr>
      <w:tr>
        <w:trPr>
          <w:cantSplit w:val="true"/>
        </w:trPr>
        <w:tc>
          <w:tcPr>
            <w:tcW w:type="dxa" w:w="3402"/>
            <w:shd w:val="clear" w:color="auto" w:fill="F9FAFB"/>
          </w:tcPr>
          <w:p>
            <w:pPr>
              <w:spacing w:after="0"/>
            </w:pPr>
            <w:r/>
            <w:r>
              <w:rPr>
                <w:b w:val="0"/>
                <w:i w:val="0"/>
                <w:sz w:val="17"/>
              </w:rPr>
              <w:t xml:space="preserve">Quality &amp; Compliance Officer / </w:t>
            </w:r>
            <w:r>
              <w:rPr>
                <w:b w:val="0"/>
                <w:i w:val="0"/>
                <w:sz w:val="17"/>
                <w:rtl/>
                <w:rFonts w:cs="Arial" w:ascii="Arial" w:hAnsi="Arial"/>
              </w:rPr>
              <w:t>مسؤول الجودة</w:t>
            </w:r>
          </w:p>
        </w:tc>
        <w:tc>
          <w:tcPr>
            <w:tcW w:type="dxa" w:w="2268"/>
            <w:shd w:val="clear" w:color="auto" w:fill="F9FAFB"/>
          </w:tcPr>
          <w:p>
            <w:pPr>
              <w:spacing w:after="0"/>
            </w:pPr>
            <w:r/>
            <w:r>
              <w:rPr>
                <w:b w:val="0"/>
                <w:i w:val="0"/>
                <w:sz w:val="17"/>
              </w:rPr>
              <w:t>Warehouse &amp; Logistics Manager</w:t>
            </w:r>
          </w:p>
        </w:tc>
        <w:tc>
          <w:tcPr>
            <w:tcW w:type="dxa" w:w="3969"/>
            <w:shd w:val="clear" w:color="auto" w:fill="F9FAFB"/>
          </w:tcPr>
          <w:p>
            <w:pPr>
              <w:spacing w:after="0"/>
            </w:pPr>
            <w:r/>
            <w:r>
              <w:rPr>
                <w:b w:val="0"/>
                <w:i w:val="0"/>
                <w:sz w:val="17"/>
              </w:rPr>
              <w:t>Incoming inspection, quarantine decisions, traceability</w:t>
            </w:r>
          </w:p>
        </w:tc>
      </w:tr>
      <w:tr>
        <w:trPr>
          <w:cantSplit w:val="true"/>
        </w:trPr>
        <w:tc>
          <w:tcPr>
            <w:tcW w:type="dxa" w:w="3402"/>
          </w:tcPr>
          <w:p>
            <w:pPr>
              <w:spacing w:after="0"/>
            </w:pPr>
            <w:r/>
            <w:r>
              <w:rPr>
                <w:b w:val="0"/>
                <w:i w:val="0"/>
                <w:sz w:val="17"/>
              </w:rPr>
              <w:t xml:space="preserve">Technical Service Manager / </w:t>
            </w:r>
            <w:r>
              <w:rPr>
                <w:b w:val="0"/>
                <w:i w:val="0"/>
                <w:sz w:val="17"/>
                <w:rtl/>
                <w:rFonts w:cs="Arial" w:ascii="Arial" w:hAnsi="Arial"/>
              </w:rPr>
              <w:t>مدير الخدمة الفنية</w:t>
            </w:r>
          </w:p>
        </w:tc>
        <w:tc>
          <w:tcPr>
            <w:tcW w:type="dxa" w:w="2268"/>
          </w:tcPr>
          <w:p>
            <w:pPr>
              <w:spacing w:after="0"/>
            </w:pPr>
            <w:r/>
            <w:r>
              <w:rPr>
                <w:b w:val="0"/>
                <w:i w:val="0"/>
                <w:sz w:val="17"/>
              </w:rPr>
              <w:t>General Manager</w:t>
            </w:r>
          </w:p>
        </w:tc>
        <w:tc>
          <w:tcPr>
            <w:tcW w:type="dxa" w:w="3969"/>
          </w:tcPr>
          <w:p>
            <w:pPr>
              <w:spacing w:after="0"/>
            </w:pPr>
            <w:r/>
            <w:r>
              <w:rPr>
                <w:b w:val="0"/>
                <w:i w:val="0"/>
                <w:sz w:val="17"/>
              </w:rPr>
              <w:t>Installation, warranty, spare-parts service</w:t>
            </w:r>
          </w:p>
        </w:tc>
      </w:tr>
      <w:tr>
        <w:trPr>
          <w:cantSplit w:val="true"/>
        </w:trPr>
        <w:tc>
          <w:tcPr>
            <w:tcW w:type="dxa" w:w="3402"/>
            <w:shd w:val="clear" w:color="auto" w:fill="F9FAFB"/>
          </w:tcPr>
          <w:p>
            <w:pPr>
              <w:spacing w:after="0"/>
            </w:pPr>
            <w:r/>
            <w:r>
              <w:rPr>
                <w:b w:val="0"/>
                <w:i w:val="0"/>
                <w:sz w:val="17"/>
              </w:rPr>
              <w:t xml:space="preserve">Branch Managers (3) / </w:t>
            </w:r>
            <w:r>
              <w:rPr>
                <w:b w:val="0"/>
                <w:i w:val="0"/>
                <w:sz w:val="17"/>
                <w:rtl/>
                <w:rFonts w:cs="Arial" w:ascii="Arial" w:hAnsi="Arial"/>
              </w:rPr>
              <w:t>مديرو الفروع</w:t>
            </w:r>
          </w:p>
        </w:tc>
        <w:tc>
          <w:tcPr>
            <w:tcW w:type="dxa" w:w="2268"/>
            <w:shd w:val="clear" w:color="auto" w:fill="F9FAFB"/>
          </w:tcPr>
          <w:p>
            <w:pPr>
              <w:spacing w:after="0"/>
            </w:pPr>
            <w:r/>
            <w:r>
              <w:rPr>
                <w:b w:val="0"/>
                <w:i w:val="0"/>
                <w:sz w:val="17"/>
              </w:rPr>
              <w:t>General Manager</w:t>
            </w:r>
          </w:p>
        </w:tc>
        <w:tc>
          <w:tcPr>
            <w:tcW w:type="dxa" w:w="3969"/>
            <w:shd w:val="clear" w:color="auto" w:fill="F9FAFB"/>
          </w:tcPr>
          <w:p>
            <w:pPr>
              <w:spacing w:after="0"/>
            </w:pPr>
            <w:r/>
            <w:r>
              <w:rPr>
                <w:b w:val="0"/>
                <w:i w:val="0"/>
                <w:sz w:val="17"/>
              </w:rPr>
              <w:t>Branch administration, retail and sales office</w:t>
            </w:r>
          </w:p>
        </w:tc>
      </w:tr>
    </w:tbl>
    <w:p>
      <w:pPr>
        <w:spacing w:after="40"/>
      </w:pPr>
    </w:p>
    <w:p>
      <w:r>
        <w:rPr>
          <w:b w:val="0"/>
          <w:i w:val="0"/>
        </w:rPr>
        <w:t>The full organizational chart is provided in Organization_and_Accounting_Charts.xlsx (sheet 'Organizational Structure').</w:t>
      </w:r>
    </w:p>
    <w:p>
      <w:pPr>
        <w:pStyle w:val="Heading1"/>
      </w:pPr>
      <w:r>
        <w:t>6. Branches</w:t>
      </w:r>
    </w:p>
    <w:p>
      <w:pPr>
        <w:jc w:val="center"/>
      </w:pPr>
      <w:r>
        <w:drawing>
          <wp:inline xmlns:a="http://schemas.openxmlformats.org/drawingml/2006/main" xmlns:pic="http://schemas.openxmlformats.org/drawingml/2006/picture">
            <wp:extent cx="6120000" cy="3012923"/>
            <wp:docPr id="1" name="Picture 1"/>
            <wp:cNvGraphicFramePr>
              <a:graphicFrameLocks noChangeAspect="1"/>
            </wp:cNvGraphicFramePr>
            <a:graphic>
              <a:graphicData uri="http://schemas.openxmlformats.org/drawingml/2006/picture">
                <pic:pic>
                  <pic:nvPicPr>
                    <pic:cNvPr id="0" name="structure.png"/>
                    <pic:cNvPicPr/>
                  </pic:nvPicPr>
                  <pic:blipFill>
                    <a:blip r:embed="rId11"/>
                    <a:stretch>
                      <a:fillRect/>
                    </a:stretch>
                  </pic:blipFill>
                  <pic:spPr>
                    <a:xfrm>
                      <a:off x="0" y="0"/>
                      <a:ext cx="6120000" cy="3012923"/>
                    </a:xfrm>
                    <a:prstGeom prst="rect"/>
                  </pic:spPr>
                </pic:pic>
              </a:graphicData>
            </a:graphic>
          </wp:inline>
        </w:drawing>
      </w:r>
    </w:p>
    <w:p>
      <w:pPr>
        <w:jc w:val="center"/>
      </w:pPr>
      <w:r>
        <w:rPr>
          <w:i/>
          <w:color w:val="6B7280"/>
          <w:sz w:val="17"/>
        </w:rPr>
        <w:t>Figure 1 - Company, branches and warehouses (single legal company)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134"/>
        <w:gridCol w:w="1928"/>
        <w:gridCol w:w="1587"/>
        <w:gridCol w:w="2608"/>
        <w:gridCol w:w="2381"/>
      </w:tblGrid>
      <w:tr>
        <w:trPr>
          <w:tblHeader w:val="true"/>
        </w:trPr>
        <w:tc>
          <w:tcPr>
            <w:tcW w:type="dxa" w:w="1134"/>
            <w:shd w:val="clear" w:color="auto" w:fill="C8102E"/>
          </w:tcPr>
          <w:p>
            <w:r/>
            <w:r>
              <w:rPr>
                <w:b/>
                <w:color w:val="FFFFFF"/>
                <w:sz w:val="17"/>
              </w:rPr>
              <w:t>Code</w:t>
            </w:r>
          </w:p>
        </w:tc>
        <w:tc>
          <w:tcPr>
            <w:tcW w:type="dxa" w:w="1928"/>
            <w:shd w:val="clear" w:color="auto" w:fill="C8102E"/>
          </w:tcPr>
          <w:p>
            <w:r/>
            <w:r>
              <w:rPr>
                <w:b/>
                <w:color w:val="FFFFFF"/>
                <w:sz w:val="17"/>
              </w:rPr>
              <w:t>Branch</w:t>
            </w:r>
          </w:p>
        </w:tc>
        <w:tc>
          <w:tcPr>
            <w:tcW w:type="dxa" w:w="1587"/>
            <w:shd w:val="clear" w:color="auto" w:fill="C8102E"/>
          </w:tcPr>
          <w:p>
            <w:r/>
            <w:r>
              <w:rPr>
                <w:b/>
                <w:color w:val="FFFFFF"/>
                <w:sz w:val="17"/>
              </w:rPr>
              <w:t>الفرع</w:t>
            </w:r>
          </w:p>
        </w:tc>
        <w:tc>
          <w:tcPr>
            <w:tcW w:type="dxa" w:w="2608"/>
            <w:shd w:val="clear" w:color="auto" w:fill="C8102E"/>
          </w:tcPr>
          <w:p>
            <w:r/>
            <w:r>
              <w:rPr>
                <w:b/>
                <w:color w:val="FFFFFF"/>
                <w:sz w:val="17"/>
              </w:rPr>
              <w:t>Role</w:t>
            </w:r>
          </w:p>
        </w:tc>
        <w:tc>
          <w:tcPr>
            <w:tcW w:type="dxa" w:w="2381"/>
            <w:shd w:val="clear" w:color="auto" w:fill="C8102E"/>
          </w:tcPr>
          <w:p>
            <w:r/>
            <w:r>
              <w:rPr>
                <w:b/>
                <w:color w:val="FFFFFF"/>
                <w:sz w:val="17"/>
              </w:rPr>
              <w:t>Address</w:t>
            </w:r>
          </w:p>
        </w:tc>
      </w:tr>
      <w:tr>
        <w:trPr>
          <w:cantSplit w:val="true"/>
        </w:trPr>
        <w:tc>
          <w:tcPr>
            <w:tcW w:type="dxa" w:w="1134"/>
          </w:tcPr>
          <w:p>
            <w:pPr>
              <w:spacing w:after="0"/>
            </w:pPr>
            <w:r/>
            <w:r>
              <w:rPr>
                <w:b w:val="0"/>
                <w:i w:val="0"/>
                <w:sz w:val="17"/>
              </w:rPr>
              <w:t>BR-NSC</w:t>
            </w:r>
          </w:p>
        </w:tc>
        <w:tc>
          <w:tcPr>
            <w:tcW w:type="dxa" w:w="1928"/>
          </w:tcPr>
          <w:p>
            <w:pPr>
              <w:spacing w:after="0"/>
            </w:pPr>
            <w:r/>
            <w:r>
              <w:rPr>
                <w:b w:val="0"/>
                <w:i w:val="0"/>
                <w:sz w:val="17"/>
              </w:rPr>
              <w:t>Nasr City Branch</w:t>
            </w:r>
          </w:p>
        </w:tc>
        <w:tc>
          <w:tcPr>
            <w:tcW w:type="dxa" w:w="1587"/>
          </w:tcPr>
          <w:p>
            <w:pPr>
              <w:spacing w:after="0"/>
              <w:bidi/>
              <w:jc w:val="right"/>
            </w:pPr>
            <w:r/>
            <w:r>
              <w:rPr>
                <w:b w:val="0"/>
                <w:i w:val="0"/>
                <w:sz w:val="17"/>
                <w:rtl/>
                <w:rFonts w:cs="Arial" w:ascii="Arial" w:hAnsi="Arial"/>
              </w:rPr>
              <w:t>فرع مدينة نصر</w:t>
            </w:r>
          </w:p>
        </w:tc>
        <w:tc>
          <w:tcPr>
            <w:tcW w:type="dxa" w:w="2608"/>
          </w:tcPr>
          <w:p>
            <w:pPr>
              <w:spacing w:after="0"/>
            </w:pPr>
            <w:r/>
            <w:r>
              <w:rPr>
                <w:b w:val="0"/>
                <w:i w:val="0"/>
                <w:sz w:val="17"/>
              </w:rPr>
              <w:t xml:space="preserve">Main Headquarters and Administration / </w:t>
            </w:r>
            <w:r>
              <w:rPr>
                <w:b w:val="0"/>
                <w:i w:val="0"/>
                <w:sz w:val="17"/>
                <w:rtl/>
                <w:rFonts w:cs="Arial" w:ascii="Arial" w:hAnsi="Arial"/>
              </w:rPr>
              <w:t>المقر الرئيسي والإدارة</w:t>
            </w:r>
          </w:p>
        </w:tc>
        <w:tc>
          <w:tcPr>
            <w:tcW w:type="dxa" w:w="2381"/>
          </w:tcPr>
          <w:p>
            <w:pPr>
              <w:spacing w:after="0"/>
            </w:pPr>
            <w:r/>
            <w:r>
              <w:rPr>
                <w:b w:val="0"/>
                <w:i w:val="0"/>
                <w:sz w:val="17"/>
              </w:rPr>
              <w:t>45 Makram Ebeid St, Nasr City, Cairo, Egypt</w:t>
            </w:r>
          </w:p>
        </w:tc>
      </w:tr>
      <w:tr>
        <w:trPr>
          <w:cantSplit w:val="true"/>
        </w:trPr>
        <w:tc>
          <w:tcPr>
            <w:tcW w:type="dxa" w:w="1134"/>
            <w:shd w:val="clear" w:color="auto" w:fill="F9FAFB"/>
          </w:tcPr>
          <w:p>
            <w:pPr>
              <w:spacing w:after="0"/>
            </w:pPr>
            <w:r/>
            <w:r>
              <w:rPr>
                <w:b w:val="0"/>
                <w:i w:val="0"/>
                <w:sz w:val="17"/>
              </w:rPr>
              <w:t>BR-MAA</w:t>
            </w:r>
          </w:p>
        </w:tc>
        <w:tc>
          <w:tcPr>
            <w:tcW w:type="dxa" w:w="1928"/>
            <w:shd w:val="clear" w:color="auto" w:fill="F9FAFB"/>
          </w:tcPr>
          <w:p>
            <w:pPr>
              <w:spacing w:after="0"/>
            </w:pPr>
            <w:r/>
            <w:r>
              <w:rPr>
                <w:b w:val="0"/>
                <w:i w:val="0"/>
                <w:sz w:val="17"/>
              </w:rPr>
              <w:t>Maadi Branch</w:t>
            </w:r>
          </w:p>
        </w:tc>
        <w:tc>
          <w:tcPr>
            <w:tcW w:type="dxa" w:w="1587"/>
            <w:shd w:val="clear" w:color="auto" w:fill="F9FAFB"/>
          </w:tcPr>
          <w:p>
            <w:pPr>
              <w:spacing w:after="0"/>
              <w:bidi/>
              <w:jc w:val="right"/>
            </w:pPr>
            <w:r/>
            <w:r>
              <w:rPr>
                <w:b w:val="0"/>
                <w:i w:val="0"/>
                <w:sz w:val="17"/>
                <w:rtl/>
                <w:rFonts w:cs="Arial" w:ascii="Arial" w:hAnsi="Arial"/>
              </w:rPr>
              <w:t>فرع المعادي</w:t>
            </w:r>
          </w:p>
        </w:tc>
        <w:tc>
          <w:tcPr>
            <w:tcW w:type="dxa" w:w="2608"/>
            <w:shd w:val="clear" w:color="auto" w:fill="F9FAFB"/>
          </w:tcPr>
          <w:p>
            <w:pPr>
              <w:spacing w:after="0"/>
            </w:pPr>
            <w:r/>
            <w:r>
              <w:rPr>
                <w:b w:val="0"/>
                <w:i w:val="0"/>
                <w:sz w:val="17"/>
              </w:rPr>
              <w:t xml:space="preserve">Retail and Distribution / </w:t>
            </w:r>
            <w:r>
              <w:rPr>
                <w:b w:val="0"/>
                <w:i w:val="0"/>
                <w:sz w:val="17"/>
                <w:rtl/>
                <w:rFonts w:cs="Arial" w:ascii="Arial" w:hAnsi="Arial"/>
              </w:rPr>
              <w:t>التجزئة والتوزيع</w:t>
            </w:r>
          </w:p>
        </w:tc>
        <w:tc>
          <w:tcPr>
            <w:tcW w:type="dxa" w:w="2381"/>
            <w:shd w:val="clear" w:color="auto" w:fill="F9FAFB"/>
          </w:tcPr>
          <w:p>
            <w:pPr>
              <w:spacing w:after="0"/>
            </w:pPr>
            <w:r/>
            <w:r>
              <w:rPr>
                <w:b w:val="0"/>
                <w:i w:val="0"/>
                <w:sz w:val="17"/>
              </w:rPr>
              <w:t>18 Road 9, Maadi, Cairo, Egypt</w:t>
            </w:r>
          </w:p>
        </w:tc>
      </w:tr>
      <w:tr>
        <w:trPr>
          <w:cantSplit w:val="true"/>
        </w:trPr>
        <w:tc>
          <w:tcPr>
            <w:tcW w:type="dxa" w:w="1134"/>
          </w:tcPr>
          <w:p>
            <w:pPr>
              <w:spacing w:after="0"/>
            </w:pPr>
            <w:r/>
            <w:r>
              <w:rPr>
                <w:b w:val="0"/>
                <w:i w:val="0"/>
                <w:sz w:val="17"/>
              </w:rPr>
              <w:t>BR-MOH</w:t>
            </w:r>
          </w:p>
        </w:tc>
        <w:tc>
          <w:tcPr>
            <w:tcW w:type="dxa" w:w="1928"/>
          </w:tcPr>
          <w:p>
            <w:pPr>
              <w:spacing w:after="0"/>
            </w:pPr>
            <w:r/>
            <w:r>
              <w:rPr>
                <w:b w:val="0"/>
                <w:i w:val="0"/>
                <w:sz w:val="17"/>
              </w:rPr>
              <w:t>Mohandeseen Branch</w:t>
            </w:r>
          </w:p>
        </w:tc>
        <w:tc>
          <w:tcPr>
            <w:tcW w:type="dxa" w:w="1587"/>
          </w:tcPr>
          <w:p>
            <w:pPr>
              <w:spacing w:after="0"/>
              <w:bidi/>
              <w:jc w:val="right"/>
            </w:pPr>
            <w:r/>
            <w:r>
              <w:rPr>
                <w:b w:val="0"/>
                <w:i w:val="0"/>
                <w:sz w:val="17"/>
                <w:rtl/>
                <w:rFonts w:cs="Arial" w:ascii="Arial" w:hAnsi="Arial"/>
              </w:rPr>
              <w:t>فرع المهندسين</w:t>
            </w:r>
          </w:p>
        </w:tc>
        <w:tc>
          <w:tcPr>
            <w:tcW w:type="dxa" w:w="2608"/>
          </w:tcPr>
          <w:p>
            <w:pPr>
              <w:spacing w:after="0"/>
            </w:pPr>
            <w:r/>
            <w:r>
              <w:rPr>
                <w:b w:val="0"/>
                <w:i w:val="0"/>
                <w:sz w:val="17"/>
              </w:rPr>
              <w:t xml:space="preserve">Sales Office / </w:t>
            </w:r>
            <w:r>
              <w:rPr>
                <w:b w:val="0"/>
                <w:i w:val="0"/>
                <w:sz w:val="17"/>
                <w:rtl/>
                <w:rFonts w:cs="Arial" w:ascii="Arial" w:hAnsi="Arial"/>
              </w:rPr>
              <w:t>مكتب المبيعات</w:t>
            </w:r>
          </w:p>
        </w:tc>
        <w:tc>
          <w:tcPr>
            <w:tcW w:type="dxa" w:w="2381"/>
          </w:tcPr>
          <w:p>
            <w:pPr>
              <w:spacing w:after="0"/>
            </w:pPr>
            <w:r/>
            <w:r>
              <w:rPr>
                <w:b w:val="0"/>
                <w:i w:val="0"/>
                <w:sz w:val="17"/>
              </w:rPr>
              <w:t>22 Syria St, Mohandeseen, Greater Cairo, Egypt</w:t>
            </w:r>
          </w:p>
        </w:tc>
      </w:tr>
    </w:tbl>
    <w:p>
      <w:pPr>
        <w:spacing w:after="40"/>
      </w:pPr>
    </w:p>
    <w:p>
      <w:r>
        <w:rPr>
          <w:b w:val="0"/>
          <w:i/>
          <w:sz w:val="18"/>
        </w:rPr>
        <w:t>The Nasr City address is the registered headquarters. Maadi and Mohandeseen street addresses are plausible illustrative addresses created for this project.</w:t>
      </w:r>
    </w:p>
    <w:p>
      <w:pPr>
        <w:pStyle w:val="Heading1"/>
      </w:pPr>
      <w:r>
        <w:t>7. Warehouse network</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850"/>
        <w:gridCol w:w="2494"/>
        <w:gridCol w:w="1928"/>
        <w:gridCol w:w="1077"/>
        <w:gridCol w:w="3288"/>
      </w:tblGrid>
      <w:tr>
        <w:trPr>
          <w:tblHeader w:val="true"/>
        </w:trPr>
        <w:tc>
          <w:tcPr>
            <w:tcW w:type="dxa" w:w="850"/>
            <w:shd w:val="clear" w:color="auto" w:fill="C8102E"/>
          </w:tcPr>
          <w:p>
            <w:r/>
            <w:r>
              <w:rPr>
                <w:b/>
                <w:color w:val="FFFFFF"/>
                <w:sz w:val="17"/>
              </w:rPr>
              <w:t>Code</w:t>
            </w:r>
          </w:p>
        </w:tc>
        <w:tc>
          <w:tcPr>
            <w:tcW w:type="dxa" w:w="2494"/>
            <w:shd w:val="clear" w:color="auto" w:fill="C8102E"/>
          </w:tcPr>
          <w:p>
            <w:r/>
            <w:r>
              <w:rPr>
                <w:b/>
                <w:color w:val="FFFFFF"/>
                <w:sz w:val="17"/>
              </w:rPr>
              <w:t>Warehouse</w:t>
            </w:r>
          </w:p>
        </w:tc>
        <w:tc>
          <w:tcPr>
            <w:tcW w:type="dxa" w:w="1928"/>
            <w:shd w:val="clear" w:color="auto" w:fill="C8102E"/>
          </w:tcPr>
          <w:p>
            <w:r/>
            <w:r>
              <w:rPr>
                <w:b/>
                <w:color w:val="FFFFFF"/>
                <w:sz w:val="17"/>
              </w:rPr>
              <w:t>المخزن</w:t>
            </w:r>
          </w:p>
        </w:tc>
        <w:tc>
          <w:tcPr>
            <w:tcW w:type="dxa" w:w="1077"/>
            <w:shd w:val="clear" w:color="auto" w:fill="C8102E"/>
          </w:tcPr>
          <w:p>
            <w:r/>
            <w:r>
              <w:rPr>
                <w:b/>
                <w:color w:val="FFFFFF"/>
                <w:sz w:val="17"/>
              </w:rPr>
              <w:t>Branch</w:t>
            </w:r>
          </w:p>
        </w:tc>
        <w:tc>
          <w:tcPr>
            <w:tcW w:type="dxa" w:w="3288"/>
            <w:shd w:val="clear" w:color="auto" w:fill="C8102E"/>
          </w:tcPr>
          <w:p>
            <w:r/>
            <w:r>
              <w:rPr>
                <w:b/>
                <w:color w:val="FFFFFF"/>
                <w:sz w:val="17"/>
              </w:rPr>
              <w:t>Purpose</w:t>
            </w:r>
          </w:p>
        </w:tc>
      </w:tr>
      <w:tr>
        <w:trPr>
          <w:cantSplit w:val="true"/>
        </w:trPr>
        <w:tc>
          <w:tcPr>
            <w:tcW w:type="dxa" w:w="850"/>
          </w:tcPr>
          <w:p>
            <w:pPr>
              <w:spacing w:after="0"/>
            </w:pPr>
            <w:r/>
            <w:r>
              <w:rPr>
                <w:b w:val="0"/>
                <w:i w:val="0"/>
                <w:sz w:val="17"/>
              </w:rPr>
              <w:t>EQP</w:t>
            </w:r>
          </w:p>
        </w:tc>
        <w:tc>
          <w:tcPr>
            <w:tcW w:type="dxa" w:w="2494"/>
          </w:tcPr>
          <w:p>
            <w:pPr>
              <w:spacing w:after="0"/>
            </w:pPr>
            <w:r/>
            <w:r>
              <w:rPr>
                <w:b w:val="0"/>
                <w:i w:val="0"/>
                <w:sz w:val="17"/>
              </w:rPr>
              <w:t>Main Equipment Warehouse</w:t>
            </w:r>
          </w:p>
        </w:tc>
        <w:tc>
          <w:tcPr>
            <w:tcW w:type="dxa" w:w="1928"/>
          </w:tcPr>
          <w:p>
            <w:pPr>
              <w:spacing w:after="0"/>
              <w:bidi/>
              <w:jc w:val="right"/>
            </w:pPr>
            <w:r/>
            <w:r>
              <w:rPr>
                <w:b w:val="0"/>
                <w:i w:val="0"/>
                <w:sz w:val="17"/>
                <w:rtl/>
                <w:rFonts w:cs="Arial" w:ascii="Arial" w:hAnsi="Arial"/>
              </w:rPr>
              <w:t>مخزن المعدات الرئيسي</w:t>
            </w:r>
          </w:p>
        </w:tc>
        <w:tc>
          <w:tcPr>
            <w:tcW w:type="dxa" w:w="1077"/>
          </w:tcPr>
          <w:p>
            <w:pPr>
              <w:spacing w:after="0"/>
            </w:pPr>
            <w:r/>
            <w:r>
              <w:rPr>
                <w:b w:val="0"/>
                <w:i w:val="0"/>
                <w:sz w:val="17"/>
              </w:rPr>
              <w:t>BR-NSC</w:t>
            </w:r>
          </w:p>
        </w:tc>
        <w:tc>
          <w:tcPr>
            <w:tcW w:type="dxa" w:w="3288"/>
          </w:tcPr>
          <w:p>
            <w:pPr>
              <w:spacing w:after="0"/>
            </w:pPr>
            <w:r/>
            <w:r>
              <w:rPr>
                <w:b w:val="0"/>
                <w:i w:val="0"/>
                <w:sz w:val="17"/>
              </w:rPr>
              <w:t>Receiving, storage and dispatch of capital medical equipment (serial-tracked)</w:t>
            </w:r>
          </w:p>
        </w:tc>
      </w:tr>
      <w:tr>
        <w:trPr>
          <w:cantSplit w:val="true"/>
        </w:trPr>
        <w:tc>
          <w:tcPr>
            <w:tcW w:type="dxa" w:w="850"/>
            <w:shd w:val="clear" w:color="auto" w:fill="F9FAFB"/>
          </w:tcPr>
          <w:p>
            <w:pPr>
              <w:spacing w:after="0"/>
            </w:pPr>
            <w:r/>
            <w:r>
              <w:rPr>
                <w:b w:val="0"/>
                <w:i w:val="0"/>
                <w:sz w:val="17"/>
              </w:rPr>
              <w:t>CON</w:t>
            </w:r>
          </w:p>
        </w:tc>
        <w:tc>
          <w:tcPr>
            <w:tcW w:type="dxa" w:w="2494"/>
            <w:shd w:val="clear" w:color="auto" w:fill="F9FAFB"/>
          </w:tcPr>
          <w:p>
            <w:pPr>
              <w:spacing w:after="0"/>
            </w:pPr>
            <w:r/>
            <w:r>
              <w:rPr>
                <w:b w:val="0"/>
                <w:i w:val="0"/>
                <w:sz w:val="17"/>
              </w:rPr>
              <w:t>Medical Consumables &amp; Disposables Warehouse</w:t>
            </w:r>
          </w:p>
        </w:tc>
        <w:tc>
          <w:tcPr>
            <w:tcW w:type="dxa" w:w="1928"/>
            <w:shd w:val="clear" w:color="auto" w:fill="F9FAFB"/>
          </w:tcPr>
          <w:p>
            <w:pPr>
              <w:spacing w:after="0"/>
              <w:bidi/>
              <w:jc w:val="right"/>
            </w:pPr>
            <w:r/>
            <w:r>
              <w:rPr>
                <w:b w:val="0"/>
                <w:i w:val="0"/>
                <w:sz w:val="17"/>
                <w:rtl/>
                <w:rFonts w:cs="Arial" w:ascii="Arial" w:hAnsi="Arial"/>
              </w:rPr>
              <w:t>مخزن المستهلكات والمستلزمات الطبية</w:t>
            </w:r>
          </w:p>
        </w:tc>
        <w:tc>
          <w:tcPr>
            <w:tcW w:type="dxa" w:w="1077"/>
            <w:shd w:val="clear" w:color="auto" w:fill="F9FAFB"/>
          </w:tcPr>
          <w:p>
            <w:pPr>
              <w:spacing w:after="0"/>
            </w:pPr>
            <w:r/>
            <w:r>
              <w:rPr>
                <w:b w:val="0"/>
                <w:i w:val="0"/>
                <w:sz w:val="17"/>
              </w:rPr>
              <w:t>BR-MAA</w:t>
            </w:r>
          </w:p>
        </w:tc>
        <w:tc>
          <w:tcPr>
            <w:tcW w:type="dxa" w:w="3288"/>
            <w:shd w:val="clear" w:color="auto" w:fill="F9FAFB"/>
          </w:tcPr>
          <w:p>
            <w:pPr>
              <w:spacing w:after="0"/>
            </w:pPr>
            <w:r/>
            <w:r>
              <w:rPr>
                <w:b w:val="0"/>
                <w:i w:val="0"/>
                <w:sz w:val="17"/>
              </w:rPr>
              <w:t>Lot- and expiry-tracked consumables; FEFO picking; retail counter supply</w:t>
            </w:r>
          </w:p>
        </w:tc>
      </w:tr>
      <w:tr>
        <w:trPr>
          <w:cantSplit w:val="true"/>
        </w:trPr>
        <w:tc>
          <w:tcPr>
            <w:tcW w:type="dxa" w:w="850"/>
          </w:tcPr>
          <w:p>
            <w:pPr>
              <w:spacing w:after="0"/>
            </w:pPr>
            <w:r/>
            <w:r>
              <w:rPr>
                <w:b w:val="0"/>
                <w:i w:val="0"/>
                <w:sz w:val="17"/>
              </w:rPr>
              <w:t>SPR</w:t>
            </w:r>
          </w:p>
        </w:tc>
        <w:tc>
          <w:tcPr>
            <w:tcW w:type="dxa" w:w="2494"/>
          </w:tcPr>
          <w:p>
            <w:pPr>
              <w:spacing w:after="0"/>
            </w:pPr>
            <w:r/>
            <w:r>
              <w:rPr>
                <w:b w:val="0"/>
                <w:i w:val="0"/>
                <w:sz w:val="17"/>
              </w:rPr>
              <w:t>Spare Parts Warehouse</w:t>
            </w:r>
          </w:p>
        </w:tc>
        <w:tc>
          <w:tcPr>
            <w:tcW w:type="dxa" w:w="1928"/>
          </w:tcPr>
          <w:p>
            <w:pPr>
              <w:spacing w:after="0"/>
              <w:bidi/>
              <w:jc w:val="right"/>
            </w:pPr>
            <w:r/>
            <w:r>
              <w:rPr>
                <w:b w:val="0"/>
                <w:i w:val="0"/>
                <w:sz w:val="17"/>
                <w:rtl/>
                <w:rFonts w:cs="Arial" w:ascii="Arial" w:hAnsi="Arial"/>
              </w:rPr>
              <w:t>مخزن قطع الغيار</w:t>
            </w:r>
          </w:p>
        </w:tc>
        <w:tc>
          <w:tcPr>
            <w:tcW w:type="dxa" w:w="1077"/>
          </w:tcPr>
          <w:p>
            <w:pPr>
              <w:spacing w:after="0"/>
            </w:pPr>
            <w:r/>
            <w:r>
              <w:rPr>
                <w:b w:val="0"/>
                <w:i w:val="0"/>
                <w:sz w:val="17"/>
              </w:rPr>
              <w:t>BR-MOH</w:t>
            </w:r>
          </w:p>
        </w:tc>
        <w:tc>
          <w:tcPr>
            <w:tcW w:type="dxa" w:w="3288"/>
          </w:tcPr>
          <w:p>
            <w:pPr>
              <w:spacing w:after="0"/>
            </w:pPr>
            <w:r/>
            <w:r>
              <w:rPr>
                <w:b w:val="0"/>
                <w:i w:val="0"/>
                <w:sz w:val="17"/>
              </w:rPr>
              <w:t>Spare parts, filters and batteries for installed equipment</w:t>
            </w:r>
          </w:p>
        </w:tc>
      </w:tr>
      <w:tr>
        <w:trPr>
          <w:cantSplit w:val="true"/>
        </w:trPr>
        <w:tc>
          <w:tcPr>
            <w:tcW w:type="dxa" w:w="850"/>
            <w:shd w:val="clear" w:color="auto" w:fill="F9FAFB"/>
          </w:tcPr>
          <w:p>
            <w:pPr>
              <w:spacing w:after="0"/>
            </w:pPr>
            <w:r/>
            <w:r>
              <w:rPr>
                <w:b w:val="0"/>
                <w:i w:val="0"/>
                <w:sz w:val="17"/>
              </w:rPr>
              <w:t>QRT</w:t>
            </w:r>
          </w:p>
        </w:tc>
        <w:tc>
          <w:tcPr>
            <w:tcW w:type="dxa" w:w="2494"/>
            <w:shd w:val="clear" w:color="auto" w:fill="F9FAFB"/>
          </w:tcPr>
          <w:p>
            <w:pPr>
              <w:spacing w:after="0"/>
            </w:pPr>
            <w:r/>
            <w:r>
              <w:rPr>
                <w:b w:val="0"/>
                <w:i w:val="0"/>
                <w:sz w:val="17"/>
              </w:rPr>
              <w:t>Quarantine &amp; Returns Warehouse</w:t>
            </w:r>
          </w:p>
        </w:tc>
        <w:tc>
          <w:tcPr>
            <w:tcW w:type="dxa" w:w="1928"/>
            <w:shd w:val="clear" w:color="auto" w:fill="F9FAFB"/>
          </w:tcPr>
          <w:p>
            <w:pPr>
              <w:spacing w:after="0"/>
              <w:bidi/>
              <w:jc w:val="right"/>
            </w:pPr>
            <w:r/>
            <w:r>
              <w:rPr>
                <w:b w:val="0"/>
                <w:i w:val="0"/>
                <w:sz w:val="17"/>
                <w:rtl/>
                <w:rFonts w:cs="Arial" w:ascii="Arial" w:hAnsi="Arial"/>
              </w:rPr>
              <w:t>مخزن الحجر الصحي والمرتجعات</w:t>
            </w:r>
          </w:p>
        </w:tc>
        <w:tc>
          <w:tcPr>
            <w:tcW w:type="dxa" w:w="1077"/>
            <w:shd w:val="clear" w:color="auto" w:fill="F9FAFB"/>
          </w:tcPr>
          <w:p>
            <w:pPr>
              <w:spacing w:after="0"/>
            </w:pPr>
            <w:r/>
            <w:r>
              <w:rPr>
                <w:b w:val="0"/>
                <w:i w:val="0"/>
                <w:sz w:val="17"/>
              </w:rPr>
              <w:t>BR-NSC</w:t>
            </w:r>
          </w:p>
        </w:tc>
        <w:tc>
          <w:tcPr>
            <w:tcW w:type="dxa" w:w="3288"/>
            <w:shd w:val="clear" w:color="auto" w:fill="F9FAFB"/>
          </w:tcPr>
          <w:p>
            <w:pPr>
              <w:spacing w:after="0"/>
            </w:pPr>
            <w:r/>
            <w:r>
              <w:rPr>
                <w:b w:val="0"/>
                <w:i w:val="0"/>
                <w:sz w:val="17"/>
              </w:rPr>
              <w:t>Isolation of failed-inspection, returned, damaged and near-expiry stock pending disposition</w:t>
            </w:r>
          </w:p>
        </w:tc>
      </w:tr>
    </w:tbl>
    <w:p>
      <w:pPr>
        <w:spacing w:after="40"/>
      </w:pPr>
    </w:p>
    <w:p>
      <w:r>
        <w:rPr>
          <w:b/>
          <w:i w:val="0"/>
        </w:rPr>
        <w:t>Distinguishing the concepts.</w:t>
      </w:r>
      <w:r>
        <w:rPr>
          <w:b w:val="0"/>
          <w:i w:val="0"/>
        </w:rPr>
        <w:t xml:space="preserve"> A </w:t>
      </w:r>
      <w:r>
        <w:rPr>
          <w:b w:val="0"/>
          <w:i/>
        </w:rPr>
        <w:t>branch</w:t>
      </w:r>
      <w:r>
        <w:rPr>
          <w:b w:val="0"/>
          <w:i w:val="0"/>
        </w:rPr>
        <w:t xml:space="preserve"> is a management and reporting unit; a </w:t>
      </w:r>
      <w:r>
        <w:rPr>
          <w:b w:val="0"/>
          <w:i/>
        </w:rPr>
        <w:t>warehouse</w:t>
      </w:r>
      <w:r>
        <w:rPr>
          <w:b w:val="0"/>
          <w:i w:val="0"/>
        </w:rPr>
        <w:t xml:space="preserve"> is a stock structure with its own locations and routes; a </w:t>
      </w:r>
      <w:r>
        <w:rPr>
          <w:b w:val="0"/>
          <w:i/>
        </w:rPr>
        <w:t>stock location</w:t>
      </w:r>
      <w:r>
        <w:rPr>
          <w:b w:val="0"/>
          <w:i w:val="0"/>
        </w:rPr>
        <w:t xml:space="preserve"> is a node inside a warehouse; the </w:t>
      </w:r>
      <w:r>
        <w:rPr>
          <w:b w:val="0"/>
          <w:i/>
        </w:rPr>
        <w:t>legal company</w:t>
      </w:r>
      <w:r>
        <w:rPr>
          <w:b w:val="0"/>
          <w:i w:val="0"/>
        </w:rPr>
        <w:t xml:space="preserve"> is the single entity that holds the chart of accounts, taxes and fiscal calendar. The Quarantine &amp; Returns warehouse is a shared central facility administered by the Nasr City branch.</w:t>
      </w:r>
    </w:p>
    <w:p>
      <w:pPr>
        <w:pStyle w:val="Heading1"/>
      </w:pPr>
      <w:r>
        <w:t>8. Product categories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4876"/>
        <w:gridCol w:w="1701"/>
        <w:gridCol w:w="1134"/>
      </w:tblGrid>
      <w:tr>
        <w:trPr>
          <w:tblHeader w:val="true"/>
        </w:trPr>
        <w:tc>
          <w:tcPr>
            <w:tcW w:type="dxa" w:w="1928"/>
            <w:shd w:val="clear" w:color="auto" w:fill="C8102E"/>
          </w:tcPr>
          <w:p>
            <w:r/>
            <w:r>
              <w:rPr>
                <w:b/>
                <w:color w:val="FFFFFF"/>
                <w:sz w:val="17"/>
              </w:rPr>
              <w:t>Category</w:t>
            </w:r>
          </w:p>
        </w:tc>
        <w:tc>
          <w:tcPr>
            <w:tcW w:type="dxa" w:w="4876"/>
            <w:shd w:val="clear" w:color="auto" w:fill="C8102E"/>
          </w:tcPr>
          <w:p>
            <w:r/>
            <w:r>
              <w:rPr>
                <w:b/>
                <w:color w:val="FFFFFF"/>
                <w:sz w:val="17"/>
              </w:rPr>
              <w:t>Examples (simulated catalogue)</w:t>
            </w:r>
          </w:p>
        </w:tc>
        <w:tc>
          <w:tcPr>
            <w:tcW w:type="dxa" w:w="1701"/>
            <w:shd w:val="clear" w:color="auto" w:fill="C8102E"/>
          </w:tcPr>
          <w:p>
            <w:r/>
            <w:r>
              <w:rPr>
                <w:b/>
                <w:color w:val="FFFFFF"/>
                <w:sz w:val="17"/>
              </w:rPr>
              <w:t>Tracking</w:t>
            </w:r>
          </w:p>
        </w:tc>
        <w:tc>
          <w:tcPr>
            <w:tcW w:type="dxa" w:w="1134"/>
            <w:shd w:val="clear" w:color="auto" w:fill="C8102E"/>
          </w:tcPr>
          <w:p>
            <w:r/>
            <w:r>
              <w:rPr>
                <w:b/>
                <w:color w:val="FFFFFF"/>
                <w:sz w:val="17"/>
              </w:rPr>
              <w:t>Home warehouse</w:t>
            </w:r>
          </w:p>
        </w:tc>
      </w:tr>
      <w:tr>
        <w:trPr>
          <w:cantSplit w:val="true"/>
        </w:trPr>
        <w:tc>
          <w:tcPr>
            <w:tcW w:type="dxa" w:w="1928"/>
          </w:tcPr>
          <w:p>
            <w:pPr>
              <w:spacing w:after="0"/>
            </w:pPr>
            <w:r/>
            <w:r>
              <w:rPr>
                <w:b w:val="0"/>
                <w:i w:val="0"/>
                <w:sz w:val="17"/>
              </w:rPr>
              <w:t>Medical equipment</w:t>
            </w:r>
          </w:p>
        </w:tc>
        <w:tc>
          <w:tcPr>
            <w:tcW w:type="dxa" w:w="4876"/>
          </w:tcPr>
          <w:p>
            <w:pPr>
              <w:spacing w:after="0"/>
            </w:pPr>
            <w:r/>
            <w:r>
              <w:rPr>
                <w:b w:val="0"/>
                <w:i w:val="0"/>
                <w:sz w:val="17"/>
              </w:rPr>
              <w:t>MRI 1.5T, ultrasound, patient monitor, infusion pump, ECG, defibrillator, hospital bed, oxygen concentrator, autoclave, surgical instrument set</w:t>
            </w:r>
          </w:p>
        </w:tc>
        <w:tc>
          <w:tcPr>
            <w:tcW w:type="dxa" w:w="1701"/>
          </w:tcPr>
          <w:p>
            <w:pPr>
              <w:spacing w:after="0"/>
            </w:pPr>
            <w:r/>
            <w:r>
              <w:rPr>
                <w:b w:val="0"/>
                <w:i w:val="0"/>
                <w:sz w:val="17"/>
              </w:rPr>
              <w:t>Serial number</w:t>
            </w:r>
          </w:p>
        </w:tc>
        <w:tc>
          <w:tcPr>
            <w:tcW w:type="dxa" w:w="1134"/>
          </w:tcPr>
          <w:p>
            <w:pPr>
              <w:spacing w:after="0"/>
            </w:pPr>
            <w:r/>
            <w:r>
              <w:rPr>
                <w:b w:val="0"/>
                <w:i w:val="0"/>
                <w:sz w:val="17"/>
              </w:rPr>
              <w:t>EQP</w:t>
            </w:r>
          </w:p>
        </w:tc>
      </w:tr>
      <w:tr>
        <w:trPr>
          <w:cantSplit w:val="true"/>
        </w:trPr>
        <w:tc>
          <w:tcPr>
            <w:tcW w:type="dxa" w:w="1928"/>
            <w:shd w:val="clear" w:color="auto" w:fill="F9FAFB"/>
          </w:tcPr>
          <w:p>
            <w:pPr>
              <w:spacing w:after="0"/>
            </w:pPr>
            <w:r/>
            <w:r>
              <w:rPr>
                <w:b w:val="0"/>
                <w:i w:val="0"/>
                <w:sz w:val="17"/>
              </w:rPr>
              <w:t>Medical consumables</w:t>
            </w:r>
          </w:p>
        </w:tc>
        <w:tc>
          <w:tcPr>
            <w:tcW w:type="dxa" w:w="4876"/>
            <w:shd w:val="clear" w:color="auto" w:fill="F9FAFB"/>
          </w:tcPr>
          <w:p>
            <w:pPr>
              <w:spacing w:after="0"/>
            </w:pPr>
            <w:r/>
            <w:r>
              <w:rPr>
                <w:b w:val="0"/>
                <w:i w:val="0"/>
                <w:sz w:val="17"/>
              </w:rPr>
              <w:t>Syringes, masks, nitrile gloves, IV cannulas, IV sets, gauze, sterile surgical kits, silicone tubing, ECG electrodes, defibrillator pads</w:t>
            </w:r>
          </w:p>
        </w:tc>
        <w:tc>
          <w:tcPr>
            <w:tcW w:type="dxa" w:w="1701"/>
            <w:shd w:val="clear" w:color="auto" w:fill="F9FAFB"/>
          </w:tcPr>
          <w:p>
            <w:pPr>
              <w:spacing w:after="0"/>
            </w:pPr>
            <w:r/>
            <w:r>
              <w:rPr>
                <w:b w:val="0"/>
                <w:i w:val="0"/>
                <w:sz w:val="17"/>
              </w:rPr>
              <w:t>Lot (+ expiry for sterile/perishable items)</w:t>
            </w:r>
          </w:p>
        </w:tc>
        <w:tc>
          <w:tcPr>
            <w:tcW w:type="dxa" w:w="1134"/>
            <w:shd w:val="clear" w:color="auto" w:fill="F9FAFB"/>
          </w:tcPr>
          <w:p>
            <w:pPr>
              <w:spacing w:after="0"/>
            </w:pPr>
            <w:r/>
            <w:r>
              <w:rPr>
                <w:b w:val="0"/>
                <w:i w:val="0"/>
                <w:sz w:val="17"/>
              </w:rPr>
              <w:t>CON</w:t>
            </w:r>
          </w:p>
        </w:tc>
      </w:tr>
      <w:tr>
        <w:trPr>
          <w:cantSplit w:val="true"/>
        </w:trPr>
        <w:tc>
          <w:tcPr>
            <w:tcW w:type="dxa" w:w="1928"/>
          </w:tcPr>
          <w:p>
            <w:pPr>
              <w:spacing w:after="0"/>
            </w:pPr>
            <w:r/>
            <w:r>
              <w:rPr>
                <w:b w:val="0"/>
                <w:i w:val="0"/>
                <w:sz w:val="17"/>
              </w:rPr>
              <w:t>Spare parts</w:t>
            </w:r>
          </w:p>
        </w:tc>
        <w:tc>
          <w:tcPr>
            <w:tcW w:type="dxa" w:w="4876"/>
          </w:tcPr>
          <w:p>
            <w:pPr>
              <w:spacing w:after="0"/>
            </w:pPr>
            <w:r/>
            <w:r>
              <w:rPr>
                <w:b w:val="0"/>
                <w:i w:val="0"/>
                <w:sz w:val="17"/>
              </w:rPr>
              <w:t>HEPA filters, SpO2 sensors, autoclave gaskets, monitor batteries</w:t>
            </w:r>
          </w:p>
        </w:tc>
        <w:tc>
          <w:tcPr>
            <w:tcW w:type="dxa" w:w="1701"/>
          </w:tcPr>
          <w:p>
            <w:pPr>
              <w:spacing w:after="0"/>
            </w:pPr>
            <w:r/>
            <w:r>
              <w:rPr>
                <w:b w:val="0"/>
                <w:i w:val="0"/>
                <w:sz w:val="17"/>
              </w:rPr>
              <w:t>None / lot (no expiry)</w:t>
            </w:r>
          </w:p>
        </w:tc>
        <w:tc>
          <w:tcPr>
            <w:tcW w:type="dxa" w:w="1134"/>
          </w:tcPr>
          <w:p>
            <w:pPr>
              <w:spacing w:after="0"/>
            </w:pPr>
            <w:r/>
            <w:r>
              <w:rPr>
                <w:b w:val="0"/>
                <w:i w:val="0"/>
                <w:sz w:val="17"/>
              </w:rPr>
              <w:t>SPR</w:t>
            </w:r>
          </w:p>
        </w:tc>
      </w:tr>
    </w:tbl>
    <w:p>
      <w:pPr>
        <w:spacing w:after="40"/>
      </w:pPr>
    </w:p>
    <w:p>
      <w:r>
        <w:rPr>
          <w:b w:val="0"/>
          <w:i w:val="0"/>
        </w:rPr>
        <w:t xml:space="preserve">The simulated catalogue contains </w:t>
      </w:r>
      <w:r>
        <w:rPr>
          <w:b/>
          <w:i w:val="0"/>
        </w:rPr>
        <w:t>24 products</w:t>
      </w:r>
      <w:r>
        <w:rPr>
          <w:b w:val="0"/>
          <w:i w:val="0"/>
        </w:rPr>
        <w:t xml:space="preserve"> (10 equipment, 10 consumables, 4 spare parts). The full list with Arabic names, costs, prices and barcodes is in Products_and_Inventory_Data.xlsx.</w:t>
      </w:r>
    </w:p>
    <w:p>
      <w:pPr>
        <w:pStyle w:val="Heading1"/>
      </w:pPr>
      <w:r>
        <w:t>9. Target customers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5443"/>
        <w:gridCol w:w="2268"/>
      </w:tblGrid>
      <w:tr>
        <w:trPr>
          <w:tblHeader w:val="true"/>
        </w:trPr>
        <w:tc>
          <w:tcPr>
            <w:tcW w:type="dxa" w:w="1928"/>
            <w:shd w:val="clear" w:color="auto" w:fill="C8102E"/>
          </w:tcPr>
          <w:p>
            <w:r/>
            <w:r>
              <w:rPr>
                <w:b/>
                <w:color w:val="FFFFFF"/>
                <w:sz w:val="17"/>
              </w:rPr>
              <w:t>Segment</w:t>
            </w:r>
          </w:p>
        </w:tc>
        <w:tc>
          <w:tcPr>
            <w:tcW w:type="dxa" w:w="5443"/>
            <w:shd w:val="clear" w:color="auto" w:fill="C8102E"/>
          </w:tcPr>
          <w:p>
            <w:r/>
            <w:r>
              <w:rPr>
                <w:b/>
                <w:color w:val="FFFFFF"/>
                <w:sz w:val="17"/>
              </w:rPr>
              <w:t>Examples (illustrative)</w:t>
            </w:r>
          </w:p>
        </w:tc>
        <w:tc>
          <w:tcPr>
            <w:tcW w:type="dxa" w:w="2268"/>
            <w:shd w:val="clear" w:color="auto" w:fill="C8102E"/>
          </w:tcPr>
          <w:p>
            <w:r/>
            <w:r>
              <w:rPr>
                <w:b/>
                <w:color w:val="FFFFFF"/>
                <w:sz w:val="17"/>
              </w:rPr>
              <w:t>Typical terms</w:t>
            </w:r>
          </w:p>
        </w:tc>
      </w:tr>
      <w:tr>
        <w:trPr>
          <w:cantSplit w:val="true"/>
        </w:trPr>
        <w:tc>
          <w:tcPr>
            <w:tcW w:type="dxa" w:w="1928"/>
          </w:tcPr>
          <w:p>
            <w:pPr>
              <w:spacing w:after="0"/>
            </w:pPr>
            <w:r/>
            <w:r>
              <w:rPr>
                <w:b w:val="0"/>
                <w:i w:val="0"/>
                <w:sz w:val="17"/>
              </w:rPr>
              <w:t>Hospitals</w:t>
            </w:r>
          </w:p>
        </w:tc>
        <w:tc>
          <w:tcPr>
            <w:tcW w:type="dxa" w:w="5443"/>
          </w:tcPr>
          <w:p>
            <w:pPr>
              <w:spacing w:after="0"/>
            </w:pPr>
            <w:r/>
            <w:r>
              <w:rPr>
                <w:b w:val="0"/>
                <w:i w:val="0"/>
                <w:sz w:val="17"/>
              </w:rPr>
              <w:t>Al Salam Teaching Hospital, Nile Valley Medical Center, Delta Care Hospital, Alexandria Coastal Hospital, Upper Egypt Medical Complex, Maadi Pediatric Hospital, Red Sea Emergency Hospital</w:t>
            </w:r>
          </w:p>
        </w:tc>
        <w:tc>
          <w:tcPr>
            <w:tcW w:type="dxa" w:w="2268"/>
          </w:tcPr>
          <w:p>
            <w:pPr>
              <w:spacing w:after="0"/>
            </w:pPr>
            <w:r/>
            <w:r>
              <w:rPr>
                <w:b w:val="0"/>
                <w:i w:val="0"/>
                <w:sz w:val="17"/>
              </w:rPr>
              <w:t>30-60 days, contract discounts 2-5%</w:t>
            </w:r>
          </w:p>
        </w:tc>
      </w:tr>
      <w:tr>
        <w:trPr>
          <w:cantSplit w:val="true"/>
        </w:trPr>
        <w:tc>
          <w:tcPr>
            <w:tcW w:type="dxa" w:w="1928"/>
            <w:shd w:val="clear" w:color="auto" w:fill="F9FAFB"/>
          </w:tcPr>
          <w:p>
            <w:pPr>
              <w:spacing w:after="0"/>
            </w:pPr>
            <w:r/>
            <w:r>
              <w:rPr>
                <w:b w:val="0"/>
                <w:i w:val="0"/>
                <w:sz w:val="17"/>
              </w:rPr>
              <w:t>Clinics</w:t>
            </w:r>
          </w:p>
        </w:tc>
        <w:tc>
          <w:tcPr>
            <w:tcW w:type="dxa" w:w="5443"/>
            <w:shd w:val="clear" w:color="auto" w:fill="F9FAFB"/>
          </w:tcPr>
          <w:p>
            <w:pPr>
              <w:spacing w:after="0"/>
            </w:pPr>
            <w:r/>
            <w:r>
              <w:rPr>
                <w:b w:val="0"/>
                <w:i w:val="0"/>
                <w:sz w:val="17"/>
              </w:rPr>
              <w:t>Nasr City Family Clinics, New Cairo Women's Health Clinic</w:t>
            </w:r>
          </w:p>
        </w:tc>
        <w:tc>
          <w:tcPr>
            <w:tcW w:type="dxa" w:w="2268"/>
            <w:shd w:val="clear" w:color="auto" w:fill="F9FAFB"/>
          </w:tcPr>
          <w:p>
            <w:pPr>
              <w:spacing w:after="0"/>
            </w:pPr>
            <w:r/>
            <w:r>
              <w:rPr>
                <w:b w:val="0"/>
                <w:i w:val="0"/>
                <w:sz w:val="17"/>
              </w:rPr>
              <w:t>15 days</w:t>
            </w:r>
          </w:p>
        </w:tc>
      </w:tr>
      <w:tr>
        <w:trPr>
          <w:cantSplit w:val="true"/>
        </w:trPr>
        <w:tc>
          <w:tcPr>
            <w:tcW w:type="dxa" w:w="1928"/>
          </w:tcPr>
          <w:p>
            <w:pPr>
              <w:spacing w:after="0"/>
            </w:pPr>
            <w:r/>
            <w:r>
              <w:rPr>
                <w:b w:val="0"/>
                <w:i w:val="0"/>
                <w:sz w:val="17"/>
              </w:rPr>
              <w:t>Laboratories and imaging</w:t>
            </w:r>
          </w:p>
        </w:tc>
        <w:tc>
          <w:tcPr>
            <w:tcW w:type="dxa" w:w="5443"/>
          </w:tcPr>
          <w:p>
            <w:pPr>
              <w:spacing w:after="0"/>
            </w:pPr>
            <w:r/>
            <w:r>
              <w:rPr>
                <w:b w:val="0"/>
                <w:i w:val="0"/>
                <w:sz w:val="17"/>
              </w:rPr>
              <w:t>Heliopolis Diagnostic Laboratories, Giza Advanced Imaging Center</w:t>
            </w:r>
          </w:p>
        </w:tc>
        <w:tc>
          <w:tcPr>
            <w:tcW w:type="dxa" w:w="2268"/>
          </w:tcPr>
          <w:p>
            <w:pPr>
              <w:spacing w:after="0"/>
            </w:pPr>
            <w:r/>
            <w:r>
              <w:rPr>
                <w:b w:val="0"/>
                <w:i w:val="0"/>
                <w:sz w:val="17"/>
              </w:rPr>
              <w:t>30-60 days</w:t>
            </w:r>
          </w:p>
        </w:tc>
      </w:tr>
      <w:tr>
        <w:trPr>
          <w:cantSplit w:val="true"/>
        </w:trPr>
        <w:tc>
          <w:tcPr>
            <w:tcW w:type="dxa" w:w="1928"/>
            <w:shd w:val="clear" w:color="auto" w:fill="F9FAFB"/>
          </w:tcPr>
          <w:p>
            <w:pPr>
              <w:spacing w:after="0"/>
            </w:pPr>
            <w:r/>
            <w:r>
              <w:rPr>
                <w:b w:val="0"/>
                <w:i w:val="0"/>
                <w:sz w:val="17"/>
              </w:rPr>
              <w:t>Healthcare providers</w:t>
            </w:r>
          </w:p>
        </w:tc>
        <w:tc>
          <w:tcPr>
            <w:tcW w:type="dxa" w:w="5443"/>
            <w:shd w:val="clear" w:color="auto" w:fill="F9FAFB"/>
          </w:tcPr>
          <w:p>
            <w:pPr>
              <w:spacing w:after="0"/>
            </w:pPr>
            <w:r/>
            <w:r>
              <w:rPr>
                <w:b w:val="0"/>
                <w:i w:val="0"/>
                <w:sz w:val="17"/>
              </w:rPr>
              <w:t>Zagazig Dialysis Center</w:t>
            </w:r>
          </w:p>
        </w:tc>
        <w:tc>
          <w:tcPr>
            <w:tcW w:type="dxa" w:w="2268"/>
            <w:shd w:val="clear" w:color="auto" w:fill="F9FAFB"/>
          </w:tcPr>
          <w:p>
            <w:pPr>
              <w:spacing w:after="0"/>
            </w:pPr>
            <w:r/>
            <w:r>
              <w:rPr>
                <w:b w:val="0"/>
                <w:i w:val="0"/>
                <w:sz w:val="17"/>
              </w:rPr>
              <w:t>30 days</w:t>
            </w:r>
          </w:p>
        </w:tc>
      </w:tr>
      <w:tr>
        <w:trPr>
          <w:cantSplit w:val="true"/>
        </w:trPr>
        <w:tc>
          <w:tcPr>
            <w:tcW w:type="dxa" w:w="1928"/>
          </w:tcPr>
          <w:p>
            <w:pPr>
              <w:spacing w:after="0"/>
            </w:pPr>
            <w:r/>
            <w:r>
              <w:rPr>
                <w:b w:val="0"/>
                <w:i w:val="0"/>
                <w:sz w:val="17"/>
              </w:rPr>
              <w:t>Retail / individuals</w:t>
            </w:r>
          </w:p>
        </w:tc>
        <w:tc>
          <w:tcPr>
            <w:tcW w:type="dxa" w:w="5443"/>
          </w:tcPr>
          <w:p>
            <w:pPr>
              <w:spacing w:after="0"/>
            </w:pPr>
            <w:r/>
            <w:r>
              <w:rPr>
                <w:b w:val="0"/>
                <w:i w:val="0"/>
                <w:sz w:val="17"/>
              </w:rPr>
              <w:t>Walk-in customers at the Maadi counter</w:t>
            </w:r>
          </w:p>
        </w:tc>
        <w:tc>
          <w:tcPr>
            <w:tcW w:type="dxa" w:w="2268"/>
          </w:tcPr>
          <w:p>
            <w:pPr>
              <w:spacing w:after="0"/>
            </w:pPr>
            <w:r/>
            <w:r>
              <w:rPr>
                <w:b w:val="0"/>
                <w:i w:val="0"/>
                <w:sz w:val="17"/>
              </w:rPr>
              <w:t>Cash</w:t>
            </w:r>
          </w:p>
        </w:tc>
      </w:tr>
    </w:tbl>
    <w:p>
      <w:pPr>
        <w:spacing w:after="40"/>
      </w:pPr>
    </w:p>
    <w:p>
      <w:r>
        <w:rPr>
          <w:b w:val="0"/>
          <w:i/>
          <w:sz w:val="18"/>
        </w:rPr>
        <w:t>All customer names are fictional or clearly illustrative and are not claimed to be real institutions.</w:t>
      </w:r>
    </w:p>
    <w:p>
      <w:pPr>
        <w:pStyle w:val="Heading1"/>
      </w:pPr>
      <w:r>
        <w:t>10. Supplier relationships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969"/>
        <w:gridCol w:w="2268"/>
        <w:gridCol w:w="1020"/>
        <w:gridCol w:w="2381"/>
      </w:tblGrid>
      <w:tr>
        <w:trPr>
          <w:tblHeader w:val="true"/>
        </w:trPr>
        <w:tc>
          <w:tcPr>
            <w:tcW w:type="dxa" w:w="3969"/>
            <w:shd w:val="clear" w:color="auto" w:fill="C8102E"/>
          </w:tcPr>
          <w:p>
            <w:r/>
            <w:r>
              <w:rPr>
                <w:b/>
                <w:color w:val="FFFFFF"/>
                <w:sz w:val="17"/>
              </w:rPr>
              <w:t>Vendor</w:t>
            </w:r>
          </w:p>
        </w:tc>
        <w:tc>
          <w:tcPr>
            <w:tcW w:type="dxa" w:w="2268"/>
            <w:shd w:val="clear" w:color="auto" w:fill="C8102E"/>
          </w:tcPr>
          <w:p>
            <w:r/>
            <w:r>
              <w:rPr>
                <w:b/>
                <w:color w:val="FFFFFF"/>
                <w:sz w:val="17"/>
              </w:rPr>
              <w:t>Type</w:t>
            </w:r>
          </w:p>
        </w:tc>
        <w:tc>
          <w:tcPr>
            <w:tcW w:type="dxa" w:w="1020"/>
            <w:shd w:val="clear" w:color="auto" w:fill="C8102E"/>
          </w:tcPr>
          <w:p>
            <w:r/>
            <w:r>
              <w:rPr>
                <w:b/>
                <w:color w:val="FFFFFF"/>
                <w:sz w:val="17"/>
              </w:rPr>
              <w:t>Terms</w:t>
            </w:r>
          </w:p>
        </w:tc>
        <w:tc>
          <w:tcPr>
            <w:tcW w:type="dxa" w:w="2381"/>
            <w:shd w:val="clear" w:color="auto" w:fill="C8102E"/>
          </w:tcPr>
          <w:p>
            <w:r/>
            <w:r>
              <w:rPr>
                <w:b/>
                <w:color w:val="FFFFFF"/>
                <w:sz w:val="17"/>
              </w:rPr>
              <w:t>Main products</w:t>
            </w:r>
          </w:p>
        </w:tc>
      </w:tr>
      <w:tr>
        <w:trPr>
          <w:cantSplit w:val="true"/>
        </w:trPr>
        <w:tc>
          <w:tcPr>
            <w:tcW w:type="dxa" w:w="3969"/>
          </w:tcPr>
          <w:p>
            <w:pPr>
              <w:spacing w:after="0"/>
            </w:pPr>
            <w:r/>
            <w:r>
              <w:rPr>
                <w:b w:val="0"/>
                <w:i w:val="0"/>
                <w:sz w:val="17"/>
              </w:rPr>
              <w:t xml:space="preserve">Helios Medical Systems GmbH / </w:t>
            </w:r>
            <w:r>
              <w:rPr>
                <w:b w:val="0"/>
                <w:i w:val="0"/>
                <w:sz w:val="17"/>
                <w:rtl/>
                <w:rFonts w:cs="Arial" w:ascii="Arial" w:hAnsi="Arial"/>
              </w:rPr>
              <w:t>هيليوس ميديكال سيستمز</w:t>
            </w:r>
          </w:p>
        </w:tc>
        <w:tc>
          <w:tcPr>
            <w:tcW w:type="dxa" w:w="2268"/>
          </w:tcPr>
          <w:p>
            <w:pPr>
              <w:spacing w:after="0"/>
            </w:pPr>
            <w:r/>
            <w:r>
              <w:rPr>
                <w:b w:val="0"/>
                <w:i w:val="0"/>
                <w:sz w:val="17"/>
              </w:rPr>
              <w:t>Manufacturer (illustrative)</w:t>
            </w:r>
          </w:p>
        </w:tc>
        <w:tc>
          <w:tcPr>
            <w:tcW w:type="dxa" w:w="1020"/>
          </w:tcPr>
          <w:p>
            <w:pPr>
              <w:spacing w:after="0"/>
            </w:pPr>
            <w:r/>
            <w:r>
              <w:rPr>
                <w:b w:val="0"/>
                <w:i w:val="0"/>
                <w:sz w:val="17"/>
              </w:rPr>
              <w:t>60 days</w:t>
            </w:r>
          </w:p>
        </w:tc>
        <w:tc>
          <w:tcPr>
            <w:tcW w:type="dxa" w:w="2381"/>
          </w:tcPr>
          <w:p>
            <w:pPr>
              <w:spacing w:after="0"/>
            </w:pPr>
            <w:r/>
            <w:r>
              <w:rPr>
                <w:b w:val="0"/>
                <w:i w:val="0"/>
                <w:sz w:val="17"/>
              </w:rPr>
              <w:t>DEF, ECG, INF, MON, PAD</w:t>
            </w:r>
          </w:p>
        </w:tc>
      </w:tr>
      <w:tr>
        <w:trPr>
          <w:cantSplit w:val="true"/>
        </w:trPr>
        <w:tc>
          <w:tcPr>
            <w:tcW w:type="dxa" w:w="3969"/>
            <w:shd w:val="clear" w:color="auto" w:fill="F9FAFB"/>
          </w:tcPr>
          <w:p>
            <w:pPr>
              <w:spacing w:after="0"/>
            </w:pPr>
            <w:r/>
            <w:r>
              <w:rPr>
                <w:b w:val="0"/>
                <w:i w:val="0"/>
                <w:sz w:val="17"/>
              </w:rPr>
              <w:t xml:space="preserve">Orient Imaging Technologies Co. / </w:t>
            </w:r>
            <w:r>
              <w:rPr>
                <w:b w:val="0"/>
                <w:i w:val="0"/>
                <w:sz w:val="17"/>
                <w:rtl/>
                <w:rFonts w:cs="Arial" w:ascii="Arial" w:hAnsi="Arial"/>
              </w:rPr>
              <w:t>أورينت لتقنيات التصوير</w:t>
            </w:r>
          </w:p>
        </w:tc>
        <w:tc>
          <w:tcPr>
            <w:tcW w:type="dxa" w:w="2268"/>
            <w:shd w:val="clear" w:color="auto" w:fill="F9FAFB"/>
          </w:tcPr>
          <w:p>
            <w:pPr>
              <w:spacing w:after="0"/>
            </w:pPr>
            <w:r/>
            <w:r>
              <w:rPr>
                <w:b w:val="0"/>
                <w:i w:val="0"/>
                <w:sz w:val="17"/>
              </w:rPr>
              <w:t>Manufacturer (illustrative)</w:t>
            </w:r>
          </w:p>
        </w:tc>
        <w:tc>
          <w:tcPr>
            <w:tcW w:type="dxa" w:w="1020"/>
            <w:shd w:val="clear" w:color="auto" w:fill="F9FAFB"/>
          </w:tcPr>
          <w:p>
            <w:pPr>
              <w:spacing w:after="0"/>
            </w:pPr>
            <w:r/>
            <w:r>
              <w:rPr>
                <w:b w:val="0"/>
                <w:i w:val="0"/>
                <w:sz w:val="17"/>
              </w:rPr>
              <w:t>60 days</w:t>
            </w:r>
          </w:p>
        </w:tc>
        <w:tc>
          <w:tcPr>
            <w:tcW w:type="dxa" w:w="2381"/>
            <w:shd w:val="clear" w:color="auto" w:fill="F9FAFB"/>
          </w:tcPr>
          <w:p>
            <w:pPr>
              <w:spacing w:after="0"/>
            </w:pPr>
            <w:r/>
            <w:r>
              <w:rPr>
                <w:b w:val="0"/>
                <w:i w:val="0"/>
                <w:sz w:val="17"/>
              </w:rPr>
              <w:t>MRI, USG</w:t>
            </w:r>
          </w:p>
        </w:tc>
      </w:tr>
      <w:tr>
        <w:trPr>
          <w:cantSplit w:val="true"/>
        </w:trPr>
        <w:tc>
          <w:tcPr>
            <w:tcW w:type="dxa" w:w="3969"/>
          </w:tcPr>
          <w:p>
            <w:pPr>
              <w:spacing w:after="0"/>
            </w:pPr>
            <w:r/>
            <w:r>
              <w:rPr>
                <w:b w:val="0"/>
                <w:i w:val="0"/>
                <w:sz w:val="17"/>
              </w:rPr>
              <w:t xml:space="preserve">MediPlast Industries Egypt / </w:t>
            </w:r>
            <w:r>
              <w:rPr>
                <w:b w:val="0"/>
                <w:i w:val="0"/>
                <w:sz w:val="17"/>
                <w:rtl/>
                <w:rFonts w:cs="Arial" w:ascii="Arial" w:hAnsi="Arial"/>
              </w:rPr>
              <w:t>ميدي بلاست الصناعية مصر</w:t>
            </w:r>
          </w:p>
        </w:tc>
        <w:tc>
          <w:tcPr>
            <w:tcW w:type="dxa" w:w="2268"/>
          </w:tcPr>
          <w:p>
            <w:pPr>
              <w:spacing w:after="0"/>
            </w:pPr>
            <w:r/>
            <w:r>
              <w:rPr>
                <w:b w:val="0"/>
                <w:i w:val="0"/>
                <w:sz w:val="17"/>
              </w:rPr>
              <w:t>Local Manufacturer (illustrative)</w:t>
            </w:r>
          </w:p>
        </w:tc>
        <w:tc>
          <w:tcPr>
            <w:tcW w:type="dxa" w:w="1020"/>
          </w:tcPr>
          <w:p>
            <w:pPr>
              <w:spacing w:after="0"/>
            </w:pPr>
            <w:r/>
            <w:r>
              <w:rPr>
                <w:b w:val="0"/>
                <w:i w:val="0"/>
                <w:sz w:val="17"/>
              </w:rPr>
              <w:t>30 days</w:t>
            </w:r>
          </w:p>
        </w:tc>
        <w:tc>
          <w:tcPr>
            <w:tcW w:type="dxa" w:w="2381"/>
          </w:tcPr>
          <w:p>
            <w:pPr>
              <w:spacing w:after="0"/>
            </w:pPr>
            <w:r/>
            <w:r>
              <w:rPr>
                <w:b w:val="0"/>
                <w:i w:val="0"/>
                <w:sz w:val="17"/>
              </w:rPr>
              <w:t>BED, GAU, IVS, MSK, SYR</w:t>
            </w:r>
          </w:p>
        </w:tc>
      </w:tr>
      <w:tr>
        <w:trPr>
          <w:cantSplit w:val="true"/>
        </w:trPr>
        <w:tc>
          <w:tcPr>
            <w:tcW w:type="dxa" w:w="3969"/>
            <w:shd w:val="clear" w:color="auto" w:fill="F9FAFB"/>
          </w:tcPr>
          <w:p>
            <w:pPr>
              <w:spacing w:after="0"/>
            </w:pPr>
            <w:r/>
            <w:r>
              <w:rPr>
                <w:b w:val="0"/>
                <w:i w:val="0"/>
                <w:sz w:val="17"/>
              </w:rPr>
              <w:t xml:space="preserve">Pharos Surgical Supplies / </w:t>
            </w:r>
            <w:r>
              <w:rPr>
                <w:b w:val="0"/>
                <w:i w:val="0"/>
                <w:sz w:val="17"/>
                <w:rtl/>
                <w:rFonts w:cs="Arial" w:ascii="Arial" w:hAnsi="Arial"/>
              </w:rPr>
              <w:t>فاروس للمستلزمات الجراحية</w:t>
            </w:r>
          </w:p>
        </w:tc>
        <w:tc>
          <w:tcPr>
            <w:tcW w:type="dxa" w:w="2268"/>
            <w:shd w:val="clear" w:color="auto" w:fill="F9FAFB"/>
          </w:tcPr>
          <w:p>
            <w:pPr>
              <w:spacing w:after="0"/>
            </w:pPr>
            <w:r/>
            <w:r>
              <w:rPr>
                <w:b w:val="0"/>
                <w:i w:val="0"/>
                <w:sz w:val="17"/>
              </w:rPr>
              <w:t>Local Distributor (illustrative)</w:t>
            </w:r>
          </w:p>
        </w:tc>
        <w:tc>
          <w:tcPr>
            <w:tcW w:type="dxa" w:w="1020"/>
            <w:shd w:val="clear" w:color="auto" w:fill="F9FAFB"/>
          </w:tcPr>
          <w:p>
            <w:pPr>
              <w:spacing w:after="0"/>
            </w:pPr>
            <w:r/>
            <w:r>
              <w:rPr>
                <w:b w:val="0"/>
                <w:i w:val="0"/>
                <w:sz w:val="17"/>
              </w:rPr>
              <w:t>30 days</w:t>
            </w:r>
          </w:p>
        </w:tc>
        <w:tc>
          <w:tcPr>
            <w:tcW w:type="dxa" w:w="2381"/>
            <w:shd w:val="clear" w:color="auto" w:fill="F9FAFB"/>
          </w:tcPr>
          <w:p>
            <w:pPr>
              <w:spacing w:after="0"/>
            </w:pPr>
            <w:r/>
            <w:r>
              <w:rPr>
                <w:b w:val="0"/>
                <w:i w:val="0"/>
                <w:sz w:val="17"/>
              </w:rPr>
              <w:t>CAN, ECE, GLV, KIT, SUR</w:t>
            </w:r>
          </w:p>
        </w:tc>
      </w:tr>
      <w:tr>
        <w:trPr>
          <w:cantSplit w:val="true"/>
        </w:trPr>
        <w:tc>
          <w:tcPr>
            <w:tcW w:type="dxa" w:w="3969"/>
          </w:tcPr>
          <w:p>
            <w:pPr>
              <w:spacing w:after="0"/>
            </w:pPr>
            <w:r/>
            <w:r>
              <w:rPr>
                <w:b w:val="0"/>
                <w:i w:val="0"/>
                <w:sz w:val="17"/>
              </w:rPr>
              <w:t xml:space="preserve">Anatolia Biomed Distribution / </w:t>
            </w:r>
            <w:r>
              <w:rPr>
                <w:b w:val="0"/>
                <w:i w:val="0"/>
                <w:sz w:val="17"/>
                <w:rtl/>
                <w:rFonts w:cs="Arial" w:ascii="Arial" w:hAnsi="Arial"/>
              </w:rPr>
              <w:t>أناضول للتوزيع الطبي</w:t>
            </w:r>
          </w:p>
        </w:tc>
        <w:tc>
          <w:tcPr>
            <w:tcW w:type="dxa" w:w="2268"/>
          </w:tcPr>
          <w:p>
            <w:pPr>
              <w:spacing w:after="0"/>
            </w:pPr>
            <w:r/>
            <w:r>
              <w:rPr>
                <w:b w:val="0"/>
                <w:i w:val="0"/>
                <w:sz w:val="17"/>
              </w:rPr>
              <w:t>International Distributor (illustrative)</w:t>
            </w:r>
          </w:p>
        </w:tc>
        <w:tc>
          <w:tcPr>
            <w:tcW w:type="dxa" w:w="1020"/>
          </w:tcPr>
          <w:p>
            <w:pPr>
              <w:spacing w:after="0"/>
            </w:pPr>
            <w:r/>
            <w:r>
              <w:rPr>
                <w:b w:val="0"/>
                <w:i w:val="0"/>
                <w:sz w:val="17"/>
              </w:rPr>
              <w:t>45 days</w:t>
            </w:r>
          </w:p>
        </w:tc>
        <w:tc>
          <w:tcPr>
            <w:tcW w:type="dxa" w:w="2381"/>
          </w:tcPr>
          <w:p>
            <w:pPr>
              <w:spacing w:after="0"/>
            </w:pPr>
            <w:r/>
            <w:r>
              <w:rPr>
                <w:b w:val="0"/>
                <w:i w:val="0"/>
                <w:sz w:val="17"/>
              </w:rPr>
              <w:t>AUT, OXY, TUB</w:t>
            </w:r>
          </w:p>
        </w:tc>
      </w:tr>
      <w:tr>
        <w:trPr>
          <w:cantSplit w:val="true"/>
        </w:trPr>
        <w:tc>
          <w:tcPr>
            <w:tcW w:type="dxa" w:w="3969"/>
            <w:shd w:val="clear" w:color="auto" w:fill="F9FAFB"/>
          </w:tcPr>
          <w:p>
            <w:pPr>
              <w:spacing w:after="0"/>
            </w:pPr>
            <w:r/>
            <w:r>
              <w:rPr>
                <w:b w:val="0"/>
                <w:i w:val="0"/>
                <w:sz w:val="17"/>
              </w:rPr>
              <w:t xml:space="preserve">CareTech Spare Parts Trading / </w:t>
            </w:r>
            <w:r>
              <w:rPr>
                <w:b w:val="0"/>
                <w:i w:val="0"/>
                <w:sz w:val="17"/>
                <w:rtl/>
                <w:rFonts w:cs="Arial" w:ascii="Arial" w:hAnsi="Arial"/>
              </w:rPr>
              <w:t>كير تك لتجارة قطع الغيار</w:t>
            </w:r>
          </w:p>
        </w:tc>
        <w:tc>
          <w:tcPr>
            <w:tcW w:type="dxa" w:w="2268"/>
            <w:shd w:val="clear" w:color="auto" w:fill="F9FAFB"/>
          </w:tcPr>
          <w:p>
            <w:pPr>
              <w:spacing w:after="0"/>
            </w:pPr>
            <w:r/>
            <w:r>
              <w:rPr>
                <w:b w:val="0"/>
                <w:i w:val="0"/>
                <w:sz w:val="17"/>
              </w:rPr>
              <w:t>Local Distributor (illustrative)</w:t>
            </w:r>
          </w:p>
        </w:tc>
        <w:tc>
          <w:tcPr>
            <w:tcW w:type="dxa" w:w="1020"/>
            <w:shd w:val="clear" w:color="auto" w:fill="F9FAFB"/>
          </w:tcPr>
          <w:p>
            <w:pPr>
              <w:spacing w:after="0"/>
            </w:pPr>
            <w:r/>
            <w:r>
              <w:rPr>
                <w:b w:val="0"/>
                <w:i w:val="0"/>
                <w:sz w:val="17"/>
              </w:rPr>
              <w:t>30 days</w:t>
            </w:r>
          </w:p>
        </w:tc>
        <w:tc>
          <w:tcPr>
            <w:tcW w:type="dxa" w:w="2381"/>
            <w:shd w:val="clear" w:color="auto" w:fill="F9FAFB"/>
          </w:tcPr>
          <w:p>
            <w:pPr>
              <w:spacing w:after="0"/>
            </w:pPr>
            <w:r/>
            <w:r>
              <w:rPr>
                <w:b w:val="0"/>
                <w:i w:val="0"/>
                <w:sz w:val="17"/>
              </w:rPr>
              <w:t>BAT, FIL, GSK, SPO</w:t>
            </w:r>
          </w:p>
        </w:tc>
      </w:tr>
    </w:tbl>
    <w:p>
      <w:pPr>
        <w:spacing w:after="40"/>
      </w:pPr>
    </w:p>
    <w:p>
      <w:r>
        <w:rPr>
          <w:b w:val="0"/>
          <w:i/>
          <w:sz w:val="18"/>
        </w:rPr>
        <w:t>Vendors are illustrative manufacturers and distributors (international and local). No claim is made that any is a verified authorized distributor; authorization status is a field on the vendor record to be verified before go-live.</w:t>
      </w:r>
    </w:p>
    <w:p>
      <w:pPr>
        <w:pStyle w:val="Heading1"/>
      </w:pPr>
      <w:r>
        <w:t>11. Operational scale (five-month simulation)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5102"/>
        <w:gridCol w:w="4535"/>
      </w:tblGrid>
      <w:tr>
        <w:trPr>
          <w:tblHeader w:val="true"/>
        </w:trPr>
        <w:tc>
          <w:tcPr>
            <w:tcW w:type="dxa" w:w="5102"/>
            <w:shd w:val="clear" w:color="auto" w:fill="C8102E"/>
          </w:tcPr>
          <w:p>
            <w:r/>
            <w:r>
              <w:rPr>
                <w:b/>
                <w:color w:val="FFFFFF"/>
                <w:sz w:val="17"/>
              </w:rPr>
              <w:t>Indicator</w:t>
            </w:r>
          </w:p>
        </w:tc>
        <w:tc>
          <w:tcPr>
            <w:tcW w:type="dxa" w:w="4535"/>
            <w:shd w:val="clear" w:color="auto" w:fill="C8102E"/>
          </w:tcPr>
          <w:p>
            <w:r/>
            <w:r>
              <w:rPr>
                <w:b/>
                <w:color w:val="FFFFFF"/>
                <w:sz w:val="17"/>
              </w:rPr>
              <w:t>Value</w:t>
            </w:r>
          </w:p>
        </w:tc>
      </w:tr>
      <w:tr>
        <w:trPr>
          <w:cantSplit w:val="true"/>
        </w:trPr>
        <w:tc>
          <w:tcPr>
            <w:tcW w:type="dxa" w:w="5102"/>
          </w:tcPr>
          <w:p>
            <w:pPr>
              <w:spacing w:after="0"/>
            </w:pPr>
            <w:r/>
            <w:r>
              <w:rPr>
                <w:b w:val="0"/>
                <w:i w:val="0"/>
                <w:sz w:val="17"/>
              </w:rPr>
              <w:t>Reporting period</w:t>
            </w:r>
          </w:p>
        </w:tc>
        <w:tc>
          <w:tcPr>
            <w:tcW w:type="dxa" w:w="4535"/>
          </w:tcPr>
          <w:p>
            <w:pPr>
              <w:spacing w:after="0"/>
            </w:pPr>
            <w:r/>
            <w:r>
              <w:rPr>
                <w:b w:val="0"/>
                <w:i w:val="0"/>
                <w:sz w:val="17"/>
              </w:rPr>
              <w:t>1 May 2026 – 30 September 2026</w:t>
            </w:r>
          </w:p>
        </w:tc>
      </w:tr>
      <w:tr>
        <w:trPr>
          <w:cantSplit w:val="true"/>
        </w:trPr>
        <w:tc>
          <w:tcPr>
            <w:tcW w:type="dxa" w:w="5102"/>
            <w:shd w:val="clear" w:color="auto" w:fill="F9FAFB"/>
          </w:tcPr>
          <w:p>
            <w:pPr>
              <w:spacing w:after="0"/>
            </w:pPr>
            <w:r/>
            <w:r>
              <w:rPr>
                <w:b w:val="0"/>
                <w:i w:val="0"/>
                <w:sz w:val="17"/>
              </w:rPr>
              <w:t>Sales orders / delivery orders</w:t>
            </w:r>
          </w:p>
        </w:tc>
        <w:tc>
          <w:tcPr>
            <w:tcW w:type="dxa" w:w="4535"/>
            <w:shd w:val="clear" w:color="auto" w:fill="F9FAFB"/>
          </w:tcPr>
          <w:p>
            <w:pPr>
              <w:spacing w:after="0"/>
            </w:pPr>
            <w:r/>
            <w:r>
              <w:rPr>
                <w:b w:val="0"/>
                <w:i w:val="0"/>
                <w:sz w:val="17"/>
              </w:rPr>
              <w:t>87 / 139</w:t>
            </w:r>
          </w:p>
        </w:tc>
      </w:tr>
      <w:tr>
        <w:trPr>
          <w:cantSplit w:val="true"/>
        </w:trPr>
        <w:tc>
          <w:tcPr>
            <w:tcW w:type="dxa" w:w="5102"/>
          </w:tcPr>
          <w:p>
            <w:pPr>
              <w:spacing w:after="0"/>
            </w:pPr>
            <w:r/>
            <w:r>
              <w:rPr>
                <w:b w:val="0"/>
                <w:i w:val="0"/>
                <w:sz w:val="17"/>
              </w:rPr>
              <w:t>Customer invoices (posted in period) / credit notes</w:t>
            </w:r>
          </w:p>
        </w:tc>
        <w:tc>
          <w:tcPr>
            <w:tcW w:type="dxa" w:w="4535"/>
          </w:tcPr>
          <w:p>
            <w:pPr>
              <w:spacing w:after="0"/>
            </w:pPr>
            <w:r/>
            <w:r>
              <w:rPr>
                <w:b w:val="0"/>
                <w:i w:val="0"/>
                <w:sz w:val="17"/>
              </w:rPr>
              <w:t>82 / 9</w:t>
            </w:r>
          </w:p>
        </w:tc>
      </w:tr>
      <w:tr>
        <w:trPr>
          <w:cantSplit w:val="true"/>
        </w:trPr>
        <w:tc>
          <w:tcPr>
            <w:tcW w:type="dxa" w:w="5102"/>
            <w:shd w:val="clear" w:color="auto" w:fill="F9FAFB"/>
          </w:tcPr>
          <w:p>
            <w:pPr>
              <w:spacing w:after="0"/>
            </w:pPr>
            <w:r/>
            <w:r>
              <w:rPr>
                <w:b w:val="0"/>
                <w:i w:val="0"/>
                <w:sz w:val="17"/>
              </w:rPr>
              <w:t>Net invoiced sales before returns (excl. VAT)</w:t>
            </w:r>
          </w:p>
        </w:tc>
        <w:tc>
          <w:tcPr>
            <w:tcW w:type="dxa" w:w="4535"/>
            <w:shd w:val="clear" w:color="auto" w:fill="F9FAFB"/>
          </w:tcPr>
          <w:p>
            <w:pPr>
              <w:spacing w:after="0"/>
            </w:pPr>
            <w:r/>
            <w:r>
              <w:rPr>
                <w:b w:val="0"/>
                <w:i w:val="0"/>
                <w:sz w:val="17"/>
              </w:rPr>
              <w:t>EGP 31,077,427.94</w:t>
            </w:r>
          </w:p>
        </w:tc>
      </w:tr>
      <w:tr>
        <w:trPr>
          <w:cantSplit w:val="true"/>
        </w:trPr>
        <w:tc>
          <w:tcPr>
            <w:tcW w:type="dxa" w:w="5102"/>
          </w:tcPr>
          <w:p>
            <w:pPr>
              <w:spacing w:after="0"/>
            </w:pPr>
            <w:r/>
            <w:r>
              <w:rPr>
                <w:b w:val="0"/>
                <w:i w:val="0"/>
                <w:sz w:val="17"/>
              </w:rPr>
              <w:t>Net sales after credit notes</w:t>
            </w:r>
          </w:p>
        </w:tc>
        <w:tc>
          <w:tcPr>
            <w:tcW w:type="dxa" w:w="4535"/>
          </w:tcPr>
          <w:p>
            <w:pPr>
              <w:spacing w:after="0"/>
            </w:pPr>
            <w:r/>
            <w:r>
              <w:rPr>
                <w:b w:val="0"/>
                <w:i w:val="0"/>
                <w:sz w:val="17"/>
              </w:rPr>
              <w:t>EGP 30,233,232.24</w:t>
            </w:r>
          </w:p>
        </w:tc>
      </w:tr>
      <w:tr>
        <w:trPr>
          <w:cantSplit w:val="true"/>
        </w:trPr>
        <w:tc>
          <w:tcPr>
            <w:tcW w:type="dxa" w:w="5102"/>
            <w:shd w:val="clear" w:color="auto" w:fill="F9FAFB"/>
          </w:tcPr>
          <w:p>
            <w:pPr>
              <w:spacing w:after="0"/>
            </w:pPr>
            <w:r/>
            <w:r>
              <w:rPr>
                <w:b w:val="0"/>
                <w:i w:val="0"/>
                <w:sz w:val="17"/>
              </w:rPr>
              <w:t>Cost of goods sold</w:t>
            </w:r>
          </w:p>
        </w:tc>
        <w:tc>
          <w:tcPr>
            <w:tcW w:type="dxa" w:w="4535"/>
            <w:shd w:val="clear" w:color="auto" w:fill="F9FAFB"/>
          </w:tcPr>
          <w:p>
            <w:pPr>
              <w:spacing w:after="0"/>
            </w:pPr>
            <w:r/>
            <w:r>
              <w:rPr>
                <w:b w:val="0"/>
                <w:i w:val="0"/>
                <w:sz w:val="17"/>
              </w:rPr>
              <w:t>EGP 23,902,966.00</w:t>
            </w:r>
          </w:p>
        </w:tc>
      </w:tr>
      <w:tr>
        <w:trPr>
          <w:cantSplit w:val="true"/>
        </w:trPr>
        <w:tc>
          <w:tcPr>
            <w:tcW w:type="dxa" w:w="5102"/>
          </w:tcPr>
          <w:p>
            <w:pPr>
              <w:spacing w:after="0"/>
            </w:pPr>
            <w:r/>
            <w:r>
              <w:rPr>
                <w:b w:val="0"/>
                <w:i w:val="0"/>
                <w:sz w:val="17"/>
              </w:rPr>
              <w:t>Gross margin</w:t>
            </w:r>
          </w:p>
        </w:tc>
        <w:tc>
          <w:tcPr>
            <w:tcW w:type="dxa" w:w="4535"/>
          </w:tcPr>
          <w:p>
            <w:pPr>
              <w:spacing w:after="0"/>
            </w:pPr>
            <w:r/>
            <w:r>
              <w:rPr>
                <w:b w:val="0"/>
                <w:i w:val="0"/>
                <w:sz w:val="17"/>
              </w:rPr>
              <w:t>20.9%</w:t>
            </w:r>
          </w:p>
        </w:tc>
      </w:tr>
      <w:tr>
        <w:trPr>
          <w:cantSplit w:val="true"/>
        </w:trPr>
        <w:tc>
          <w:tcPr>
            <w:tcW w:type="dxa" w:w="5102"/>
            <w:shd w:val="clear" w:color="auto" w:fill="F9FAFB"/>
          </w:tcPr>
          <w:p>
            <w:pPr>
              <w:spacing w:after="0"/>
            </w:pPr>
            <w:r/>
            <w:r>
              <w:rPr>
                <w:b w:val="0"/>
                <w:i w:val="0"/>
                <w:sz w:val="17"/>
              </w:rPr>
              <w:t>Purchase orders / vendor bills</w:t>
            </w:r>
          </w:p>
        </w:tc>
        <w:tc>
          <w:tcPr>
            <w:tcW w:type="dxa" w:w="4535"/>
            <w:shd w:val="clear" w:color="auto" w:fill="F9FAFB"/>
          </w:tcPr>
          <w:p>
            <w:pPr>
              <w:spacing w:after="0"/>
            </w:pPr>
            <w:r/>
            <w:r>
              <w:rPr>
                <w:b w:val="0"/>
                <w:i w:val="0"/>
                <w:sz w:val="17"/>
              </w:rPr>
              <w:t>27 / 28</w:t>
            </w:r>
          </w:p>
        </w:tc>
      </w:tr>
      <w:tr>
        <w:trPr>
          <w:cantSplit w:val="true"/>
        </w:trPr>
        <w:tc>
          <w:tcPr>
            <w:tcW w:type="dxa" w:w="5102"/>
          </w:tcPr>
          <w:p>
            <w:pPr>
              <w:spacing w:after="0"/>
            </w:pPr>
            <w:r/>
            <w:r>
              <w:rPr>
                <w:b w:val="0"/>
                <w:i w:val="0"/>
                <w:sz w:val="17"/>
              </w:rPr>
              <w:t>Inventory value at 30-Sep-2026</w:t>
            </w:r>
          </w:p>
        </w:tc>
        <w:tc>
          <w:tcPr>
            <w:tcW w:type="dxa" w:w="4535"/>
          </w:tcPr>
          <w:p>
            <w:pPr>
              <w:spacing w:after="0"/>
            </w:pPr>
            <w:r/>
            <w:r>
              <w:rPr>
                <w:b w:val="0"/>
                <w:i w:val="0"/>
                <w:sz w:val="17"/>
              </w:rPr>
              <w:t>EGP 24,536,323.00</w:t>
            </w:r>
          </w:p>
        </w:tc>
      </w:tr>
      <w:tr>
        <w:trPr>
          <w:cantSplit w:val="true"/>
        </w:trPr>
        <w:tc>
          <w:tcPr>
            <w:tcW w:type="dxa" w:w="5102"/>
            <w:shd w:val="clear" w:color="auto" w:fill="F9FAFB"/>
          </w:tcPr>
          <w:p>
            <w:pPr>
              <w:spacing w:after="0"/>
            </w:pPr>
            <w:r/>
            <w:r>
              <w:rPr>
                <w:b w:val="0"/>
                <w:i w:val="0"/>
                <w:sz w:val="17"/>
              </w:rPr>
              <w:t>Receivables at 30-Sep-2026</w:t>
            </w:r>
          </w:p>
        </w:tc>
        <w:tc>
          <w:tcPr>
            <w:tcW w:type="dxa" w:w="4535"/>
            <w:shd w:val="clear" w:color="auto" w:fill="F9FAFB"/>
          </w:tcPr>
          <w:p>
            <w:pPr>
              <w:spacing w:after="0"/>
            </w:pPr>
            <w:r/>
            <w:r>
              <w:rPr>
                <w:b w:val="0"/>
                <w:i w:val="0"/>
                <w:sz w:val="17"/>
              </w:rPr>
              <w:t>EGP 29,532,073.42</w:t>
            </w:r>
          </w:p>
        </w:tc>
      </w:tr>
      <w:tr>
        <w:trPr>
          <w:cantSplit w:val="true"/>
        </w:trPr>
        <w:tc>
          <w:tcPr>
            <w:tcW w:type="dxa" w:w="5102"/>
          </w:tcPr>
          <w:p>
            <w:pPr>
              <w:spacing w:after="0"/>
            </w:pPr>
            <w:r/>
            <w:r>
              <w:rPr>
                <w:b w:val="0"/>
                <w:i w:val="0"/>
                <w:sz w:val="17"/>
              </w:rPr>
              <w:t>Payables at 30-Sep-2026</w:t>
            </w:r>
          </w:p>
        </w:tc>
        <w:tc>
          <w:tcPr>
            <w:tcW w:type="dxa" w:w="4535"/>
          </w:tcPr>
          <w:p>
            <w:pPr>
              <w:spacing w:after="0"/>
            </w:pPr>
            <w:r/>
            <w:r>
              <w:rPr>
                <w:b w:val="0"/>
                <w:i w:val="0"/>
                <w:sz w:val="17"/>
              </w:rPr>
              <w:t>EGP 2,662,739.04</w:t>
            </w:r>
          </w:p>
        </w:tc>
      </w:tr>
      <w:tr>
        <w:trPr>
          <w:cantSplit w:val="true"/>
        </w:trPr>
        <w:tc>
          <w:tcPr>
            <w:tcW w:type="dxa" w:w="5102"/>
            <w:shd w:val="clear" w:color="auto" w:fill="F9FAFB"/>
          </w:tcPr>
          <w:p>
            <w:pPr>
              <w:spacing w:after="0"/>
            </w:pPr>
            <w:r/>
            <w:r>
              <w:rPr>
                <w:b w:val="0"/>
                <w:i w:val="0"/>
                <w:sz w:val="17"/>
              </w:rPr>
              <w:t>Lot-tracked batches / serial-tracked units</w:t>
            </w:r>
          </w:p>
        </w:tc>
        <w:tc>
          <w:tcPr>
            <w:tcW w:type="dxa" w:w="4535"/>
            <w:shd w:val="clear" w:color="auto" w:fill="F9FAFB"/>
          </w:tcPr>
          <w:p>
            <w:pPr>
              <w:spacing w:after="0"/>
            </w:pPr>
            <w:r/>
            <w:r>
              <w:rPr>
                <w:b w:val="0"/>
                <w:i w:val="0"/>
                <w:sz w:val="17"/>
              </w:rPr>
              <w:t>42 / 186</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Reading the numbers.  </w:t>
            </w:r>
            <w:r>
              <w:rPr>
                <w:b w:val="0"/>
                <w:i w:val="0"/>
                <w:sz w:val="19"/>
              </w:rPr>
              <w:t>Revenue is dominated by one large capital-equipment sale (an MRI system, EGP 23,438,252 net, August) to an imaging center. Excluding this one-off sale, net sales are about EGP 6,794,980 over five months. Management KPIs should be read with this concentration in mind.</w:t>
            </w:r>
          </w:p>
        </w:tc>
      </w:tr>
    </w:tbl>
    <w:p>
      <w:pPr>
        <w:spacing w:after="40"/>
      </w:pPr>
    </w:p>
    <w:p>
      <w:pPr>
        <w:pStyle w:val="Heading1"/>
      </w:pPr>
      <w:r>
        <w:t>12. Management objectives for the Odoo project</w:t>
      </w:r>
    </w:p>
    <w:p>
      <w:pPr>
        <w:pStyle w:val="ListBullet"/>
        <w:spacing w:after="40"/>
      </w:pPr>
      <w:r>
        <w:rPr>
          <w:b w:val="0"/>
          <w:i w:val="0"/>
        </w:rPr>
        <w:t>Single source of truth for products, partners, stock and accounting across three branches and four warehouses.</w:t>
      </w:r>
    </w:p>
    <w:p>
      <w:pPr>
        <w:pStyle w:val="ListBullet"/>
        <w:spacing w:after="40"/>
      </w:pPr>
      <w:r>
        <w:rPr>
          <w:b w:val="0"/>
          <w:i w:val="0"/>
        </w:rPr>
        <w:t>Lot, serial and expiry traceability with FEFO picking, expiry alerts and recall support.</w:t>
      </w:r>
    </w:p>
    <w:p>
      <w:pPr>
        <w:pStyle w:val="ListBullet"/>
        <w:spacing w:after="40"/>
      </w:pPr>
      <w:r>
        <w:rPr>
          <w:b w:val="0"/>
          <w:i w:val="0"/>
        </w:rPr>
        <w:t>Controlled quarantine handling of returned, damaged, failed-inspection and near-expiry goods.</w:t>
      </w:r>
    </w:p>
    <w:p>
      <w:pPr>
        <w:pStyle w:val="ListBullet"/>
        <w:spacing w:after="40"/>
      </w:pPr>
      <w:r>
        <w:rPr>
          <w:b w:val="0"/>
          <w:i w:val="0"/>
        </w:rPr>
        <w:t>Automated inventory valuation and COGS with reconciled stock-to-ledger at every month-end.</w:t>
      </w:r>
    </w:p>
    <w:p>
      <w:pPr>
        <w:pStyle w:val="ListBullet"/>
        <w:spacing w:after="40"/>
      </w:pPr>
      <w:r>
        <w:rPr>
          <w:b w:val="0"/>
          <w:i w:val="0"/>
        </w:rPr>
        <w:t>Credit control: limits, ageing and approval workflow for hospital customers.</w:t>
      </w:r>
    </w:p>
    <w:p>
      <w:pPr>
        <w:pStyle w:val="ListBullet"/>
        <w:spacing w:after="40"/>
      </w:pPr>
      <w:r>
        <w:rPr>
          <w:b w:val="0"/>
          <w:i w:val="0"/>
        </w:rPr>
        <w:t>Branch-level sales and margin visibility; management KPI dashboard.</w:t>
      </w:r>
    </w:p>
    <w:p>
      <w:pPr>
        <w:pStyle w:val="ListBullet"/>
        <w:spacing w:after="40"/>
      </w:pPr>
      <w:r>
        <w:rPr>
          <w:b w:val="0"/>
          <w:i w:val="0"/>
        </w:rPr>
        <w:t>Bilingual (Arabic/English) documents with correct RTL printing.</w:t>
      </w:r>
    </w:p>
    <w:p>
      <w:pPr>
        <w:pStyle w:val="Heading1"/>
      </w:pPr>
      <w:r>
        <w:t>13. Terminology and data caveats</w:t>
      </w:r>
    </w:p>
    <w:p>
      <w:pPr>
        <w:pStyle w:val="ListBullet"/>
        <w:spacing w:after="40"/>
      </w:pPr>
      <w:r>
        <w:rPr>
          <w:b/>
          <w:i w:val="0"/>
        </w:rPr>
        <w:t>Simulated data:</w:t>
      </w:r>
      <w:r>
        <w:rPr>
          <w:b w:val="0"/>
          <w:i w:val="0"/>
        </w:rPr>
        <w:t xml:space="preserve"> all transactions are generated by a deterministic model; no live Odoo import or test took place.</w:t>
      </w:r>
    </w:p>
    <w:p>
      <w:pPr>
        <w:pStyle w:val="ListBullet"/>
        <w:spacing w:after="40"/>
      </w:pPr>
      <w:r>
        <w:rPr>
          <w:b/>
          <w:i w:val="0"/>
        </w:rPr>
        <w:t>VAT 14%:</w:t>
      </w:r>
      <w:r>
        <w:rPr>
          <w:b w:val="0"/>
          <w:i w:val="0"/>
        </w:rPr>
        <w:t xml:space="preserve"> an assumed standard rate for the simulation; exemptions and e-invoicing must be confirmed by a tax advisor.</w:t>
      </w:r>
    </w:p>
    <w:p>
      <w:pPr>
        <w:pStyle w:val="ListBullet"/>
        <w:spacing w:after="40"/>
      </w:pPr>
      <w:r>
        <w:rPr>
          <w:b/>
          <w:i w:val="0"/>
        </w:rPr>
        <w:t>Chart of accounts:</w:t>
      </w:r>
      <w:r>
        <w:rPr>
          <w:b w:val="0"/>
          <w:i w:val="0"/>
        </w:rPr>
        <w:t xml:space="preserve"> a proposed company-specific chart, not an official Egyptian statutory chart; review by a qualified Egyptian accountant is required.</w:t>
      </w:r>
    </w:p>
    <w:p>
      <w:pPr>
        <w:pStyle w:val="ListBullet"/>
        <w:spacing w:after="40"/>
      </w:pPr>
      <w:r>
        <w:rPr>
          <w:b/>
          <w:i w:val="0"/>
        </w:rPr>
        <w:t>Bank accounts:</w:t>
      </w:r>
      <w:r>
        <w:rPr>
          <w:b w:val="0"/>
          <w:i w:val="0"/>
        </w:rPr>
        <w:t xml:space="preserve"> CIB and NBE are simulated relationships with masked placeholder numbers.</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RL-CP-001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