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Project Name and Scope</w:t>
      </w:r>
    </w:p>
    <w:p>
      <w:pPr>
        <w:bidi/>
        <w:jc w:val="right"/>
      </w:pPr>
      <w:r>
        <w:rPr>
          <w:color w:val="C8102E"/>
          <w:sz w:val="40"/>
          <w:rtl/>
          <w:rFonts w:cs="Arial" w:ascii="Arial" w:hAnsi="Arial"/>
        </w:rPr>
        <w:t>اسم المشروع ونطاقه</w:t>
      </w:r>
    </w:p>
    <w:p>
      <w:r>
        <w:rPr>
          <w:color w:val="6B7280"/>
          <w:sz w:val="26"/>
        </w:rPr>
        <w:t>Project definition, objectives, scope boundaries, assumptions and acceptance</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RL-SCP-001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Project identity</w:t>
            </w:r>
          </w:p>
        </w:tc>
      </w:tr>
      <w:tr>
        <w:tc>
          <w:tcPr>
            <w:tcW w:type="dxa" w:w="1134"/>
          </w:tcPr>
          <w:p>
            <w:r>
              <w:rPr>
                <w:sz w:val="19"/>
              </w:rPr>
              <w:t>2</w:t>
            </w:r>
          </w:p>
        </w:tc>
        <w:tc>
          <w:tcPr>
            <w:tcW w:type="dxa" w:w="8504"/>
          </w:tcPr>
          <w:p>
            <w:r>
              <w:rPr>
                <w:sz w:val="19"/>
              </w:rPr>
              <w:t>Background and objectives</w:t>
            </w:r>
          </w:p>
        </w:tc>
      </w:tr>
      <w:tr>
        <w:tc>
          <w:tcPr>
            <w:tcW w:type="dxa" w:w="1134"/>
            <w:shd w:val="clear" w:color="auto" w:fill="F9FAFB"/>
          </w:tcPr>
          <w:p>
            <w:r>
              <w:rPr>
                <w:sz w:val="19"/>
              </w:rPr>
              <w:t>3</w:t>
            </w:r>
          </w:p>
        </w:tc>
        <w:tc>
          <w:tcPr>
            <w:tcW w:type="dxa" w:w="8504"/>
            <w:shd w:val="clear" w:color="auto" w:fill="F9FAFB"/>
          </w:tcPr>
          <w:p>
            <w:r>
              <w:rPr>
                <w:sz w:val="19"/>
              </w:rPr>
              <w:t>In scope</w:t>
            </w:r>
          </w:p>
        </w:tc>
      </w:tr>
      <w:tr>
        <w:tc>
          <w:tcPr>
            <w:tcW w:type="dxa" w:w="1134"/>
          </w:tcPr>
          <w:p>
            <w:r>
              <w:rPr>
                <w:sz w:val="19"/>
              </w:rPr>
              <w:t>4</w:t>
            </w:r>
          </w:p>
        </w:tc>
        <w:tc>
          <w:tcPr>
            <w:tcW w:type="dxa" w:w="8504"/>
          </w:tcPr>
          <w:p>
            <w:r>
              <w:rPr>
                <w:sz w:val="19"/>
              </w:rPr>
              <w:t>Out of scope</w:t>
            </w:r>
          </w:p>
        </w:tc>
      </w:tr>
      <w:tr>
        <w:tc>
          <w:tcPr>
            <w:tcW w:type="dxa" w:w="1134"/>
            <w:shd w:val="clear" w:color="auto" w:fill="F9FAFB"/>
          </w:tcPr>
          <w:p>
            <w:r>
              <w:rPr>
                <w:sz w:val="19"/>
              </w:rPr>
              <w:t>5</w:t>
            </w:r>
          </w:p>
        </w:tc>
        <w:tc>
          <w:tcPr>
            <w:tcW w:type="dxa" w:w="8504"/>
            <w:shd w:val="clear" w:color="auto" w:fill="F9FAFB"/>
          </w:tcPr>
          <w:p>
            <w:r>
              <w:rPr>
                <w:sz w:val="19"/>
              </w:rPr>
              <w:t>Deliverables</w:t>
            </w:r>
          </w:p>
        </w:tc>
      </w:tr>
      <w:tr>
        <w:tc>
          <w:tcPr>
            <w:tcW w:type="dxa" w:w="1134"/>
          </w:tcPr>
          <w:p>
            <w:r>
              <w:rPr>
                <w:sz w:val="19"/>
              </w:rPr>
              <w:t>6</w:t>
            </w:r>
          </w:p>
        </w:tc>
        <w:tc>
          <w:tcPr>
            <w:tcW w:type="dxa" w:w="8504"/>
          </w:tcPr>
          <w:p>
            <w:r>
              <w:rPr>
                <w:sz w:val="19"/>
              </w:rPr>
              <w:t>Timeline and period</w:t>
            </w:r>
          </w:p>
        </w:tc>
      </w:tr>
      <w:tr>
        <w:tc>
          <w:tcPr>
            <w:tcW w:type="dxa" w:w="1134"/>
            <w:shd w:val="clear" w:color="auto" w:fill="F9FAFB"/>
          </w:tcPr>
          <w:p>
            <w:r>
              <w:rPr>
                <w:sz w:val="19"/>
              </w:rPr>
              <w:t>7</w:t>
            </w:r>
          </w:p>
        </w:tc>
        <w:tc>
          <w:tcPr>
            <w:tcW w:type="dxa" w:w="8504"/>
            <w:shd w:val="clear" w:color="auto" w:fill="F9FAFB"/>
          </w:tcPr>
          <w:p>
            <w:r>
              <w:rPr>
                <w:sz w:val="19"/>
              </w:rPr>
              <w:t>Assumptions and constraints</w:t>
            </w:r>
          </w:p>
        </w:tc>
      </w:tr>
      <w:tr>
        <w:tc>
          <w:tcPr>
            <w:tcW w:type="dxa" w:w="1134"/>
          </w:tcPr>
          <w:p>
            <w:r>
              <w:rPr>
                <w:sz w:val="19"/>
              </w:rPr>
              <w:t>8</w:t>
            </w:r>
          </w:p>
        </w:tc>
        <w:tc>
          <w:tcPr>
            <w:tcW w:type="dxa" w:w="8504"/>
          </w:tcPr>
          <w:p>
            <w:r>
              <w:rPr>
                <w:sz w:val="19"/>
              </w:rPr>
              <w:t>Success and acceptance criteria</w:t>
            </w:r>
          </w:p>
        </w:tc>
      </w:tr>
      <w:tr>
        <w:tc>
          <w:tcPr>
            <w:tcW w:type="dxa" w:w="1134"/>
            <w:shd w:val="clear" w:color="auto" w:fill="F9FAFB"/>
          </w:tcPr>
          <w:p>
            <w:r>
              <w:rPr>
                <w:sz w:val="19"/>
              </w:rPr>
              <w:t>9</w:t>
            </w:r>
          </w:p>
        </w:tc>
        <w:tc>
          <w:tcPr>
            <w:tcW w:type="dxa" w:w="8504"/>
            <w:shd w:val="clear" w:color="auto" w:fill="F9FAFB"/>
          </w:tcPr>
          <w:p>
            <w:r>
              <w:rPr>
                <w:sz w:val="19"/>
              </w:rPr>
              <w:t>Stakeholders and governance</w:t>
            </w:r>
          </w:p>
        </w:tc>
      </w:tr>
    </w:tbl>
    <w:p>
      <w:r>
        <w:rPr>
          <w:i/>
          <w:color w:val="6B7280"/>
          <w:sz w:val="17"/>
        </w:rPr>
        <w:t>Section numbers are used for cross-references throughout the document set (e.g. 'SSD 4.2' = Solution Design Document, section 4.2).</w:t>
      </w:r>
    </w:p>
    <w:p>
      <w:r>
        <w:br w:type="page"/>
      </w:r>
    </w:p>
    <w:p>
      <w:pPr>
        <w:pStyle w:val="Heading1"/>
      </w:pPr>
      <w:r>
        <w:t>1. Project identity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6803"/>
      </w:tblGrid>
      <w:tr>
        <w:trPr>
          <w:tblHeader w:val="true"/>
        </w:trPr>
        <w:tc>
          <w:tcPr>
            <w:tcW w:type="dxa" w:w="2835"/>
            <w:shd w:val="clear" w:color="auto" w:fill="C8102E"/>
          </w:tcPr>
          <w:p>
            <w:r/>
            <w:r>
              <w:rPr>
                <w:b/>
                <w:color w:val="FFFFFF"/>
                <w:sz w:val="18"/>
              </w:rPr>
              <w:t>Item</w:t>
            </w:r>
          </w:p>
        </w:tc>
        <w:tc>
          <w:tcPr>
            <w:tcW w:type="dxa" w:w="6803"/>
            <w:shd w:val="clear" w:color="auto" w:fill="C8102E"/>
          </w:tcPr>
          <w:p>
            <w:r/>
            <w:r>
              <w:rPr>
                <w:b/>
                <w:color w:val="FFFFFF"/>
                <w:sz w:val="18"/>
              </w:rPr>
              <w:t>Detail</w:t>
            </w:r>
          </w:p>
        </w:tc>
      </w:tr>
      <w:tr>
        <w:trPr>
          <w:cantSplit w:val="true"/>
        </w:trPr>
        <w:tc>
          <w:tcPr>
            <w:tcW w:type="dxa" w:w="2835"/>
          </w:tcPr>
          <w:p>
            <w:pPr>
              <w:spacing w:after="0"/>
            </w:pPr>
            <w:r/>
            <w:r>
              <w:rPr>
                <w:b w:val="0"/>
                <w:i w:val="0"/>
                <w:sz w:val="18"/>
              </w:rPr>
              <w:t>Project name</w:t>
            </w:r>
          </w:p>
        </w:tc>
        <w:tc>
          <w:tcPr>
            <w:tcW w:type="dxa" w:w="6803"/>
          </w:tcPr>
          <w:p>
            <w:pPr>
              <w:spacing w:after="0"/>
            </w:pPr>
            <w:r/>
            <w:r>
              <w:rPr>
                <w:b w:val="0"/>
                <w:i w:val="0"/>
                <w:sz w:val="18"/>
              </w:rPr>
              <w:t>RedLine Medical - Odoo ERP Implementation (Graduation Project)</w:t>
            </w:r>
          </w:p>
        </w:tc>
      </w:tr>
      <w:tr>
        <w:trPr>
          <w:cantSplit w:val="true"/>
        </w:trPr>
        <w:tc>
          <w:tcPr>
            <w:tcW w:type="dxa" w:w="2835"/>
            <w:shd w:val="clear" w:color="auto" w:fill="F9FAFB"/>
          </w:tcPr>
          <w:p>
            <w:pPr>
              <w:spacing w:after="0"/>
            </w:pPr>
            <w:r/>
            <w:r>
              <w:rPr>
                <w:b w:val="0"/>
                <w:i w:val="0"/>
                <w:sz w:val="18"/>
              </w:rPr>
              <w:t>Client company</w:t>
            </w:r>
          </w:p>
        </w:tc>
        <w:tc>
          <w:tcPr>
            <w:tcW w:type="dxa" w:w="6803"/>
            <w:shd w:val="clear" w:color="auto" w:fill="F9FAFB"/>
          </w:tcPr>
          <w:p>
            <w:pPr>
              <w:spacing w:after="0"/>
            </w:pPr>
            <w:r/>
            <w:r>
              <w:rPr>
                <w:b w:val="0"/>
                <w:i w:val="0"/>
                <w:sz w:val="18"/>
              </w:rPr>
              <w:t>RedLine Medical Supplies &amp; Equipment Trading (illustrative)</w:t>
            </w:r>
          </w:p>
        </w:tc>
      </w:tr>
      <w:tr>
        <w:trPr>
          <w:cantSplit w:val="true"/>
        </w:trPr>
        <w:tc>
          <w:tcPr>
            <w:tcW w:type="dxa" w:w="2835"/>
          </w:tcPr>
          <w:p>
            <w:pPr>
              <w:spacing w:after="0"/>
            </w:pPr>
            <w:r/>
            <w:r>
              <w:rPr>
                <w:b w:val="0"/>
                <w:i w:val="0"/>
                <w:sz w:val="18"/>
              </w:rPr>
              <w:t>Headquarters</w:t>
            </w:r>
          </w:p>
        </w:tc>
        <w:tc>
          <w:tcPr>
            <w:tcW w:type="dxa" w:w="6803"/>
          </w:tcPr>
          <w:p>
            <w:pPr>
              <w:spacing w:after="0"/>
            </w:pPr>
            <w:r/>
            <w:r>
              <w:rPr>
                <w:b w:val="0"/>
                <w:i w:val="0"/>
                <w:sz w:val="18"/>
              </w:rPr>
              <w:t>45 Makram Ebeid St, Nasr City, Cairo, Egypt</w:t>
            </w:r>
          </w:p>
        </w:tc>
      </w:tr>
      <w:tr>
        <w:trPr>
          <w:cantSplit w:val="true"/>
        </w:trPr>
        <w:tc>
          <w:tcPr>
            <w:tcW w:type="dxa" w:w="2835"/>
            <w:shd w:val="clear" w:color="auto" w:fill="F9FAFB"/>
          </w:tcPr>
          <w:p>
            <w:pPr>
              <w:spacing w:after="0"/>
            </w:pPr>
            <w:r/>
            <w:r>
              <w:rPr>
                <w:b w:val="0"/>
                <w:i w:val="0"/>
                <w:sz w:val="18"/>
              </w:rPr>
              <w:t>Email</w:t>
            </w:r>
          </w:p>
        </w:tc>
        <w:tc>
          <w:tcPr>
            <w:tcW w:type="dxa" w:w="6803"/>
            <w:shd w:val="clear" w:color="auto" w:fill="F9FAFB"/>
          </w:tcPr>
          <w:p>
            <w:pPr>
              <w:spacing w:after="0"/>
            </w:pPr>
            <w:r/>
            <w:r>
              <w:rPr>
                <w:b w:val="0"/>
                <w:i w:val="0"/>
                <w:sz w:val="18"/>
              </w:rPr>
              <w:t>info@redlinemedical.com.eg</w:t>
            </w:r>
          </w:p>
        </w:tc>
      </w:tr>
      <w:tr>
        <w:trPr>
          <w:cantSplit w:val="true"/>
        </w:trPr>
        <w:tc>
          <w:tcPr>
            <w:tcW w:type="dxa" w:w="2835"/>
          </w:tcPr>
          <w:p>
            <w:pPr>
              <w:spacing w:after="0"/>
            </w:pPr>
            <w:r/>
            <w:r>
              <w:rPr>
                <w:b w:val="0"/>
                <w:i w:val="0"/>
                <w:sz w:val="18"/>
              </w:rPr>
              <w:t>ERP platform</w:t>
            </w:r>
          </w:p>
        </w:tc>
        <w:tc>
          <w:tcPr>
            <w:tcW w:type="dxa" w:w="6803"/>
          </w:tcPr>
          <w:p>
            <w:pPr>
              <w:spacing w:after="0"/>
            </w:pPr>
            <w:r/>
            <w:r>
              <w:rPr>
                <w:b w:val="0"/>
                <w:i w:val="0"/>
                <w:sz w:val="18"/>
              </w:rPr>
              <w:t>Odoo 19.0 (Enterprise edition assumed) (assumed; 'Odoo 20' could not be verified)</w:t>
            </w:r>
          </w:p>
        </w:tc>
      </w:tr>
      <w:tr>
        <w:trPr>
          <w:cantSplit w:val="true"/>
        </w:trPr>
        <w:tc>
          <w:tcPr>
            <w:tcW w:type="dxa" w:w="2835"/>
            <w:shd w:val="clear" w:color="auto" w:fill="F9FAFB"/>
          </w:tcPr>
          <w:p>
            <w:pPr>
              <w:spacing w:after="0"/>
            </w:pPr>
            <w:r/>
            <w:r>
              <w:rPr>
                <w:b w:val="0"/>
                <w:i w:val="0"/>
                <w:sz w:val="18"/>
              </w:rPr>
              <w:t>Business period simulated</w:t>
            </w:r>
          </w:p>
        </w:tc>
        <w:tc>
          <w:tcPr>
            <w:tcW w:type="dxa" w:w="6803"/>
            <w:shd w:val="clear" w:color="auto" w:fill="F9FAFB"/>
          </w:tcPr>
          <w:p>
            <w:pPr>
              <w:spacing w:after="0"/>
            </w:pPr>
            <w:r/>
            <w:r>
              <w:rPr>
                <w:b w:val="0"/>
                <w:i w:val="0"/>
                <w:sz w:val="18"/>
              </w:rPr>
              <w:t>1 May 2026 – 30 September 2026</w:t>
            </w:r>
          </w:p>
        </w:tc>
      </w:tr>
      <w:tr>
        <w:trPr>
          <w:cantSplit w:val="true"/>
        </w:trPr>
        <w:tc>
          <w:tcPr>
            <w:tcW w:type="dxa" w:w="2835"/>
          </w:tcPr>
          <w:p>
            <w:pPr>
              <w:spacing w:after="0"/>
            </w:pPr>
            <w:r/>
            <w:r>
              <w:rPr>
                <w:b w:val="0"/>
                <w:i w:val="0"/>
                <w:sz w:val="18"/>
              </w:rPr>
              <w:t>Document date</w:t>
            </w:r>
          </w:p>
        </w:tc>
        <w:tc>
          <w:tcPr>
            <w:tcW w:type="dxa" w:w="6803"/>
          </w:tcPr>
          <w:p>
            <w:pPr>
              <w:spacing w:after="0"/>
            </w:pPr>
            <w:r/>
            <w:r>
              <w:rPr>
                <w:b w:val="0"/>
                <w:i w:val="0"/>
                <w:sz w:val="18"/>
              </w:rPr>
              <w:t>25 October 2026</w:t>
            </w:r>
          </w:p>
        </w:tc>
      </w:tr>
      <w:tr>
        <w:trPr>
          <w:cantSplit w:val="true"/>
        </w:trPr>
        <w:tc>
          <w:tcPr>
            <w:tcW w:type="dxa" w:w="2835"/>
            <w:shd w:val="clear" w:color="auto" w:fill="F9FAFB"/>
          </w:tcPr>
          <w:p>
            <w:pPr>
              <w:spacing w:after="0"/>
            </w:pPr>
            <w:r/>
            <w:r>
              <w:rPr>
                <w:b w:val="0"/>
                <w:i w:val="0"/>
                <w:sz w:val="18"/>
              </w:rPr>
              <w:t>Currency</w:t>
            </w:r>
          </w:p>
        </w:tc>
        <w:tc>
          <w:tcPr>
            <w:tcW w:type="dxa" w:w="6803"/>
            <w:shd w:val="clear" w:color="auto" w:fill="F9FAFB"/>
          </w:tcPr>
          <w:p>
            <w:pPr>
              <w:spacing w:after="0"/>
            </w:pPr>
            <w:r/>
            <w:r>
              <w:rPr>
                <w:b w:val="0"/>
                <w:i w:val="0"/>
                <w:sz w:val="18"/>
              </w:rPr>
              <w:t>EGP</w:t>
            </w:r>
          </w:p>
        </w:tc>
      </w:tr>
      <w:tr>
        <w:trPr>
          <w:cantSplit w:val="true"/>
        </w:trPr>
        <w:tc>
          <w:tcPr>
            <w:tcW w:type="dxa" w:w="2835"/>
          </w:tcPr>
          <w:p>
            <w:pPr>
              <w:spacing w:after="0"/>
            </w:pPr>
            <w:r/>
            <w:r>
              <w:rPr>
                <w:b w:val="0"/>
                <w:i w:val="0"/>
                <w:sz w:val="18"/>
              </w:rPr>
              <w:t>Team</w:t>
            </w:r>
          </w:p>
        </w:tc>
        <w:tc>
          <w:tcPr>
            <w:tcW w:type="dxa" w:w="6803"/>
          </w:tcPr>
          <w:p>
            <w:pPr>
              <w:spacing w:after="0"/>
            </w:pPr>
            <w:r/>
            <w:r>
              <w:rPr>
                <w:b w:val="0"/>
                <w:i w:val="0"/>
                <w:sz w:val="18"/>
              </w:rPr>
              <w:t>Mohamed Mahmoud Abdel Bary (Team Leader - Apps, Settings, Permissions &amp; Design); Mohamed Essam El-Din Youssef (Sales &amp; CRM); Ahmed Mahmoud Mohamed (Inventory &amp; Data Upload); Fathy Adel Fathy (Purchase, Quality &amp; Testing); Omnia Haitham (Accounting &amp; Finance)</w:t>
            </w:r>
          </w:p>
        </w:tc>
      </w:tr>
    </w:tbl>
    <w:p>
      <w:pPr>
        <w:spacing w:after="40"/>
      </w:pPr>
    </w:p>
    <w:p>
      <w:pPr>
        <w:pStyle w:val="Heading1"/>
      </w:pPr>
      <w:r>
        <w:t>2. Background and objectives</w:t>
      </w:r>
    </w:p>
    <w:p>
      <w:r>
        <w:rPr>
          <w:b w:val="0"/>
          <w:i w:val="0"/>
        </w:rPr>
        <w:t>RedLine trades medical equipment, consumables and spare parts to hospitals, clinics and laboratories from one legal company with three branches and four warehouses. Stock, expiry, serials and credit are tracked manually, which creates recall, valuation and collection risks (see the BRD).</w:t>
      </w:r>
    </w:p>
    <w:p>
      <w:pPr>
        <w:pStyle w:val="ListNumber"/>
        <w:spacing w:after="40"/>
      </w:pPr>
      <w:r>
        <w:rPr>
          <w:b w:val="0"/>
          <w:i w:val="0"/>
        </w:rPr>
        <w:t>Traceability by lot and serial with FEFO picking and quarantine of failed, returned and near-expiry stock.</w:t>
      </w:r>
    </w:p>
    <w:p>
      <w:pPr>
        <w:pStyle w:val="ListNumber"/>
        <w:spacing w:after="40"/>
      </w:pPr>
      <w:r>
        <w:rPr>
          <w:b w:val="0"/>
          <w:i w:val="0"/>
        </w:rPr>
        <w:t>Automated FIFO valuation reconciled to the ledger.</w:t>
      </w:r>
    </w:p>
    <w:p>
      <w:pPr>
        <w:pStyle w:val="ListNumber"/>
        <w:spacing w:after="40"/>
      </w:pPr>
      <w:r>
        <w:rPr>
          <w:b w:val="0"/>
          <w:i w:val="0"/>
        </w:rPr>
        <w:t>Credit control and ageing for institutional customers.</w:t>
      </w:r>
    </w:p>
    <w:p>
      <w:pPr>
        <w:pStyle w:val="ListNumber"/>
        <w:spacing w:after="40"/>
      </w:pPr>
      <w:r>
        <w:rPr>
          <w:b w:val="0"/>
          <w:i w:val="0"/>
        </w:rPr>
        <w:t>Branch-level sales and margin visibility.</w:t>
      </w:r>
    </w:p>
    <w:p>
      <w:pPr>
        <w:pStyle w:val="ListNumber"/>
        <w:spacing w:after="40"/>
      </w:pPr>
      <w:r>
        <w:rPr>
          <w:b w:val="0"/>
          <w:i w:val="0"/>
        </w:rPr>
        <w:t>Bilingual Arabic/English documents.</w:t>
      </w:r>
    </w:p>
    <w:p>
      <w:pPr>
        <w:pStyle w:val="Heading1"/>
      </w:pPr>
      <w:r>
        <w:t>3. In scope</w:t>
      </w:r>
    </w:p>
    <w:p>
      <w:pPr>
        <w:pStyle w:val="ListBullet"/>
        <w:spacing w:after="40"/>
      </w:pPr>
      <w:r>
        <w:rPr>
          <w:b w:val="0"/>
          <w:i w:val="0"/>
        </w:rPr>
        <w:t>Odoo modules: Contacts, Sales, CRM, Purchase, Inventory (with Product Expiry), Accounting; Quality, Barcode and Studio as optional/Enterprise items.</w:t>
      </w:r>
    </w:p>
    <w:p>
      <w:pPr>
        <w:pStyle w:val="ListBullet"/>
        <w:spacing w:after="40"/>
      </w:pPr>
      <w:r>
        <w:rPr>
          <w:b w:val="0"/>
          <w:i w:val="0"/>
        </w:rPr>
        <w:t>Three branches and four warehouses (EQP, CON, SPR, QRT).</w:t>
      </w:r>
    </w:p>
    <w:p>
      <w:pPr>
        <w:pStyle w:val="ListBullet"/>
        <w:spacing w:after="40"/>
      </w:pPr>
      <w:r>
        <w:rPr>
          <w:b w:val="0"/>
          <w:i w:val="0"/>
        </w:rPr>
        <w:t>24 products, 13 customers, 6 vendors of simulated master data.</w:t>
      </w:r>
    </w:p>
    <w:p>
      <w:pPr>
        <w:pStyle w:val="ListBullet"/>
        <w:spacing w:after="40"/>
      </w:pPr>
      <w:r>
        <w:rPr>
          <w:b w:val="0"/>
          <w:i w:val="0"/>
        </w:rPr>
        <w:t>Proposed chart of accounts (101 accounts), journals, VAT 14% assumption, account mapping.</w:t>
      </w:r>
    </w:p>
    <w:p>
      <w:pPr>
        <w:pStyle w:val="ListBullet"/>
        <w:spacing w:after="40"/>
      </w:pPr>
      <w:r>
        <w:rPr>
          <w:b w:val="0"/>
          <w:i w:val="0"/>
        </w:rPr>
        <w:t>Five-month simulated operations: 87 sales orders, 27 purchase orders, 82 invoices.</w:t>
      </w:r>
    </w:p>
    <w:p>
      <w:pPr>
        <w:pStyle w:val="ListBullet"/>
        <w:spacing w:after="40"/>
      </w:pPr>
      <w:r>
        <w:rPr>
          <w:b w:val="0"/>
          <w:i w:val="0"/>
        </w:rPr>
        <w:t>Documentation: BRD, RTM, SSD, GAWF, TPD, FPD, UPD, TD, UDP, UATD, Go-Live plan, presentation.</w:t>
      </w:r>
    </w:p>
    <w:p>
      <w:pPr>
        <w:pStyle w:val="Heading1"/>
      </w:pPr>
      <w:r>
        <w:t>4. Out of scope</w:t>
      </w:r>
    </w:p>
    <w:p>
      <w:pPr>
        <w:pStyle w:val="ListBullet"/>
        <w:spacing w:after="40"/>
      </w:pPr>
      <w:r>
        <w:rPr>
          <w:b w:val="0"/>
          <w:i w:val="0"/>
        </w:rPr>
        <w:t>Live installation, import or functional testing in Odoo (not performed).</w:t>
      </w:r>
    </w:p>
    <w:p>
      <w:pPr>
        <w:pStyle w:val="ListBullet"/>
        <w:spacing w:after="40"/>
      </w:pPr>
      <w:r>
        <w:rPr>
          <w:b w:val="0"/>
          <w:i w:val="0"/>
        </w:rPr>
        <w:t>Payroll, manufacturing, e-commerce, POS hardware, HR.</w:t>
      </w:r>
    </w:p>
    <w:p>
      <w:pPr>
        <w:pStyle w:val="ListBullet"/>
        <w:spacing w:after="40"/>
      </w:pPr>
      <w:r>
        <w:rPr>
          <w:b w:val="0"/>
          <w:i w:val="0"/>
        </w:rPr>
        <w:t>Statutory tax filing and e-invoicing integration.</w:t>
      </w:r>
    </w:p>
    <w:p>
      <w:pPr>
        <w:pStyle w:val="ListBullet"/>
        <w:spacing w:after="40"/>
      </w:pPr>
      <w:r>
        <w:rPr>
          <w:b w:val="0"/>
          <w:i w:val="0"/>
        </w:rPr>
        <w:t>Building the proposed custom module (optional, priced in FPD).</w:t>
      </w:r>
    </w:p>
    <w:p>
      <w:pPr>
        <w:pStyle w:val="ListBullet"/>
        <w:spacing w:after="40"/>
      </w:pPr>
      <w:r>
        <w:rPr>
          <w:b w:val="0"/>
          <w:i w:val="0"/>
        </w:rPr>
        <w:t>Real bank connections, credentials or production data.</w:t>
      </w:r>
    </w:p>
    <w:p>
      <w:pPr>
        <w:pStyle w:val="Heading1"/>
      </w:pPr>
      <w:r>
        <w:t>5. Deliverables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850"/>
        <w:gridCol w:w="6236"/>
        <w:gridCol w:w="2551"/>
      </w:tblGrid>
      <w:tr>
        <w:trPr>
          <w:tblHeader w:val="true"/>
        </w:trPr>
        <w:tc>
          <w:tcPr>
            <w:tcW w:type="dxa" w:w="850"/>
            <w:shd w:val="clear" w:color="auto" w:fill="C8102E"/>
          </w:tcPr>
          <w:p>
            <w:r/>
            <w:r>
              <w:rPr>
                <w:b/>
                <w:color w:val="FFFFFF"/>
                <w:sz w:val="17"/>
              </w:rPr>
              <w:t>Folder</w:t>
            </w:r>
          </w:p>
        </w:tc>
        <w:tc>
          <w:tcPr>
            <w:tcW w:type="dxa" w:w="6236"/>
            <w:shd w:val="clear" w:color="auto" w:fill="C8102E"/>
          </w:tcPr>
          <w:p>
            <w:r/>
            <w:r>
              <w:rPr>
                <w:b/>
                <w:color w:val="FFFFFF"/>
                <w:sz w:val="17"/>
              </w:rPr>
              <w:t>Deliverable</w:t>
            </w:r>
          </w:p>
        </w:tc>
        <w:tc>
          <w:tcPr>
            <w:tcW w:type="dxa" w:w="2551"/>
            <w:shd w:val="clear" w:color="auto" w:fill="C8102E"/>
          </w:tcPr>
          <w:p>
            <w:r/>
            <w:r>
              <w:rPr>
                <w:b/>
                <w:color w:val="FFFFFF"/>
                <w:sz w:val="17"/>
              </w:rPr>
              <w:t>Owner</w:t>
            </w:r>
          </w:p>
        </w:tc>
      </w:tr>
      <w:tr>
        <w:trPr>
          <w:cantSplit w:val="true"/>
        </w:trPr>
        <w:tc>
          <w:tcPr>
            <w:tcW w:type="dxa" w:w="850"/>
          </w:tcPr>
          <w:p>
            <w:pPr>
              <w:spacing w:after="0"/>
            </w:pPr>
            <w:r/>
            <w:r>
              <w:rPr>
                <w:b w:val="0"/>
                <w:i w:val="0"/>
                <w:sz w:val="17"/>
              </w:rPr>
              <w:t>1</w:t>
            </w:r>
          </w:p>
        </w:tc>
        <w:tc>
          <w:tcPr>
            <w:tcW w:type="dxa" w:w="6236"/>
          </w:tcPr>
          <w:p>
            <w:pPr>
              <w:spacing w:after="0"/>
            </w:pPr>
            <w:r/>
            <w:r>
              <w:rPr>
                <w:b w:val="0"/>
                <w:i w:val="0"/>
                <w:sz w:val="17"/>
              </w:rPr>
              <w:t>Presentation (PPTX + PDF)</w:t>
            </w:r>
          </w:p>
        </w:tc>
        <w:tc>
          <w:tcPr>
            <w:tcW w:type="dxa" w:w="2551"/>
          </w:tcPr>
          <w:p>
            <w:pPr>
              <w:spacing w:after="0"/>
            </w:pPr>
            <w:r/>
            <w:r>
              <w:rPr>
                <w:b w:val="0"/>
                <w:i w:val="0"/>
                <w:sz w:val="17"/>
              </w:rPr>
              <w:t>Mohamed Mahmoud Abdel Bary</w:t>
            </w:r>
          </w:p>
        </w:tc>
      </w:tr>
      <w:tr>
        <w:trPr>
          <w:cantSplit w:val="true"/>
        </w:trPr>
        <w:tc>
          <w:tcPr>
            <w:tcW w:type="dxa" w:w="850"/>
            <w:shd w:val="clear" w:color="auto" w:fill="F9FAFB"/>
          </w:tcPr>
          <w:p>
            <w:pPr>
              <w:spacing w:after="0"/>
            </w:pPr>
            <w:r/>
            <w:r>
              <w:rPr>
                <w:b w:val="0"/>
                <w:i w:val="0"/>
                <w:sz w:val="17"/>
              </w:rPr>
              <w:t>2</w:t>
            </w:r>
          </w:p>
        </w:tc>
        <w:tc>
          <w:tcPr>
            <w:tcW w:type="dxa" w:w="6236"/>
            <w:shd w:val="clear" w:color="auto" w:fill="F9FAFB"/>
          </w:tcPr>
          <w:p>
            <w:pPr>
              <w:spacing w:after="0"/>
            </w:pPr>
            <w:r/>
            <w:r>
              <w:rPr>
                <w:b w:val="0"/>
                <w:i w:val="0"/>
                <w:sz w:val="17"/>
              </w:rPr>
              <w:t>Company Profile, Project Name and Scope, Team and Roles, Basic Database Configuration</w:t>
            </w:r>
          </w:p>
        </w:tc>
        <w:tc>
          <w:tcPr>
            <w:tcW w:type="dxa" w:w="2551"/>
            <w:shd w:val="clear" w:color="auto" w:fill="F9FAFB"/>
          </w:tcPr>
          <w:p>
            <w:pPr>
              <w:spacing w:after="0"/>
            </w:pPr>
            <w:r/>
            <w:r>
              <w:rPr>
                <w:b w:val="0"/>
                <w:i w:val="0"/>
                <w:sz w:val="17"/>
              </w:rPr>
              <w:t>Mohamed Essam El-Din Youssef / Mohamed Mahmoud Abdel Bary</w:t>
            </w:r>
          </w:p>
        </w:tc>
      </w:tr>
      <w:tr>
        <w:trPr>
          <w:cantSplit w:val="true"/>
        </w:trPr>
        <w:tc>
          <w:tcPr>
            <w:tcW w:type="dxa" w:w="850"/>
          </w:tcPr>
          <w:p>
            <w:pPr>
              <w:spacing w:after="0"/>
            </w:pPr>
            <w:r/>
            <w:r>
              <w:rPr>
                <w:b w:val="0"/>
                <w:i w:val="0"/>
                <w:sz w:val="17"/>
              </w:rPr>
              <w:t>3</w:t>
            </w:r>
          </w:p>
        </w:tc>
        <w:tc>
          <w:tcPr>
            <w:tcW w:type="dxa" w:w="6236"/>
          </w:tcPr>
          <w:p>
            <w:pPr>
              <w:spacing w:after="0"/>
            </w:pPr>
            <w:r/>
            <w:r>
              <w:rPr>
                <w:b w:val="0"/>
                <w:i w:val="0"/>
                <w:sz w:val="17"/>
              </w:rPr>
              <w:t>BRD, RTM, SSD, GAWF, TPD, FPD, UPD, TD, UDP, UATD</w:t>
            </w:r>
          </w:p>
        </w:tc>
        <w:tc>
          <w:tcPr>
            <w:tcW w:type="dxa" w:w="2551"/>
          </w:tcPr>
          <w:p>
            <w:pPr>
              <w:spacing w:after="0"/>
            </w:pPr>
            <w:r/>
            <w:r>
              <w:rPr>
                <w:b w:val="0"/>
                <w:i w:val="0"/>
                <w:sz w:val="17"/>
              </w:rPr>
              <w:t>Team (per register)</w:t>
            </w:r>
          </w:p>
        </w:tc>
      </w:tr>
      <w:tr>
        <w:trPr>
          <w:cantSplit w:val="true"/>
        </w:trPr>
        <w:tc>
          <w:tcPr>
            <w:tcW w:type="dxa" w:w="850"/>
            <w:shd w:val="clear" w:color="auto" w:fill="F9FAFB"/>
          </w:tcPr>
          <w:p>
            <w:pPr>
              <w:spacing w:after="0"/>
            </w:pPr>
            <w:r/>
            <w:r>
              <w:rPr>
                <w:b w:val="0"/>
                <w:i w:val="0"/>
                <w:sz w:val="17"/>
              </w:rPr>
              <w:t>4</w:t>
            </w:r>
          </w:p>
        </w:tc>
        <w:tc>
          <w:tcPr>
            <w:tcW w:type="dxa" w:w="6236"/>
            <w:shd w:val="clear" w:color="auto" w:fill="F9FAFB"/>
          </w:tcPr>
          <w:p>
            <w:pPr>
              <w:spacing w:after="0"/>
            </w:pPr>
            <w:r/>
            <w:r>
              <w:rPr>
                <w:b w:val="0"/>
                <w:i w:val="0"/>
                <w:sz w:val="17"/>
              </w:rPr>
              <w:t>Organization and Accounting Charts, Products and Inventory Data, Partners and Operations Cycles, Go-Live and Deployment Plan</w:t>
            </w:r>
          </w:p>
        </w:tc>
        <w:tc>
          <w:tcPr>
            <w:tcW w:type="dxa" w:w="2551"/>
            <w:shd w:val="clear" w:color="auto" w:fill="F9FAFB"/>
          </w:tcPr>
          <w:p>
            <w:pPr>
              <w:spacing w:after="0"/>
            </w:pPr>
            <w:r/>
            <w:r>
              <w:rPr>
                <w:b w:val="0"/>
                <w:i w:val="0"/>
                <w:sz w:val="17"/>
              </w:rPr>
              <w:t>Ahmed Mahmoud Mohamed / Mohamed Mahmoud Abdel Bary</w:t>
            </w:r>
          </w:p>
        </w:tc>
      </w:tr>
    </w:tbl>
    <w:p>
      <w:pPr>
        <w:spacing w:after="40"/>
      </w:pPr>
    </w:p>
    <w:p>
      <w:pPr>
        <w:pStyle w:val="Heading1"/>
      </w:pPr>
      <w:r>
        <w:t>6. Timeline and period</w:t>
      </w:r>
    </w:p>
    <w:p>
      <w:r>
        <w:rPr>
          <w:b w:val="0"/>
          <w:i w:val="0"/>
        </w:rPr>
        <w:t>Business period simulated: 1 May 2026 – 30 September 2026. Documentation work followed the task register in Project_Team_and_Roles.xlsx (45 tasks, dependency-ordered, completed before the document date). Proposed live implementation timeline is in the Go-Live and Deployment Plan.</w:t>
      </w:r>
    </w:p>
    <w:p>
      <w:pPr>
        <w:pStyle w:val="Heading1"/>
      </w:pPr>
      <w:r>
        <w:t>7. Assumptions and constraints</w:t>
      </w:r>
    </w:p>
    <w:p>
      <w:pPr>
        <w:pStyle w:val="ListBullet"/>
        <w:spacing w:after="40"/>
      </w:pPr>
      <w:r>
        <w:rPr>
          <w:b w:val="0"/>
          <w:i w:val="0"/>
        </w:rPr>
        <w:t>All company, partner and transaction data is simulated; nothing was installed or tested on a live Odoo server.</w:t>
      </w:r>
    </w:p>
    <w:p>
      <w:pPr>
        <w:pStyle w:val="ListBullet"/>
        <w:spacing w:after="40"/>
      </w:pPr>
      <w:r>
        <w:rPr>
          <w:b w:val="0"/>
          <w:i w:val="0"/>
        </w:rPr>
        <w:t>VAT 14% and the chart of accounts are proposals requiring accountant/tax-advisor review.</w:t>
      </w:r>
    </w:p>
    <w:p>
      <w:pPr>
        <w:pStyle w:val="ListBullet"/>
        <w:spacing w:after="40"/>
      </w:pPr>
      <w:r>
        <w:rPr>
          <w:b w:val="0"/>
          <w:i w:val="0"/>
        </w:rPr>
        <w:t>Branch management and some features depend on edition/plan and must be verified.</w:t>
      </w:r>
    </w:p>
    <w:p>
      <w:pPr>
        <w:pStyle w:val="ListBullet"/>
        <w:spacing w:after="40"/>
      </w:pPr>
      <w:r>
        <w:rPr>
          <w:b w:val="0"/>
          <w:i w:val="0"/>
        </w:rPr>
        <w:t>Egyptian working week (Friday/Saturday weekend) is used for scheduling.</w:t>
      </w:r>
    </w:p>
    <w:p>
      <w:pPr>
        <w:pStyle w:val="Heading1"/>
      </w:pPr>
      <w:r>
        <w:t>8. Success and acceptance criteria</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7370"/>
      </w:tblGrid>
      <w:tr>
        <w:trPr>
          <w:tblHeader w:val="true"/>
        </w:trPr>
        <w:tc>
          <w:tcPr>
            <w:tcW w:type="dxa" w:w="2268"/>
            <w:shd w:val="clear" w:color="auto" w:fill="C8102E"/>
          </w:tcPr>
          <w:p>
            <w:r/>
            <w:r>
              <w:rPr>
                <w:b/>
                <w:color w:val="FFFFFF"/>
                <w:sz w:val="17"/>
              </w:rPr>
              <w:t>Criterion</w:t>
            </w:r>
          </w:p>
        </w:tc>
        <w:tc>
          <w:tcPr>
            <w:tcW w:type="dxa" w:w="7370"/>
            <w:shd w:val="clear" w:color="auto" w:fill="C8102E"/>
          </w:tcPr>
          <w:p>
            <w:r/>
            <w:r>
              <w:rPr>
                <w:b/>
                <w:color w:val="FFFFFF"/>
                <w:sz w:val="17"/>
              </w:rPr>
              <w:t>Measure</w:t>
            </w:r>
          </w:p>
        </w:tc>
      </w:tr>
      <w:tr>
        <w:trPr>
          <w:cantSplit w:val="true"/>
        </w:trPr>
        <w:tc>
          <w:tcPr>
            <w:tcW w:type="dxa" w:w="2268"/>
          </w:tcPr>
          <w:p>
            <w:pPr>
              <w:spacing w:after="0"/>
            </w:pPr>
            <w:r/>
            <w:r>
              <w:rPr>
                <w:b w:val="0"/>
                <w:i w:val="0"/>
                <w:sz w:val="17"/>
              </w:rPr>
              <w:t>Completeness</w:t>
            </w:r>
          </w:p>
        </w:tc>
        <w:tc>
          <w:tcPr>
            <w:tcW w:type="dxa" w:w="7370"/>
          </w:tcPr>
          <w:p>
            <w:pPr>
              <w:spacing w:after="0"/>
            </w:pPr>
            <w:r/>
            <w:r>
              <w:rPr>
                <w:b w:val="0"/>
                <w:i w:val="0"/>
                <w:sz w:val="17"/>
              </w:rPr>
              <w:t>All folders and files of the agreed structure delivered</w:t>
            </w:r>
          </w:p>
        </w:tc>
      </w:tr>
      <w:tr>
        <w:trPr>
          <w:cantSplit w:val="true"/>
        </w:trPr>
        <w:tc>
          <w:tcPr>
            <w:tcW w:type="dxa" w:w="2268"/>
            <w:shd w:val="clear" w:color="auto" w:fill="F9FAFB"/>
          </w:tcPr>
          <w:p>
            <w:pPr>
              <w:spacing w:after="0"/>
            </w:pPr>
            <w:r/>
            <w:r>
              <w:rPr>
                <w:b w:val="0"/>
                <w:i w:val="0"/>
                <w:sz w:val="17"/>
              </w:rPr>
              <w:t>Consistency</w:t>
            </w:r>
          </w:p>
        </w:tc>
        <w:tc>
          <w:tcPr>
            <w:tcW w:type="dxa" w:w="7370"/>
            <w:shd w:val="clear" w:color="auto" w:fill="F9FAFB"/>
          </w:tcPr>
          <w:p>
            <w:pPr>
              <w:spacing w:after="0"/>
            </w:pPr>
            <w:r/>
            <w:r>
              <w:rPr>
                <w:b w:val="0"/>
                <w:i w:val="0"/>
                <w:sz w:val="17"/>
              </w:rPr>
              <w:t>Same figures in every document; validation report passes</w:t>
            </w:r>
          </w:p>
        </w:tc>
      </w:tr>
      <w:tr>
        <w:trPr>
          <w:cantSplit w:val="true"/>
        </w:trPr>
        <w:tc>
          <w:tcPr>
            <w:tcW w:type="dxa" w:w="2268"/>
          </w:tcPr>
          <w:p>
            <w:pPr>
              <w:spacing w:after="0"/>
            </w:pPr>
            <w:r/>
            <w:r>
              <w:rPr>
                <w:b w:val="0"/>
                <w:i w:val="0"/>
                <w:sz w:val="17"/>
              </w:rPr>
              <w:t>Reconciliation</w:t>
            </w:r>
          </w:p>
        </w:tc>
        <w:tc>
          <w:tcPr>
            <w:tcW w:type="dxa" w:w="7370"/>
          </w:tcPr>
          <w:p>
            <w:pPr>
              <w:spacing w:after="0"/>
            </w:pPr>
            <w:r/>
            <w:r>
              <w:rPr>
                <w:b w:val="0"/>
                <w:i w:val="0"/>
                <w:sz w:val="17"/>
              </w:rPr>
              <w:t>Opening + In - Out = Closing; AR/AP/inventory agree to ledger</w:t>
            </w:r>
          </w:p>
        </w:tc>
      </w:tr>
      <w:tr>
        <w:trPr>
          <w:cantSplit w:val="true"/>
        </w:trPr>
        <w:tc>
          <w:tcPr>
            <w:tcW w:type="dxa" w:w="2268"/>
            <w:shd w:val="clear" w:color="auto" w:fill="F9FAFB"/>
          </w:tcPr>
          <w:p>
            <w:pPr>
              <w:spacing w:after="0"/>
            </w:pPr>
            <w:r/>
            <w:r>
              <w:rPr>
                <w:b w:val="0"/>
                <w:i w:val="0"/>
                <w:sz w:val="17"/>
              </w:rPr>
              <w:t>Traceability</w:t>
            </w:r>
          </w:p>
        </w:tc>
        <w:tc>
          <w:tcPr>
            <w:tcW w:type="dxa" w:w="7370"/>
            <w:shd w:val="clear" w:color="auto" w:fill="F9FAFB"/>
          </w:tcPr>
          <w:p>
            <w:pPr>
              <w:spacing w:after="0"/>
            </w:pPr>
            <w:r/>
            <w:r>
              <w:rPr>
                <w:b w:val="0"/>
                <w:i w:val="0"/>
                <w:sz w:val="17"/>
              </w:rPr>
              <w:t>Every requirement has a test case (RTM)</w:t>
            </w:r>
          </w:p>
        </w:tc>
      </w:tr>
      <w:tr>
        <w:trPr>
          <w:cantSplit w:val="true"/>
        </w:trPr>
        <w:tc>
          <w:tcPr>
            <w:tcW w:type="dxa" w:w="2268"/>
          </w:tcPr>
          <w:p>
            <w:pPr>
              <w:spacing w:after="0"/>
            </w:pPr>
            <w:r/>
            <w:r>
              <w:rPr>
                <w:b w:val="0"/>
                <w:i w:val="0"/>
                <w:sz w:val="17"/>
              </w:rPr>
              <w:t>Honesty</w:t>
            </w:r>
          </w:p>
        </w:tc>
        <w:tc>
          <w:tcPr>
            <w:tcW w:type="dxa" w:w="7370"/>
          </w:tcPr>
          <w:p>
            <w:pPr>
              <w:spacing w:after="0"/>
            </w:pPr>
            <w:r/>
            <w:r>
              <w:rPr>
                <w:b w:val="0"/>
                <w:i w:val="0"/>
                <w:sz w:val="17"/>
              </w:rPr>
              <w:t>Simulated vs live status stated clearly</w:t>
            </w:r>
          </w:p>
        </w:tc>
      </w:tr>
    </w:tbl>
    <w:p>
      <w:pPr>
        <w:spacing w:after="40"/>
      </w:pPr>
    </w:p>
    <w:p>
      <w:pPr>
        <w:pStyle w:val="Heading1"/>
      </w:pPr>
      <w:r>
        <w:t>9. Stakeholders and governance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6803"/>
      </w:tblGrid>
      <w:tr>
        <w:trPr>
          <w:tblHeader w:val="true"/>
        </w:trPr>
        <w:tc>
          <w:tcPr>
            <w:tcW w:type="dxa" w:w="2835"/>
            <w:shd w:val="clear" w:color="auto" w:fill="C8102E"/>
          </w:tcPr>
          <w:p>
            <w:r/>
            <w:r>
              <w:rPr>
                <w:b/>
                <w:color w:val="FFFFFF"/>
                <w:sz w:val="17"/>
              </w:rPr>
              <w:t>Stakeholder</w:t>
            </w:r>
          </w:p>
        </w:tc>
        <w:tc>
          <w:tcPr>
            <w:tcW w:type="dxa" w:w="6803"/>
            <w:shd w:val="clear" w:color="auto" w:fill="C8102E"/>
          </w:tcPr>
          <w:p>
            <w:r/>
            <w:r>
              <w:rPr>
                <w:b/>
                <w:color w:val="FFFFFF"/>
                <w:sz w:val="17"/>
              </w:rPr>
              <w:t>Role</w:t>
            </w:r>
          </w:p>
        </w:tc>
      </w:tr>
      <w:tr>
        <w:trPr>
          <w:cantSplit w:val="true"/>
        </w:trPr>
        <w:tc>
          <w:tcPr>
            <w:tcW w:type="dxa" w:w="2835"/>
          </w:tcPr>
          <w:p>
            <w:pPr>
              <w:spacing w:after="0"/>
            </w:pPr>
            <w:r/>
            <w:r>
              <w:rPr>
                <w:b w:val="0"/>
                <w:i w:val="0"/>
                <w:sz w:val="17"/>
              </w:rPr>
              <w:t>General Manager</w:t>
            </w:r>
          </w:p>
        </w:tc>
        <w:tc>
          <w:tcPr>
            <w:tcW w:type="dxa" w:w="6803"/>
          </w:tcPr>
          <w:p>
            <w:pPr>
              <w:spacing w:after="0"/>
            </w:pPr>
            <w:r/>
            <w:r>
              <w:rPr>
                <w:b w:val="0"/>
                <w:i w:val="0"/>
                <w:sz w:val="17"/>
              </w:rPr>
              <w:t>Sponsor; approves scope and go-live</w:t>
            </w:r>
          </w:p>
        </w:tc>
      </w:tr>
      <w:tr>
        <w:trPr>
          <w:cantSplit w:val="true"/>
        </w:trPr>
        <w:tc>
          <w:tcPr>
            <w:tcW w:type="dxa" w:w="2835"/>
            <w:shd w:val="clear" w:color="auto" w:fill="F9FAFB"/>
          </w:tcPr>
          <w:p>
            <w:pPr>
              <w:spacing w:after="0"/>
            </w:pPr>
            <w:r/>
            <w:r>
              <w:rPr>
                <w:b w:val="0"/>
                <w:i w:val="0"/>
                <w:sz w:val="17"/>
              </w:rPr>
              <w:t>Finance &amp; Accounting Manager</w:t>
            </w:r>
          </w:p>
        </w:tc>
        <w:tc>
          <w:tcPr>
            <w:tcW w:type="dxa" w:w="6803"/>
            <w:shd w:val="clear" w:color="auto" w:fill="F9FAFB"/>
          </w:tcPr>
          <w:p>
            <w:pPr>
              <w:spacing w:after="0"/>
            </w:pPr>
            <w:r/>
            <w:r>
              <w:rPr>
                <w:b w:val="0"/>
                <w:i w:val="0"/>
                <w:sz w:val="17"/>
              </w:rPr>
              <w:t>Accounting design owner</w:t>
            </w:r>
          </w:p>
        </w:tc>
      </w:tr>
      <w:tr>
        <w:trPr>
          <w:cantSplit w:val="true"/>
        </w:trPr>
        <w:tc>
          <w:tcPr>
            <w:tcW w:type="dxa" w:w="2835"/>
          </w:tcPr>
          <w:p>
            <w:pPr>
              <w:spacing w:after="0"/>
            </w:pPr>
            <w:r/>
            <w:r>
              <w:rPr>
                <w:b w:val="0"/>
                <w:i w:val="0"/>
                <w:sz w:val="17"/>
              </w:rPr>
              <w:t>Warehouse / Quality managers</w:t>
            </w:r>
          </w:p>
        </w:tc>
        <w:tc>
          <w:tcPr>
            <w:tcW w:type="dxa" w:w="6803"/>
          </w:tcPr>
          <w:p>
            <w:pPr>
              <w:spacing w:after="0"/>
            </w:pPr>
            <w:r/>
            <w:r>
              <w:rPr>
                <w:b w:val="0"/>
                <w:i w:val="0"/>
                <w:sz w:val="17"/>
              </w:rPr>
              <w:t>Inventory and quarantine process owners</w:t>
            </w:r>
          </w:p>
        </w:tc>
      </w:tr>
      <w:tr>
        <w:trPr>
          <w:cantSplit w:val="true"/>
        </w:trPr>
        <w:tc>
          <w:tcPr>
            <w:tcW w:type="dxa" w:w="2835"/>
            <w:shd w:val="clear" w:color="auto" w:fill="F9FAFB"/>
          </w:tcPr>
          <w:p>
            <w:pPr>
              <w:spacing w:after="0"/>
            </w:pPr>
            <w:r/>
            <w:r>
              <w:rPr>
                <w:b w:val="0"/>
                <w:i w:val="0"/>
                <w:sz w:val="17"/>
              </w:rPr>
              <w:t>Mohamed Mahmoud Abdel Bary</w:t>
            </w:r>
          </w:p>
        </w:tc>
        <w:tc>
          <w:tcPr>
            <w:tcW w:type="dxa" w:w="6803"/>
            <w:shd w:val="clear" w:color="auto" w:fill="F9FAFB"/>
          </w:tcPr>
          <w:p>
            <w:pPr>
              <w:spacing w:after="0"/>
            </w:pPr>
            <w:r/>
            <w:r>
              <w:rPr>
                <w:b w:val="0"/>
                <w:i w:val="0"/>
                <w:sz w:val="17"/>
              </w:rPr>
              <w:t>Project leader; change control</w:t>
            </w:r>
          </w:p>
        </w:tc>
      </w:tr>
    </w:tbl>
    <w:p>
      <w:pPr>
        <w:spacing w:after="40"/>
      </w:pPr>
    </w:p>
    <w:p>
      <w:r>
        <w:rPr>
          <w:b w:val="0"/>
          <w:i w:val="0"/>
        </w:rPr>
        <w:t>Change control: scope changes are logged, impact-assessed (time, cost, risk) and approved by the project leader and sponsor before work.</w:t>
      </w: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RL-SCP-001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Project Name and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