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C8102E"/>
          </w:tcPr>
          <w:p>
            <w:r>
              <w:rPr>
                <w:b/>
                <w:color w:val="FFFFFF"/>
                <w:sz w:val="68"/>
              </w:rPr>
              <w:t>REDLINE</w:t>
            </w:r>
          </w:p>
          <w:p>
            <w:r>
              <w:rPr>
                <w:color w:val="FFFFFF"/>
                <w:sz w:val="28"/>
              </w:rPr>
              <w:t>Medical Supplies &amp; Equipment Trading</w:t>
            </w:r>
          </w:p>
          <w:p>
            <w:pPr>
              <w:bidi/>
              <w:jc w:val="right"/>
            </w:pPr>
            <w:r>
              <w:rPr>
                <w:color w:val="FFFFFF"/>
                <w:sz w:val="26"/>
                <w:rtl/>
                <w:rFonts w:cs="Arial" w:ascii="Arial" w:hAnsi="Arial"/>
              </w:rPr>
              <w:t>ريد لاين للتجارة في المستلزمات والمعدات الطبية</w:t>
            </w:r>
          </w:p>
        </w:tc>
      </w:tr>
    </w:tbl>
    <w:p/>
    <w:p/>
    <w:p/>
    <w:p/>
    <w:p/>
    <w:p>
      <w:r>
        <w:rPr>
          <w:b/>
          <w:color w:val="1F2937"/>
          <w:sz w:val="56"/>
        </w:rPr>
        <w:t>Gap Analysis and Workflow Documentation (GAWF)</w:t>
      </w:r>
    </w:p>
    <w:p>
      <w:pPr>
        <w:bidi/>
        <w:jc w:val="right"/>
      </w:pPr>
      <w:r>
        <w:rPr>
          <w:color w:val="C8102E"/>
          <w:sz w:val="40"/>
          <w:rtl/>
          <w:rFonts w:cs="Arial" w:ascii="Arial" w:hAnsi="Arial"/>
        </w:rPr>
        <w:t>تحليل الفجوات وتوثيق سير العمل</w:t>
      </w:r>
    </w:p>
    <w:p>
      <w:r>
        <w:rPr>
          <w:color w:val="6B7280"/>
          <w:sz w:val="26"/>
        </w:rPr>
        <w:t>Simulated legacy/manual processes versus proposed Odoo processes</w:t>
      </w:r>
    </w:p>
    <w:p/>
    <w:p/>
    <w:p/>
    <w:p/>
    <w:tbl>
      <w:tblPr>
        <w:tblStyle w:val="TableGrid"/>
        <w:tblW w:type="auto" w:w="0"/>
        <w:tblLook w:firstColumn="1" w:firstRow="1" w:lastColumn="0" w:lastRow="0" w:noHBand="0" w:noVBand="1" w:val="04A0"/>
      </w:tblPr>
      <w:tblGrid>
        <w:gridCol w:w="2551"/>
        <w:gridCol w:w="4819"/>
      </w:tblGrid>
      <w:tr>
        <w:tc>
          <w:tcPr>
            <w:tcW w:type="dxa" w:w="2551"/>
            <w:shd w:val="clear" w:color="auto" w:fill="F3F4F6"/>
          </w:tcPr>
          <w:p>
            <w:r>
              <w:rPr>
                <w:b/>
                <w:sz w:val="19"/>
              </w:rPr>
              <w:t>Project</w:t>
            </w:r>
          </w:p>
        </w:tc>
        <w:tc>
          <w:tcPr>
            <w:tcW w:type="dxa" w:w="7087"/>
          </w:tcPr>
          <w:p>
            <w:r>
              <w:rPr>
                <w:sz w:val="19"/>
              </w:rPr>
              <w:t>Odoo ERP Implementation - Graduation Project (simulation)</w:t>
            </w:r>
          </w:p>
        </w:tc>
      </w:tr>
      <w:tr>
        <w:tc>
          <w:tcPr>
            <w:tcW w:type="dxa" w:w="2551"/>
            <w:shd w:val="clear" w:color="auto" w:fill="F3F4F6"/>
          </w:tcPr>
          <w:p>
            <w:r>
              <w:rPr>
                <w:b/>
                <w:sz w:val="19"/>
              </w:rPr>
              <w:t>Document code</w:t>
            </w:r>
          </w:p>
        </w:tc>
        <w:tc>
          <w:tcPr>
            <w:tcW w:type="dxa" w:w="7087"/>
          </w:tcPr>
          <w:p>
            <w:r>
              <w:rPr>
                <w:sz w:val="19"/>
              </w:rPr>
              <w:t>RL-GAWF-001</w:t>
            </w:r>
          </w:p>
        </w:tc>
      </w:tr>
      <w:tr>
        <w:tc>
          <w:tcPr>
            <w:tcW w:type="dxa" w:w="2551"/>
            <w:shd w:val="clear" w:color="auto" w:fill="F3F4F6"/>
          </w:tcPr>
          <w:p>
            <w:r>
              <w:rPr>
                <w:b/>
                <w:sz w:val="19"/>
              </w:rPr>
              <w:t>Version</w:t>
            </w:r>
          </w:p>
        </w:tc>
        <w:tc>
          <w:tcPr>
            <w:tcW w:type="dxa" w:w="7087"/>
          </w:tcPr>
          <w:p>
            <w:r>
              <w:rPr>
                <w:sz w:val="19"/>
              </w:rPr>
              <w:t>1.0 (final)</w:t>
            </w:r>
          </w:p>
        </w:tc>
      </w:tr>
      <w:tr>
        <w:tc>
          <w:tcPr>
            <w:tcW w:type="dxa" w:w="2551"/>
            <w:shd w:val="clear" w:color="auto" w:fill="F3F4F6"/>
          </w:tcPr>
          <w:p>
            <w:r>
              <w:rPr>
                <w:b/>
                <w:sz w:val="19"/>
              </w:rPr>
              <w:t>Preparation date</w:t>
            </w:r>
          </w:p>
        </w:tc>
        <w:tc>
          <w:tcPr>
            <w:tcW w:type="dxa" w:w="7087"/>
          </w:tcPr>
          <w:p>
            <w:r>
              <w:rPr>
                <w:sz w:val="19"/>
              </w:rPr>
              <w:t>25 October 2026</w:t>
            </w:r>
          </w:p>
        </w:tc>
      </w:tr>
      <w:tr>
        <w:tc>
          <w:tcPr>
            <w:tcW w:type="dxa" w:w="2551"/>
            <w:shd w:val="clear" w:color="auto" w:fill="F3F4F6"/>
          </w:tcPr>
          <w:p>
            <w:r>
              <w:rPr>
                <w:b/>
                <w:sz w:val="19"/>
              </w:rPr>
              <w:t>Business reporting period</w:t>
            </w:r>
          </w:p>
        </w:tc>
        <w:tc>
          <w:tcPr>
            <w:tcW w:type="dxa" w:w="7087"/>
          </w:tcPr>
          <w:p>
            <w:r>
              <w:rPr>
                <w:sz w:val="19"/>
              </w:rPr>
              <w:t>1 May 2026 – 30 September 2026</w:t>
            </w:r>
          </w:p>
        </w:tc>
      </w:tr>
      <w:tr>
        <w:tc>
          <w:tcPr>
            <w:tcW w:type="dxa" w:w="2551"/>
            <w:shd w:val="clear" w:color="auto" w:fill="F3F4F6"/>
          </w:tcPr>
          <w:p>
            <w:r>
              <w:rPr>
                <w:b/>
                <w:sz w:val="19"/>
              </w:rPr>
              <w:t>Target platform</w:t>
            </w:r>
          </w:p>
        </w:tc>
        <w:tc>
          <w:tcPr>
            <w:tcW w:type="dxa" w:w="7087"/>
          </w:tcPr>
          <w:p>
            <w:r>
              <w:rPr>
                <w:sz w:val="19"/>
              </w:rPr>
              <w:t>Odoo 19.0 (Enterprise edition assumed)</w:t>
            </w:r>
          </w:p>
        </w:tc>
      </w:tr>
      <w:tr>
        <w:tc>
          <w:tcPr>
            <w:tcW w:type="dxa" w:w="2551"/>
            <w:shd w:val="clear" w:color="auto" w:fill="F3F4F6"/>
          </w:tcPr>
          <w:p>
            <w:r>
              <w:rPr>
                <w:b/>
                <w:sz w:val="19"/>
              </w:rPr>
              <w:t>Prepared by</w:t>
            </w:r>
          </w:p>
        </w:tc>
        <w:tc>
          <w:tcPr>
            <w:tcW w:type="dxa" w:w="7087"/>
          </w:tcPr>
          <w:p>
            <w:r>
              <w:rPr>
                <w:sz w:val="19"/>
              </w:rPr>
              <w:t>Mohamed Mahmoud Abdel Bary, Mohamed Essam El-Din Youssef, Ahmed Mahmoud Mohamed, Fathy Adel Fathy, Omnia Haitham</w:t>
            </w:r>
          </w:p>
        </w:tc>
      </w:tr>
      <w:tr>
        <w:tc>
          <w:tcPr>
            <w:tcW w:type="dxa" w:w="2551"/>
            <w:shd w:val="clear" w:color="auto" w:fill="F3F4F6"/>
          </w:tcPr>
          <w:p>
            <w:r>
              <w:rPr>
                <w:b/>
                <w:sz w:val="19"/>
              </w:rPr>
              <w:t>Currency</w:t>
            </w:r>
          </w:p>
        </w:tc>
        <w:tc>
          <w:tcPr>
            <w:tcW w:type="dxa" w:w="7087"/>
          </w:tcPr>
          <w:p>
            <w:r>
              <w:rPr>
                <w:sz w:val="19"/>
              </w:rPr>
              <w:t>EGP - Egyptian Pound</w:t>
            </w:r>
          </w:p>
        </w:tc>
      </w:tr>
    </w:tbl>
    <w:p>
      <w:pPr>
        <w:spacing w:before="280"/>
      </w:pPr>
      <w:r>
        <w:rPr>
          <w:i/>
          <w:color w:val="6B7280"/>
          <w:sz w:val="17"/>
        </w:rPr>
        <w:t>Disclaimer: all companies, partners, bank details and transactions in this project are fictional or illustrative simulation data. Nothing in this document claims that the configuration has been installed, imported or tested on a live Odoo server.</w:t>
      </w:r>
    </w:p>
    <w:p>
      <w:r>
        <w:br w:type="page"/>
      </w:r>
    </w:p>
    <w:p>
      <w:pPr>
        <w:pStyle w:val="Heading1"/>
      </w:pPr>
      <w:r>
        <w:t>Contents</w:t>
      </w:r>
    </w:p>
    <w:tbl>
      <w:tblPr>
        <w:tblStyle w:val="TableGrid"/>
        <w:tblW w:type="auto" w:w="0"/>
        <w:tblLook w:firstColumn="1" w:firstRow="1" w:lastColumn="0" w:lastRow="0" w:noHBand="0" w:noVBand="1" w:val="04A0"/>
      </w:tblPr>
      <w:tblGrid>
        <w:gridCol w:w="4819"/>
        <w:gridCol w:w="4819"/>
      </w:tblGrid>
      <w:tr>
        <w:tc>
          <w:tcPr>
            <w:tcW w:type="dxa" w:w="1134"/>
            <w:shd w:val="clear" w:color="auto" w:fill="F9FAFB"/>
          </w:tcPr>
          <w:p>
            <w:r>
              <w:rPr>
                <w:sz w:val="19"/>
              </w:rPr>
              <w:t>1</w:t>
            </w:r>
          </w:p>
        </w:tc>
        <w:tc>
          <w:tcPr>
            <w:tcW w:type="dxa" w:w="8504"/>
            <w:shd w:val="clear" w:color="auto" w:fill="F9FAFB"/>
          </w:tcPr>
          <w:p>
            <w:r>
              <w:rPr>
                <w:sz w:val="19"/>
              </w:rPr>
              <w:t>Definition and method</w:t>
            </w:r>
          </w:p>
        </w:tc>
      </w:tr>
      <w:tr>
        <w:tc>
          <w:tcPr>
            <w:tcW w:type="dxa" w:w="1134"/>
          </w:tcPr>
          <w:p>
            <w:r>
              <w:rPr>
                <w:sz w:val="19"/>
              </w:rPr>
              <w:t>2</w:t>
            </w:r>
          </w:p>
        </w:tc>
        <w:tc>
          <w:tcPr>
            <w:tcW w:type="dxa" w:w="8504"/>
          </w:tcPr>
          <w:p>
            <w:r>
              <w:rPr>
                <w:sz w:val="19"/>
              </w:rPr>
              <w:t>Baseline: simulated legacy / manual processes</w:t>
            </w:r>
          </w:p>
        </w:tc>
      </w:tr>
      <w:tr>
        <w:tc>
          <w:tcPr>
            <w:tcW w:type="dxa" w:w="1134"/>
            <w:shd w:val="clear" w:color="auto" w:fill="F9FAFB"/>
          </w:tcPr>
          <w:p>
            <w:r>
              <w:rPr>
                <w:sz w:val="19"/>
              </w:rPr>
              <w:t>3</w:t>
            </w:r>
          </w:p>
        </w:tc>
        <w:tc>
          <w:tcPr>
            <w:tcW w:type="dxa" w:w="8504"/>
            <w:shd w:val="clear" w:color="auto" w:fill="F9FAFB"/>
          </w:tcPr>
          <w:p>
            <w:r>
              <w:rPr>
                <w:sz w:val="19"/>
              </w:rPr>
              <w:t>Workflow comparison</w:t>
            </w:r>
          </w:p>
        </w:tc>
      </w:tr>
      <w:tr>
        <w:tc>
          <w:tcPr>
            <w:tcW w:type="dxa" w:w="1134"/>
          </w:tcPr>
          <w:p>
            <w:r>
              <w:rPr>
                <w:sz w:val="19"/>
              </w:rPr>
              <w:t>4</w:t>
            </w:r>
          </w:p>
        </w:tc>
        <w:tc>
          <w:tcPr>
            <w:tcW w:type="dxa" w:w="8504"/>
          </w:tcPr>
          <w:p>
            <w:r>
              <w:rPr>
                <w:sz w:val="19"/>
              </w:rPr>
              <w:t>Gap register</w:t>
            </w:r>
          </w:p>
        </w:tc>
      </w:tr>
      <w:tr>
        <w:tc>
          <w:tcPr>
            <w:tcW w:type="dxa" w:w="1134"/>
            <w:shd w:val="clear" w:color="auto" w:fill="F9FAFB"/>
          </w:tcPr>
          <w:p>
            <w:r>
              <w:rPr>
                <w:sz w:val="19"/>
              </w:rPr>
              <w:t>5</w:t>
            </w:r>
          </w:p>
        </w:tc>
        <w:tc>
          <w:tcPr>
            <w:tcW w:type="dxa" w:w="8504"/>
            <w:shd w:val="clear" w:color="auto" w:fill="F9FAFB"/>
          </w:tcPr>
          <w:p>
            <w:r>
              <w:rPr>
                <w:sz w:val="19"/>
              </w:rPr>
              <w:t>Gap summary</w:t>
            </w:r>
          </w:p>
        </w:tc>
      </w:tr>
      <w:tr>
        <w:tc>
          <w:tcPr>
            <w:tcW w:type="dxa" w:w="1134"/>
          </w:tcPr>
          <w:p>
            <w:r>
              <w:rPr>
                <w:sz w:val="19"/>
              </w:rPr>
              <w:t>6</w:t>
            </w:r>
          </w:p>
        </w:tc>
        <w:tc>
          <w:tcPr>
            <w:tcW w:type="dxa" w:w="8504"/>
          </w:tcPr>
          <w:p>
            <w:r>
              <w:rPr>
                <w:sz w:val="19"/>
              </w:rPr>
              <w:t>Validation plan</w:t>
            </w:r>
          </w:p>
        </w:tc>
      </w:tr>
      <w:tr>
        <w:tc>
          <w:tcPr>
            <w:tcW w:type="dxa" w:w="1134"/>
            <w:shd w:val="clear" w:color="auto" w:fill="F9FAFB"/>
          </w:tcPr>
          <w:p>
            <w:r>
              <w:rPr>
                <w:sz w:val="19"/>
              </w:rPr>
              <w:t>7</w:t>
            </w:r>
          </w:p>
        </w:tc>
        <w:tc>
          <w:tcPr>
            <w:tcW w:type="dxa" w:w="8504"/>
            <w:shd w:val="clear" w:color="auto" w:fill="F9FAFB"/>
          </w:tcPr>
          <w:p>
            <w:r>
              <w:rPr>
                <w:sz w:val="19"/>
              </w:rPr>
              <w:t>Conclusions</w:t>
            </w:r>
          </w:p>
        </w:tc>
      </w:tr>
    </w:tbl>
    <w:p>
      <w:r>
        <w:rPr>
          <w:i/>
          <w:color w:val="6B7280"/>
          <w:sz w:val="17"/>
        </w:rPr>
        <w:t>Section numbers are used for cross-references throughout the document set (e.g. 'SSD 4.2' = Solution Design Document, section 4.2).</w:t>
      </w:r>
    </w:p>
    <w:p>
      <w:r>
        <w:br w:type="page"/>
      </w:r>
    </w:p>
    <w:p>
      <w:pPr>
        <w:pStyle w:val="Heading1"/>
      </w:pPr>
      <w:r>
        <w:t>1. Definition and method</w:t>
      </w:r>
    </w:p>
    <w:p>
      <w:r>
        <w:rPr>
          <w:b/>
          <w:i w:val="0"/>
        </w:rPr>
        <w:t>GAWF</w:t>
      </w:r>
      <w:r>
        <w:rPr>
          <w:b w:val="0"/>
          <w:i w:val="0"/>
        </w:rPr>
        <w:t xml:space="preserve"> means </w:t>
      </w:r>
      <w:r>
        <w:rPr>
          <w:b w:val="0"/>
          <w:i/>
        </w:rPr>
        <w:t>Gap Analysis and Workflow documentation</w:t>
      </w:r>
      <w:r>
        <w:rPr>
          <w:b w:val="0"/>
          <w:i w:val="0"/>
        </w:rPr>
        <w:t xml:space="preserve"> for this project. It compares the simulated legacy/manual process baseline of RedLine with the proposed Odoo process and, for each gap, states the solution, the standard Odoo capability, the configuration, any customization, priority, owner and validation method.</w:t>
      </w:r>
    </w:p>
    <w:tbl>
      <w:tblPr>
        <w:tblStyle w:val="TableGrid"/>
        <w:tblW w:type="auto" w:w="0"/>
        <w:tblLook w:firstColumn="1" w:firstRow="1" w:lastColumn="0" w:lastRow="0" w:noHBand="0" w:noVBand="1" w:val="04A0"/>
      </w:tblPr>
      <w:tblGrid>
        <w:gridCol w:w="9638"/>
      </w:tblGrid>
      <w:tr>
        <w:tc>
          <w:tcPr>
            <w:tcW w:type="dxa" w:w="9638"/>
            <w:shd w:val="clear" w:color="auto" w:fill="FFF7ED"/>
          </w:tcPr>
          <w:p>
            <w:r/>
            <w:r>
              <w:rPr>
                <w:b/>
                <w:color w:val="C8102E"/>
                <w:sz w:val="19"/>
              </w:rPr>
              <w:t xml:space="preserve">Basis.  </w:t>
            </w:r>
            <w:r>
              <w:rPr>
                <w:b w:val="0"/>
                <w:i w:val="0"/>
                <w:sz w:val="19"/>
              </w:rPr>
              <w:t>The baseline is a simulated manual process description. No real legacy software platform is named or assumed. Gaps are validated by design review and simulated data; none has been validated on a live Odoo server.</w:t>
            </w:r>
          </w:p>
        </w:tc>
      </w:tr>
    </w:tbl>
    <w:p>
      <w:pPr>
        <w:spacing w:after="40"/>
      </w:pPr>
    </w:p>
    <w:p>
      <w:r>
        <w:rPr>
          <w:b w:val="0"/>
          <w:i w:val="0"/>
        </w:rPr>
        <w:t>Method: (1) describe the as-is process with its owners; (2) describe the to-be process in Odoo; (3) classify each difference as a gap; (4) link every gap to requirements (BRD) and test cases (UATD); (5) rate priority (High = needed for go-live, Medium = needed within 3 months, Low = optional).</w:t>
      </w:r>
    </w:p>
    <w:p>
      <w:pPr>
        <w:pStyle w:val="Heading1"/>
      </w:pPr>
      <w:r>
        <w:t>2. Baseline: simulated legacy / manual processes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814"/>
        <w:gridCol w:w="4535"/>
        <w:gridCol w:w="3288"/>
      </w:tblGrid>
      <w:tr>
        <w:trPr>
          <w:tblHeader w:val="true"/>
        </w:trPr>
        <w:tc>
          <w:tcPr>
            <w:tcW w:type="dxa" w:w="1814"/>
            <w:shd w:val="clear" w:color="auto" w:fill="C8102E"/>
          </w:tcPr>
          <w:p>
            <w:r/>
            <w:r>
              <w:rPr>
                <w:b/>
                <w:color w:val="FFFFFF"/>
                <w:sz w:val="17"/>
              </w:rPr>
              <w:t>Area</w:t>
            </w:r>
          </w:p>
        </w:tc>
        <w:tc>
          <w:tcPr>
            <w:tcW w:type="dxa" w:w="4535"/>
            <w:shd w:val="clear" w:color="auto" w:fill="C8102E"/>
          </w:tcPr>
          <w:p>
            <w:r/>
            <w:r>
              <w:rPr>
                <w:b/>
                <w:color w:val="FFFFFF"/>
                <w:sz w:val="17"/>
              </w:rPr>
              <w:t>Baseline description</w:t>
            </w:r>
          </w:p>
        </w:tc>
        <w:tc>
          <w:tcPr>
            <w:tcW w:type="dxa" w:w="3288"/>
            <w:shd w:val="clear" w:color="auto" w:fill="C8102E"/>
          </w:tcPr>
          <w:p>
            <w:r/>
            <w:r>
              <w:rPr>
                <w:b/>
                <w:color w:val="FFFFFF"/>
                <w:sz w:val="17"/>
              </w:rPr>
              <w:t>Evidence in simulation</w:t>
            </w:r>
          </w:p>
        </w:tc>
      </w:tr>
      <w:tr>
        <w:trPr>
          <w:cantSplit w:val="true"/>
        </w:trPr>
        <w:tc>
          <w:tcPr>
            <w:tcW w:type="dxa" w:w="1814"/>
          </w:tcPr>
          <w:p>
            <w:pPr>
              <w:spacing w:after="0"/>
            </w:pPr>
            <w:r/>
            <w:r>
              <w:rPr>
                <w:b w:val="0"/>
                <w:i w:val="0"/>
                <w:sz w:val="17"/>
              </w:rPr>
              <w:t>Stock records</w:t>
            </w:r>
          </w:p>
        </w:tc>
        <w:tc>
          <w:tcPr>
            <w:tcW w:type="dxa" w:w="4535"/>
          </w:tcPr>
          <w:p>
            <w:pPr>
              <w:spacing w:after="0"/>
            </w:pPr>
            <w:r/>
            <w:r>
              <w:rPr>
                <w:b w:val="0"/>
                <w:i w:val="0"/>
                <w:sz w:val="17"/>
              </w:rPr>
              <w:t>Stock cards and spreadsheets per warehouse; counted quarterly</w:t>
            </w:r>
          </w:p>
        </w:tc>
        <w:tc>
          <w:tcPr>
            <w:tcW w:type="dxa" w:w="3288"/>
          </w:tcPr>
          <w:p>
            <w:pPr>
              <w:spacing w:after="0"/>
            </w:pPr>
            <w:r/>
            <w:r>
              <w:rPr>
                <w:b w:val="0"/>
                <w:i w:val="0"/>
                <w:sz w:val="17"/>
              </w:rPr>
              <w:t>548 stock moves in 5 months to be captured system-side</w:t>
            </w:r>
          </w:p>
        </w:tc>
      </w:tr>
      <w:tr>
        <w:trPr>
          <w:cantSplit w:val="true"/>
        </w:trPr>
        <w:tc>
          <w:tcPr>
            <w:tcW w:type="dxa" w:w="1814"/>
            <w:shd w:val="clear" w:color="auto" w:fill="F9FAFB"/>
          </w:tcPr>
          <w:p>
            <w:pPr>
              <w:spacing w:after="0"/>
            </w:pPr>
            <w:r/>
            <w:r>
              <w:rPr>
                <w:b w:val="0"/>
                <w:i w:val="0"/>
                <w:sz w:val="17"/>
              </w:rPr>
              <w:t>Lots and expiry</w:t>
            </w:r>
          </w:p>
        </w:tc>
        <w:tc>
          <w:tcPr>
            <w:tcW w:type="dxa" w:w="4535"/>
            <w:shd w:val="clear" w:color="auto" w:fill="F9FAFB"/>
          </w:tcPr>
          <w:p>
            <w:pPr>
              <w:spacing w:after="0"/>
            </w:pPr>
            <w:r/>
            <w:r>
              <w:rPr>
                <w:b w:val="0"/>
                <w:i w:val="0"/>
                <w:sz w:val="17"/>
              </w:rPr>
              <w:t>Expiry written on cartons; no lot register</w:t>
            </w:r>
          </w:p>
        </w:tc>
        <w:tc>
          <w:tcPr>
            <w:tcW w:type="dxa" w:w="3288"/>
            <w:shd w:val="clear" w:color="auto" w:fill="F9FAFB"/>
          </w:tcPr>
          <w:p>
            <w:pPr>
              <w:spacing w:after="0"/>
            </w:pPr>
            <w:r/>
            <w:r>
              <w:rPr>
                <w:b w:val="0"/>
                <w:i w:val="0"/>
                <w:sz w:val="17"/>
              </w:rPr>
              <w:t>42 lots/batches; 1 expiry-tracked lots now at period end within 60 days</w:t>
            </w:r>
          </w:p>
        </w:tc>
      </w:tr>
      <w:tr>
        <w:trPr>
          <w:cantSplit w:val="true"/>
        </w:trPr>
        <w:tc>
          <w:tcPr>
            <w:tcW w:type="dxa" w:w="1814"/>
          </w:tcPr>
          <w:p>
            <w:pPr>
              <w:spacing w:after="0"/>
            </w:pPr>
            <w:r/>
            <w:r>
              <w:rPr>
                <w:b w:val="0"/>
                <w:i w:val="0"/>
                <w:sz w:val="17"/>
              </w:rPr>
              <w:t>Serials</w:t>
            </w:r>
          </w:p>
        </w:tc>
        <w:tc>
          <w:tcPr>
            <w:tcW w:type="dxa" w:w="4535"/>
          </w:tcPr>
          <w:p>
            <w:pPr>
              <w:spacing w:after="0"/>
            </w:pPr>
            <w:r/>
            <w:r>
              <w:rPr>
                <w:b w:val="0"/>
                <w:i w:val="0"/>
                <w:sz w:val="17"/>
              </w:rPr>
              <w:t>Serial numbers on paper delivery notes</w:t>
            </w:r>
          </w:p>
        </w:tc>
        <w:tc>
          <w:tcPr>
            <w:tcW w:type="dxa" w:w="3288"/>
          </w:tcPr>
          <w:p>
            <w:pPr>
              <w:spacing w:after="0"/>
            </w:pPr>
            <w:r/>
            <w:r>
              <w:rPr>
                <w:b w:val="0"/>
                <w:i w:val="0"/>
                <w:sz w:val="17"/>
              </w:rPr>
              <w:t>186 serial units</w:t>
            </w:r>
          </w:p>
        </w:tc>
      </w:tr>
      <w:tr>
        <w:trPr>
          <w:cantSplit w:val="true"/>
        </w:trPr>
        <w:tc>
          <w:tcPr>
            <w:tcW w:type="dxa" w:w="1814"/>
            <w:shd w:val="clear" w:color="auto" w:fill="F9FAFB"/>
          </w:tcPr>
          <w:p>
            <w:pPr>
              <w:spacing w:after="0"/>
            </w:pPr>
            <w:r/>
            <w:r>
              <w:rPr>
                <w:b w:val="0"/>
                <w:i w:val="0"/>
                <w:sz w:val="17"/>
              </w:rPr>
              <w:t>Receivables</w:t>
            </w:r>
          </w:p>
        </w:tc>
        <w:tc>
          <w:tcPr>
            <w:tcW w:type="dxa" w:w="4535"/>
            <w:shd w:val="clear" w:color="auto" w:fill="F9FAFB"/>
          </w:tcPr>
          <w:p>
            <w:pPr>
              <w:spacing w:after="0"/>
            </w:pPr>
            <w:r/>
            <w:r>
              <w:rPr>
                <w:b w:val="0"/>
                <w:i w:val="0"/>
                <w:sz w:val="17"/>
              </w:rPr>
              <w:t>Spreadsheet balances; manual reminders</w:t>
            </w:r>
          </w:p>
        </w:tc>
        <w:tc>
          <w:tcPr>
            <w:tcW w:type="dxa" w:w="3288"/>
            <w:shd w:val="clear" w:color="auto" w:fill="F9FAFB"/>
          </w:tcPr>
          <w:p>
            <w:pPr>
              <w:spacing w:after="0"/>
            </w:pPr>
            <w:r/>
            <w:r>
              <w:rPr>
                <w:b w:val="0"/>
                <w:i w:val="0"/>
                <w:sz w:val="17"/>
              </w:rPr>
              <w:t>EGP 29,532,073 outstanding at 30-Sep-2026</w:t>
            </w:r>
          </w:p>
        </w:tc>
      </w:tr>
      <w:tr>
        <w:trPr>
          <w:cantSplit w:val="true"/>
        </w:trPr>
        <w:tc>
          <w:tcPr>
            <w:tcW w:type="dxa" w:w="1814"/>
          </w:tcPr>
          <w:p>
            <w:pPr>
              <w:spacing w:after="0"/>
            </w:pPr>
            <w:r/>
            <w:r>
              <w:rPr>
                <w:b w:val="0"/>
                <w:i w:val="0"/>
                <w:sz w:val="17"/>
              </w:rPr>
              <w:t>Returns</w:t>
            </w:r>
          </w:p>
        </w:tc>
        <w:tc>
          <w:tcPr>
            <w:tcW w:type="dxa" w:w="4535"/>
          </w:tcPr>
          <w:p>
            <w:pPr>
              <w:spacing w:after="0"/>
            </w:pPr>
            <w:r/>
            <w:r>
              <w:rPr>
                <w:b w:val="0"/>
                <w:i w:val="0"/>
                <w:sz w:val="17"/>
              </w:rPr>
              <w:t>Informal handling</w:t>
            </w:r>
          </w:p>
        </w:tc>
        <w:tc>
          <w:tcPr>
            <w:tcW w:type="dxa" w:w="3288"/>
          </w:tcPr>
          <w:p>
            <w:pPr>
              <w:spacing w:after="0"/>
            </w:pPr>
            <w:r/>
            <w:r>
              <w:rPr>
                <w:b w:val="0"/>
                <w:i w:val="0"/>
                <w:sz w:val="17"/>
              </w:rPr>
              <w:t>9 customer returns, 2 supplier returns, 8 scrap events</w:t>
            </w:r>
          </w:p>
        </w:tc>
      </w:tr>
    </w:tbl>
    <w:p>
      <w:pPr>
        <w:spacing w:after="40"/>
      </w:pPr>
    </w:p>
    <w:p>
      <w:pPr>
        <w:pStyle w:val="Heading1"/>
      </w:pPr>
      <w:r>
        <w:t>3. Workflow comparison</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587"/>
        <w:gridCol w:w="2835"/>
        <w:gridCol w:w="3402"/>
        <w:gridCol w:w="1814"/>
      </w:tblGrid>
      <w:tr>
        <w:trPr>
          <w:tblHeader w:val="true"/>
        </w:trPr>
        <w:tc>
          <w:tcPr>
            <w:tcW w:type="dxa" w:w="1587"/>
            <w:shd w:val="clear" w:color="auto" w:fill="C8102E"/>
          </w:tcPr>
          <w:p>
            <w:r/>
            <w:r>
              <w:rPr>
                <w:b/>
                <w:color w:val="FFFFFF"/>
                <w:sz w:val="16"/>
              </w:rPr>
              <w:t>Process</w:t>
            </w:r>
          </w:p>
        </w:tc>
        <w:tc>
          <w:tcPr>
            <w:tcW w:type="dxa" w:w="2835"/>
            <w:shd w:val="clear" w:color="auto" w:fill="C8102E"/>
          </w:tcPr>
          <w:p>
            <w:r/>
            <w:r>
              <w:rPr>
                <w:b/>
                <w:color w:val="FFFFFF"/>
                <w:sz w:val="16"/>
              </w:rPr>
              <w:t>As-is (manual)</w:t>
            </w:r>
          </w:p>
        </w:tc>
        <w:tc>
          <w:tcPr>
            <w:tcW w:type="dxa" w:w="3402"/>
            <w:shd w:val="clear" w:color="auto" w:fill="C8102E"/>
          </w:tcPr>
          <w:p>
            <w:r/>
            <w:r>
              <w:rPr>
                <w:b/>
                <w:color w:val="FFFFFF"/>
                <w:sz w:val="16"/>
              </w:rPr>
              <w:t>To-be (Odoo)</w:t>
            </w:r>
          </w:p>
        </w:tc>
        <w:tc>
          <w:tcPr>
            <w:tcW w:type="dxa" w:w="1814"/>
            <w:shd w:val="clear" w:color="auto" w:fill="C8102E"/>
          </w:tcPr>
          <w:p>
            <w:r/>
            <w:r>
              <w:rPr>
                <w:b/>
                <w:color w:val="FFFFFF"/>
                <w:sz w:val="16"/>
              </w:rPr>
              <w:t>Key difference</w:t>
            </w:r>
          </w:p>
        </w:tc>
      </w:tr>
      <w:tr>
        <w:trPr>
          <w:cantSplit w:val="true"/>
        </w:trPr>
        <w:tc>
          <w:tcPr>
            <w:tcW w:type="dxa" w:w="1587"/>
          </w:tcPr>
          <w:p>
            <w:pPr>
              <w:spacing w:after="0"/>
            </w:pPr>
            <w:r/>
            <w:r>
              <w:rPr>
                <w:b w:val="0"/>
                <w:i w:val="0"/>
                <w:sz w:val="16"/>
              </w:rPr>
              <w:t>Procure-to-Pay</w:t>
            </w:r>
          </w:p>
        </w:tc>
        <w:tc>
          <w:tcPr>
            <w:tcW w:type="dxa" w:w="2835"/>
          </w:tcPr>
          <w:p>
            <w:pPr>
              <w:spacing w:after="0"/>
            </w:pPr>
            <w:r/>
            <w:r>
              <w:rPr>
                <w:b w:val="0"/>
                <w:i w:val="0"/>
                <w:sz w:val="16"/>
              </w:rPr>
              <w:t>Email RFQ -&gt; spreadsheet PO -&gt; paper GRN -&gt; typed bill -&gt; manual payment list</w:t>
            </w:r>
          </w:p>
        </w:tc>
        <w:tc>
          <w:tcPr>
            <w:tcW w:type="dxa" w:w="3402"/>
          </w:tcPr>
          <w:p>
            <w:pPr>
              <w:spacing w:after="0"/>
            </w:pPr>
            <w:r/>
            <w:r>
              <w:rPr>
                <w:b w:val="0"/>
                <w:i w:val="0"/>
                <w:sz w:val="16"/>
              </w:rPr>
              <w:t>Reordering rule -&gt; RFQ -&gt; approved PO -&gt; receipt (lot/serial/expiry) -&gt; QC -&gt; matched bill -&gt; payment reconciliation</w:t>
            </w:r>
          </w:p>
        </w:tc>
        <w:tc>
          <w:tcPr>
            <w:tcW w:type="dxa" w:w="1814"/>
          </w:tcPr>
          <w:p>
            <w:pPr>
              <w:spacing w:after="0"/>
            </w:pPr>
            <w:r/>
            <w:r>
              <w:rPr>
                <w:b w:val="0"/>
                <w:i w:val="0"/>
                <w:sz w:val="16"/>
              </w:rPr>
              <w:t>Controlled, traceable and matched</w:t>
            </w:r>
          </w:p>
        </w:tc>
      </w:tr>
      <w:tr>
        <w:trPr>
          <w:cantSplit w:val="true"/>
        </w:trPr>
        <w:tc>
          <w:tcPr>
            <w:tcW w:type="dxa" w:w="1587"/>
            <w:shd w:val="clear" w:color="auto" w:fill="F9FAFB"/>
          </w:tcPr>
          <w:p>
            <w:pPr>
              <w:spacing w:after="0"/>
            </w:pPr>
            <w:r/>
            <w:r>
              <w:rPr>
                <w:b w:val="0"/>
                <w:i w:val="0"/>
                <w:sz w:val="16"/>
              </w:rPr>
              <w:t>Order-to-Cash</w:t>
            </w:r>
          </w:p>
        </w:tc>
        <w:tc>
          <w:tcPr>
            <w:tcW w:type="dxa" w:w="2835"/>
            <w:shd w:val="clear" w:color="auto" w:fill="F9FAFB"/>
          </w:tcPr>
          <w:p>
            <w:pPr>
              <w:spacing w:after="0"/>
            </w:pPr>
            <w:r/>
            <w:r>
              <w:rPr>
                <w:b w:val="0"/>
                <w:i w:val="0"/>
                <w:sz w:val="16"/>
              </w:rPr>
              <w:t>Quote in Excel -&gt; paper delivery -&gt; typed invoice -&gt; spreadsheet collection</w:t>
            </w:r>
          </w:p>
        </w:tc>
        <w:tc>
          <w:tcPr>
            <w:tcW w:type="dxa" w:w="3402"/>
            <w:shd w:val="clear" w:color="auto" w:fill="F9FAFB"/>
          </w:tcPr>
          <w:p>
            <w:pPr>
              <w:spacing w:after="0"/>
            </w:pPr>
            <w:r/>
            <w:r>
              <w:rPr>
                <w:b w:val="0"/>
                <w:i w:val="0"/>
                <w:sz w:val="16"/>
              </w:rPr>
              <w:t>Pricelist quote -&gt; credit check -&gt; reserved FEFO delivery -&gt; invoice -&gt; payment matching</w:t>
            </w:r>
          </w:p>
        </w:tc>
        <w:tc>
          <w:tcPr>
            <w:tcW w:type="dxa" w:w="1814"/>
            <w:shd w:val="clear" w:color="auto" w:fill="F9FAFB"/>
          </w:tcPr>
          <w:p>
            <w:pPr>
              <w:spacing w:after="0"/>
            </w:pPr>
            <w:r/>
            <w:r>
              <w:rPr>
                <w:b w:val="0"/>
                <w:i w:val="0"/>
                <w:sz w:val="16"/>
              </w:rPr>
              <w:t>Automatic, credit-controlled</w:t>
            </w:r>
          </w:p>
        </w:tc>
      </w:tr>
      <w:tr>
        <w:trPr>
          <w:cantSplit w:val="true"/>
        </w:trPr>
        <w:tc>
          <w:tcPr>
            <w:tcW w:type="dxa" w:w="1587"/>
          </w:tcPr>
          <w:p>
            <w:pPr>
              <w:spacing w:after="0"/>
            </w:pPr>
            <w:r/>
            <w:r>
              <w:rPr>
                <w:b w:val="0"/>
                <w:i w:val="0"/>
                <w:sz w:val="16"/>
              </w:rPr>
              <w:t>Receipt &amp; putaway</w:t>
            </w:r>
          </w:p>
        </w:tc>
        <w:tc>
          <w:tcPr>
            <w:tcW w:type="dxa" w:w="2835"/>
          </w:tcPr>
          <w:p>
            <w:pPr>
              <w:spacing w:after="0"/>
            </w:pPr>
            <w:r/>
            <w:r>
              <w:rPr>
                <w:b w:val="0"/>
                <w:i w:val="0"/>
                <w:sz w:val="16"/>
              </w:rPr>
              <w:t>Goods placed on shelves</w:t>
            </w:r>
          </w:p>
        </w:tc>
        <w:tc>
          <w:tcPr>
            <w:tcW w:type="dxa" w:w="3402"/>
          </w:tcPr>
          <w:p>
            <w:pPr>
              <w:spacing w:after="0"/>
            </w:pPr>
            <w:r/>
            <w:r>
              <w:rPr>
                <w:b w:val="0"/>
                <w:i w:val="0"/>
                <w:sz w:val="16"/>
              </w:rPr>
              <w:t>Input -&gt; check -&gt; Stock/Quarantine</w:t>
            </w:r>
          </w:p>
        </w:tc>
        <w:tc>
          <w:tcPr>
            <w:tcW w:type="dxa" w:w="1814"/>
          </w:tcPr>
          <w:p>
            <w:pPr>
              <w:spacing w:after="0"/>
            </w:pPr>
            <w:r/>
            <w:r>
              <w:rPr>
                <w:b w:val="0"/>
                <w:i w:val="0"/>
                <w:sz w:val="16"/>
              </w:rPr>
              <w:t>Failed goods isolated</w:t>
            </w:r>
          </w:p>
        </w:tc>
      </w:tr>
      <w:tr>
        <w:trPr>
          <w:cantSplit w:val="true"/>
        </w:trPr>
        <w:tc>
          <w:tcPr>
            <w:tcW w:type="dxa" w:w="1587"/>
            <w:shd w:val="clear" w:color="auto" w:fill="F9FAFB"/>
          </w:tcPr>
          <w:p>
            <w:pPr>
              <w:spacing w:after="0"/>
            </w:pPr>
            <w:r/>
            <w:r>
              <w:rPr>
                <w:b w:val="0"/>
                <w:i w:val="0"/>
                <w:sz w:val="16"/>
              </w:rPr>
              <w:t>Transfers</w:t>
            </w:r>
          </w:p>
        </w:tc>
        <w:tc>
          <w:tcPr>
            <w:tcW w:type="dxa" w:w="2835"/>
            <w:shd w:val="clear" w:color="auto" w:fill="F9FAFB"/>
          </w:tcPr>
          <w:p>
            <w:pPr>
              <w:spacing w:after="0"/>
            </w:pPr>
            <w:r/>
            <w:r>
              <w:rPr>
                <w:b w:val="0"/>
                <w:i w:val="0"/>
                <w:sz w:val="16"/>
              </w:rPr>
              <w:t>Verbal</w:t>
            </w:r>
          </w:p>
        </w:tc>
        <w:tc>
          <w:tcPr>
            <w:tcW w:type="dxa" w:w="3402"/>
            <w:shd w:val="clear" w:color="auto" w:fill="F9FAFB"/>
          </w:tcPr>
          <w:p>
            <w:pPr>
              <w:spacing w:after="0"/>
            </w:pPr>
            <w:r/>
            <w:r>
              <w:rPr>
                <w:b w:val="0"/>
                <w:i w:val="0"/>
                <w:sz w:val="16"/>
              </w:rPr>
              <w:t>Internal transfer with validation</w:t>
            </w:r>
          </w:p>
        </w:tc>
        <w:tc>
          <w:tcPr>
            <w:tcW w:type="dxa" w:w="1814"/>
            <w:shd w:val="clear" w:color="auto" w:fill="F9FAFB"/>
          </w:tcPr>
          <w:p>
            <w:pPr>
              <w:spacing w:after="0"/>
            </w:pPr>
            <w:r/>
            <w:r>
              <w:rPr>
                <w:b w:val="0"/>
                <w:i w:val="0"/>
                <w:sz w:val="16"/>
              </w:rPr>
              <w:t>No double counting</w:t>
            </w:r>
          </w:p>
        </w:tc>
      </w:tr>
      <w:tr>
        <w:trPr>
          <w:cantSplit w:val="true"/>
        </w:trPr>
        <w:tc>
          <w:tcPr>
            <w:tcW w:type="dxa" w:w="1587"/>
          </w:tcPr>
          <w:p>
            <w:pPr>
              <w:spacing w:after="0"/>
            </w:pPr>
            <w:r/>
            <w:r>
              <w:rPr>
                <w:b w:val="0"/>
                <w:i w:val="0"/>
                <w:sz w:val="16"/>
              </w:rPr>
              <w:t>Returns &amp; quarantine</w:t>
            </w:r>
          </w:p>
        </w:tc>
        <w:tc>
          <w:tcPr>
            <w:tcW w:type="dxa" w:w="2835"/>
          </w:tcPr>
          <w:p>
            <w:pPr>
              <w:spacing w:after="0"/>
            </w:pPr>
            <w:r/>
            <w:r>
              <w:rPr>
                <w:b w:val="0"/>
                <w:i w:val="0"/>
                <w:sz w:val="16"/>
              </w:rPr>
              <w:t>Back on shelf or discarded</w:t>
            </w:r>
          </w:p>
        </w:tc>
        <w:tc>
          <w:tcPr>
            <w:tcW w:type="dxa" w:w="3402"/>
          </w:tcPr>
          <w:p>
            <w:pPr>
              <w:spacing w:after="0"/>
            </w:pPr>
            <w:r/>
            <w:r>
              <w:rPr>
                <w:b w:val="0"/>
                <w:i w:val="0"/>
                <w:sz w:val="16"/>
              </w:rPr>
              <w:t>QRT with disposition and credit/debit note</w:t>
            </w:r>
          </w:p>
        </w:tc>
        <w:tc>
          <w:tcPr>
            <w:tcW w:type="dxa" w:w="1814"/>
          </w:tcPr>
          <w:p>
            <w:pPr>
              <w:spacing w:after="0"/>
            </w:pPr>
            <w:r/>
            <w:r>
              <w:rPr>
                <w:b w:val="0"/>
                <w:i w:val="0"/>
                <w:sz w:val="16"/>
              </w:rPr>
              <w:t>Safe and accounted</w:t>
            </w:r>
          </w:p>
        </w:tc>
      </w:tr>
      <w:tr>
        <w:trPr>
          <w:cantSplit w:val="true"/>
        </w:trPr>
        <w:tc>
          <w:tcPr>
            <w:tcW w:type="dxa" w:w="1587"/>
            <w:shd w:val="clear" w:color="auto" w:fill="F9FAFB"/>
          </w:tcPr>
          <w:p>
            <w:pPr>
              <w:spacing w:after="0"/>
            </w:pPr>
            <w:r/>
            <w:r>
              <w:rPr>
                <w:b w:val="0"/>
                <w:i w:val="0"/>
                <w:sz w:val="16"/>
              </w:rPr>
              <w:t>Period close</w:t>
            </w:r>
          </w:p>
        </w:tc>
        <w:tc>
          <w:tcPr>
            <w:tcW w:type="dxa" w:w="2835"/>
            <w:shd w:val="clear" w:color="auto" w:fill="F9FAFB"/>
          </w:tcPr>
          <w:p>
            <w:pPr>
              <w:spacing w:after="0"/>
            </w:pPr>
            <w:r/>
            <w:r>
              <w:rPr>
                <w:b w:val="0"/>
                <w:i w:val="0"/>
                <w:sz w:val="16"/>
              </w:rPr>
              <w:t>Quarterly count; late adjustments</w:t>
            </w:r>
          </w:p>
        </w:tc>
        <w:tc>
          <w:tcPr>
            <w:tcW w:type="dxa" w:w="3402"/>
            <w:shd w:val="clear" w:color="auto" w:fill="F9FAFB"/>
          </w:tcPr>
          <w:p>
            <w:pPr>
              <w:spacing w:after="0"/>
            </w:pPr>
            <w:r/>
            <w:r>
              <w:rPr>
                <w:b w:val="0"/>
                <w:i w:val="0"/>
                <w:sz w:val="16"/>
              </w:rPr>
              <w:t>Monthly valuation-to-GL reconciliation, AR/AP control</w:t>
            </w:r>
          </w:p>
        </w:tc>
        <w:tc>
          <w:tcPr>
            <w:tcW w:type="dxa" w:w="1814"/>
            <w:shd w:val="clear" w:color="auto" w:fill="F9FAFB"/>
          </w:tcPr>
          <w:p>
            <w:pPr>
              <w:spacing w:after="0"/>
            </w:pPr>
            <w:r/>
            <w:r>
              <w:rPr>
                <w:b w:val="0"/>
                <w:i w:val="0"/>
                <w:sz w:val="16"/>
              </w:rPr>
              <w:t>Continuous reconciliation</w:t>
            </w:r>
          </w:p>
        </w:tc>
      </w:tr>
    </w:tbl>
    <w:p>
      <w:pPr>
        <w:spacing w:after="40"/>
      </w:pPr>
    </w:p>
    <w:p>
      <w:pPr>
        <w:jc w:val="center"/>
      </w:pPr>
      <w:r>
        <w:drawing>
          <wp:inline xmlns:a="http://schemas.openxmlformats.org/drawingml/2006/main" xmlns:pic="http://schemas.openxmlformats.org/drawingml/2006/picture">
            <wp:extent cx="5760000" cy="3588923"/>
            <wp:docPr id="1" name="Picture 1"/>
            <wp:cNvGraphicFramePr>
              <a:graphicFrameLocks noChangeAspect="1"/>
            </wp:cNvGraphicFramePr>
            <a:graphic>
              <a:graphicData uri="http://schemas.openxmlformats.org/drawingml/2006/picture">
                <pic:pic>
                  <pic:nvPicPr>
                    <pic:cNvPr id="0" name="o2c.png"/>
                    <pic:cNvPicPr/>
                  </pic:nvPicPr>
                  <pic:blipFill>
                    <a:blip r:embed="rId11"/>
                    <a:stretch>
                      <a:fillRect/>
                    </a:stretch>
                  </pic:blipFill>
                  <pic:spPr>
                    <a:xfrm>
                      <a:off x="0" y="0"/>
                      <a:ext cx="5760000" cy="3588923"/>
                    </a:xfrm>
                    <a:prstGeom prst="rect"/>
                  </pic:spPr>
                </pic:pic>
              </a:graphicData>
            </a:graphic>
          </wp:inline>
        </w:drawing>
      </w:r>
    </w:p>
    <w:p>
      <w:pPr>
        <w:jc w:val="center"/>
      </w:pPr>
      <w:r>
        <w:rPr>
          <w:i/>
          <w:color w:val="6B7280"/>
          <w:sz w:val="17"/>
        </w:rPr>
        <w:t>Figure - Order-to-Cash (to-be)</w:t>
      </w:r>
    </w:p>
    <w:p>
      <w:pPr>
        <w:jc w:val="center"/>
      </w:pPr>
      <w:r>
        <w:drawing>
          <wp:inline xmlns:a="http://schemas.openxmlformats.org/drawingml/2006/main" xmlns:pic="http://schemas.openxmlformats.org/drawingml/2006/picture">
            <wp:extent cx="5760000" cy="3588923"/>
            <wp:docPr id="2" name="Picture 2"/>
            <wp:cNvGraphicFramePr>
              <a:graphicFrameLocks noChangeAspect="1"/>
            </wp:cNvGraphicFramePr>
            <a:graphic>
              <a:graphicData uri="http://schemas.openxmlformats.org/drawingml/2006/picture">
                <pic:pic>
                  <pic:nvPicPr>
                    <pic:cNvPr id="0" name="p2p.png"/>
                    <pic:cNvPicPr/>
                  </pic:nvPicPr>
                  <pic:blipFill>
                    <a:blip r:embed="rId12"/>
                    <a:stretch>
                      <a:fillRect/>
                    </a:stretch>
                  </pic:blipFill>
                  <pic:spPr>
                    <a:xfrm>
                      <a:off x="0" y="0"/>
                      <a:ext cx="5760000" cy="3588923"/>
                    </a:xfrm>
                    <a:prstGeom prst="rect"/>
                  </pic:spPr>
                </pic:pic>
              </a:graphicData>
            </a:graphic>
          </wp:inline>
        </w:drawing>
      </w:r>
    </w:p>
    <w:p>
      <w:pPr>
        <w:jc w:val="center"/>
      </w:pPr>
      <w:r>
        <w:rPr>
          <w:i/>
          <w:color w:val="6B7280"/>
          <w:sz w:val="17"/>
        </w:rPr>
        <w:t>Figure - Procure-to-Pay (to-be)</w:t>
      </w:r>
    </w:p>
    <w:p>
      <w:pPr>
        <w:sectPr>
          <w:headerReference w:type="default" r:id="rId9"/>
          <w:footerReference w:type="default" r:id="rId10"/>
          <w:pgSz w:w="11906" w:h="16838"/>
          <w:pgMar w:top="1304" w:right="1134" w:bottom="1134" w:left="1134" w:header="720" w:footer="720" w:gutter="0"/>
          <w:cols w:space="720"/>
          <w:titlePg/>
          <w:docGrid w:linePitch="360"/>
        </w:sectPr>
      </w:pPr>
    </w:p>
    <w:p>
      <w:pPr>
        <w:pStyle w:val="Heading1"/>
      </w:pPr>
      <w:r>
        <w:t>4. Gap register</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680"/>
        <w:gridCol w:w="1020"/>
        <w:gridCol w:w="1587"/>
        <w:gridCol w:w="1644"/>
        <w:gridCol w:w="1417"/>
        <w:gridCol w:w="1587"/>
        <w:gridCol w:w="1474"/>
        <w:gridCol w:w="1531"/>
        <w:gridCol w:w="1474"/>
        <w:gridCol w:w="737"/>
        <w:gridCol w:w="1077"/>
        <w:gridCol w:w="1474"/>
      </w:tblGrid>
      <w:tr>
        <w:trPr>
          <w:tblHeader w:val="true"/>
        </w:trPr>
        <w:tc>
          <w:tcPr>
            <w:tcW w:type="dxa" w:w="680"/>
            <w:shd w:val="clear" w:color="auto" w:fill="C8102E"/>
          </w:tcPr>
          <w:p>
            <w:r/>
            <w:r>
              <w:rPr>
                <w:b/>
                <w:color w:val="FFFFFF"/>
                <w:sz w:val="13"/>
              </w:rPr>
              <w:t>Gap ID</w:t>
            </w:r>
          </w:p>
        </w:tc>
        <w:tc>
          <w:tcPr>
            <w:tcW w:type="dxa" w:w="1020"/>
            <w:shd w:val="clear" w:color="auto" w:fill="C8102E"/>
          </w:tcPr>
          <w:p>
            <w:r/>
            <w:r>
              <w:rPr>
                <w:b/>
                <w:color w:val="FFFFFF"/>
                <w:sz w:val="13"/>
              </w:rPr>
              <w:t>Process</w:t>
            </w:r>
          </w:p>
        </w:tc>
        <w:tc>
          <w:tcPr>
            <w:tcW w:type="dxa" w:w="1587"/>
            <w:shd w:val="clear" w:color="auto" w:fill="C8102E"/>
          </w:tcPr>
          <w:p>
            <w:r/>
            <w:r>
              <w:rPr>
                <w:b/>
                <w:color w:val="FFFFFF"/>
                <w:sz w:val="13"/>
              </w:rPr>
              <w:t>Existing process</w:t>
            </w:r>
          </w:p>
        </w:tc>
        <w:tc>
          <w:tcPr>
            <w:tcW w:type="dxa" w:w="1644"/>
            <w:shd w:val="clear" w:color="auto" w:fill="C8102E"/>
          </w:tcPr>
          <w:p>
            <w:r/>
            <w:r>
              <w:rPr>
                <w:b/>
                <w:color w:val="FFFFFF"/>
                <w:sz w:val="13"/>
              </w:rPr>
              <w:t>Required process</w:t>
            </w:r>
          </w:p>
        </w:tc>
        <w:tc>
          <w:tcPr>
            <w:tcW w:type="dxa" w:w="1417"/>
            <w:shd w:val="clear" w:color="auto" w:fill="C8102E"/>
          </w:tcPr>
          <w:p>
            <w:r/>
            <w:r>
              <w:rPr>
                <w:b/>
                <w:color w:val="FFFFFF"/>
                <w:sz w:val="13"/>
              </w:rPr>
              <w:t>Business impact</w:t>
            </w:r>
          </w:p>
        </w:tc>
        <w:tc>
          <w:tcPr>
            <w:tcW w:type="dxa" w:w="1587"/>
            <w:shd w:val="clear" w:color="auto" w:fill="C8102E"/>
          </w:tcPr>
          <w:p>
            <w:r/>
            <w:r>
              <w:rPr>
                <w:b/>
                <w:color w:val="FFFFFF"/>
                <w:sz w:val="13"/>
              </w:rPr>
              <w:t>Proposed solution</w:t>
            </w:r>
          </w:p>
        </w:tc>
        <w:tc>
          <w:tcPr>
            <w:tcW w:type="dxa" w:w="1474"/>
            <w:shd w:val="clear" w:color="auto" w:fill="C8102E"/>
          </w:tcPr>
          <w:p>
            <w:r/>
            <w:r>
              <w:rPr>
                <w:b/>
                <w:color w:val="FFFFFF"/>
                <w:sz w:val="13"/>
              </w:rPr>
              <w:t>Standard Odoo capability</w:t>
            </w:r>
          </w:p>
        </w:tc>
        <w:tc>
          <w:tcPr>
            <w:tcW w:type="dxa" w:w="1531"/>
            <w:shd w:val="clear" w:color="auto" w:fill="C8102E"/>
          </w:tcPr>
          <w:p>
            <w:r/>
            <w:r>
              <w:rPr>
                <w:b/>
                <w:color w:val="FFFFFF"/>
                <w:sz w:val="13"/>
              </w:rPr>
              <w:t>Configuration requirement</w:t>
            </w:r>
          </w:p>
        </w:tc>
        <w:tc>
          <w:tcPr>
            <w:tcW w:type="dxa" w:w="1474"/>
            <w:shd w:val="clear" w:color="auto" w:fill="C8102E"/>
          </w:tcPr>
          <w:p>
            <w:r/>
            <w:r>
              <w:rPr>
                <w:b/>
                <w:color w:val="FFFFFF"/>
                <w:sz w:val="13"/>
              </w:rPr>
              <w:t>Customization</w:t>
            </w:r>
          </w:p>
        </w:tc>
        <w:tc>
          <w:tcPr>
            <w:tcW w:type="dxa" w:w="737"/>
            <w:shd w:val="clear" w:color="auto" w:fill="C8102E"/>
          </w:tcPr>
          <w:p>
            <w:r/>
            <w:r>
              <w:rPr>
                <w:b/>
                <w:color w:val="FFFFFF"/>
                <w:sz w:val="13"/>
              </w:rPr>
              <w:t>Priority</w:t>
            </w:r>
          </w:p>
        </w:tc>
        <w:tc>
          <w:tcPr>
            <w:tcW w:type="dxa" w:w="1077"/>
            <w:shd w:val="clear" w:color="auto" w:fill="C8102E"/>
          </w:tcPr>
          <w:p>
            <w:r/>
            <w:r>
              <w:rPr>
                <w:b/>
                <w:color w:val="FFFFFF"/>
                <w:sz w:val="13"/>
              </w:rPr>
              <w:t>Owner</w:t>
            </w:r>
          </w:p>
        </w:tc>
        <w:tc>
          <w:tcPr>
            <w:tcW w:type="dxa" w:w="1474"/>
            <w:shd w:val="clear" w:color="auto" w:fill="C8102E"/>
          </w:tcPr>
          <w:p>
            <w:r/>
            <w:r>
              <w:rPr>
                <w:b/>
                <w:color w:val="FFFFFF"/>
                <w:sz w:val="13"/>
              </w:rPr>
              <w:t>Validation method (requirements -&gt; UATD)</w:t>
            </w:r>
          </w:p>
        </w:tc>
      </w:tr>
      <w:tr>
        <w:trPr>
          <w:cantSplit w:val="true"/>
        </w:trPr>
        <w:tc>
          <w:tcPr>
            <w:tcW w:type="dxa" w:w="680"/>
          </w:tcPr>
          <w:p>
            <w:pPr>
              <w:spacing w:after="0"/>
            </w:pPr>
            <w:r/>
            <w:r>
              <w:rPr>
                <w:b w:val="0"/>
                <w:i w:val="0"/>
                <w:sz w:val="13"/>
              </w:rPr>
              <w:t>G-01</w:t>
            </w:r>
          </w:p>
        </w:tc>
        <w:tc>
          <w:tcPr>
            <w:tcW w:type="dxa" w:w="1020"/>
          </w:tcPr>
          <w:p>
            <w:pPr>
              <w:spacing w:after="0"/>
            </w:pPr>
            <w:r/>
            <w:r>
              <w:rPr>
                <w:b w:val="0"/>
                <w:i w:val="0"/>
                <w:sz w:val="13"/>
              </w:rPr>
              <w:t>Quotation</w:t>
            </w:r>
          </w:p>
        </w:tc>
        <w:tc>
          <w:tcPr>
            <w:tcW w:type="dxa" w:w="1587"/>
          </w:tcPr>
          <w:p>
            <w:pPr>
              <w:spacing w:after="0"/>
            </w:pPr>
            <w:r/>
            <w:r>
              <w:rPr>
                <w:b w:val="0"/>
                <w:i w:val="0"/>
                <w:sz w:val="13"/>
              </w:rPr>
              <w:t>Excel/Word quotations with manual price lookup</w:t>
            </w:r>
          </w:p>
        </w:tc>
        <w:tc>
          <w:tcPr>
            <w:tcW w:type="dxa" w:w="1644"/>
          </w:tcPr>
          <w:p>
            <w:pPr>
              <w:spacing w:after="0"/>
            </w:pPr>
            <w:r/>
            <w:r>
              <w:rPr>
                <w:b w:val="0"/>
                <w:i w:val="0"/>
                <w:sz w:val="13"/>
              </w:rPr>
              <w:t>Pricelist-based quotation with contract discount and VAT</w:t>
            </w:r>
          </w:p>
        </w:tc>
        <w:tc>
          <w:tcPr>
            <w:tcW w:type="dxa" w:w="1417"/>
          </w:tcPr>
          <w:p>
            <w:pPr>
              <w:spacing w:after="0"/>
            </w:pPr>
            <w:r/>
            <w:r>
              <w:rPr>
                <w:b w:val="0"/>
                <w:i w:val="0"/>
                <w:sz w:val="13"/>
              </w:rPr>
              <w:t>Price errors, inconsistent discounts</w:t>
            </w:r>
          </w:p>
        </w:tc>
        <w:tc>
          <w:tcPr>
            <w:tcW w:type="dxa" w:w="1587"/>
          </w:tcPr>
          <w:p>
            <w:pPr>
              <w:spacing w:after="0"/>
            </w:pPr>
            <w:r/>
            <w:r>
              <w:rPr>
                <w:b w:val="0"/>
                <w:i w:val="0"/>
                <w:sz w:val="13"/>
              </w:rPr>
              <w:t>Sales module with customer pricelists</w:t>
            </w:r>
          </w:p>
        </w:tc>
        <w:tc>
          <w:tcPr>
            <w:tcW w:type="dxa" w:w="1474"/>
          </w:tcPr>
          <w:p>
            <w:pPr>
              <w:spacing w:after="0"/>
            </w:pPr>
            <w:r/>
            <w:r>
              <w:rPr>
                <w:b w:val="0"/>
                <w:i w:val="0"/>
                <w:sz w:val="13"/>
              </w:rPr>
              <w:t>Quotations, pricelists, discounts</w:t>
            </w:r>
          </w:p>
        </w:tc>
        <w:tc>
          <w:tcPr>
            <w:tcW w:type="dxa" w:w="1531"/>
          </w:tcPr>
          <w:p>
            <w:pPr>
              <w:spacing w:after="0"/>
            </w:pPr>
            <w:r/>
            <w:r>
              <w:rPr>
                <w:b w:val="0"/>
                <w:i w:val="0"/>
                <w:sz w:val="13"/>
              </w:rPr>
              <w:t>Pricelists per customer discount tier (0/2/3/5%)</w:t>
            </w:r>
          </w:p>
        </w:tc>
        <w:tc>
          <w:tcPr>
            <w:tcW w:type="dxa" w:w="1474"/>
          </w:tcPr>
          <w:p>
            <w:pPr>
              <w:spacing w:after="0"/>
            </w:pPr>
            <w:r/>
            <w:r>
              <w:rPr>
                <w:b w:val="0"/>
                <w:i w:val="0"/>
                <w:sz w:val="13"/>
              </w:rPr>
              <w:t>None</w:t>
            </w:r>
          </w:p>
        </w:tc>
        <w:tc>
          <w:tcPr>
            <w:tcW w:type="dxa" w:w="737"/>
          </w:tcPr>
          <w:p>
            <w:pPr>
              <w:spacing w:after="0"/>
            </w:pPr>
            <w:r/>
            <w:r>
              <w:rPr>
                <w:b w:val="0"/>
                <w:i w:val="0"/>
                <w:sz w:val="13"/>
              </w:rPr>
              <w:t>High</w:t>
            </w:r>
          </w:p>
        </w:tc>
        <w:tc>
          <w:tcPr>
            <w:tcW w:type="dxa" w:w="1077"/>
          </w:tcPr>
          <w:p>
            <w:pPr>
              <w:spacing w:after="0"/>
            </w:pPr>
            <w:r/>
            <w:r>
              <w:rPr>
                <w:b w:val="0"/>
                <w:i w:val="0"/>
                <w:sz w:val="13"/>
              </w:rPr>
              <w:t>Mohamed Essam El-Din Youssef</w:t>
            </w:r>
          </w:p>
        </w:tc>
        <w:tc>
          <w:tcPr>
            <w:tcW w:type="dxa" w:w="1474"/>
          </w:tcPr>
          <w:p>
            <w:pPr>
              <w:spacing w:after="0"/>
            </w:pPr>
            <w:r/>
            <w:r>
              <w:rPr>
                <w:b w:val="0"/>
                <w:i w:val="0"/>
                <w:sz w:val="13"/>
              </w:rPr>
              <w:t>SAL-001, SAL-006</w:t>
            </w:r>
          </w:p>
        </w:tc>
      </w:tr>
      <w:tr>
        <w:trPr>
          <w:cantSplit w:val="true"/>
        </w:trPr>
        <w:tc>
          <w:tcPr>
            <w:tcW w:type="dxa" w:w="680"/>
            <w:shd w:val="clear" w:color="auto" w:fill="F9FAFB"/>
          </w:tcPr>
          <w:p>
            <w:pPr>
              <w:spacing w:after="0"/>
            </w:pPr>
            <w:r/>
            <w:r>
              <w:rPr>
                <w:b w:val="0"/>
                <w:i w:val="0"/>
                <w:sz w:val="13"/>
              </w:rPr>
              <w:t>G-02</w:t>
            </w:r>
          </w:p>
        </w:tc>
        <w:tc>
          <w:tcPr>
            <w:tcW w:type="dxa" w:w="1020"/>
            <w:shd w:val="clear" w:color="auto" w:fill="F9FAFB"/>
          </w:tcPr>
          <w:p>
            <w:pPr>
              <w:spacing w:after="0"/>
            </w:pPr>
            <w:r/>
            <w:r>
              <w:rPr>
                <w:b w:val="0"/>
                <w:i w:val="0"/>
                <w:sz w:val="13"/>
              </w:rPr>
              <w:t>Quotation</w:t>
            </w:r>
          </w:p>
        </w:tc>
        <w:tc>
          <w:tcPr>
            <w:tcW w:type="dxa" w:w="1587"/>
            <w:shd w:val="clear" w:color="auto" w:fill="F9FAFB"/>
          </w:tcPr>
          <w:p>
            <w:pPr>
              <w:spacing w:after="0"/>
            </w:pPr>
            <w:r/>
            <w:r>
              <w:rPr>
                <w:b w:val="0"/>
                <w:i w:val="0"/>
                <w:sz w:val="13"/>
              </w:rPr>
              <w:t>Approval by email/phone</w:t>
            </w:r>
          </w:p>
        </w:tc>
        <w:tc>
          <w:tcPr>
            <w:tcW w:type="dxa" w:w="1644"/>
            <w:shd w:val="clear" w:color="auto" w:fill="F9FAFB"/>
          </w:tcPr>
          <w:p>
            <w:pPr>
              <w:spacing w:after="0"/>
            </w:pPr>
            <w:r/>
            <w:r>
              <w:rPr>
                <w:b w:val="0"/>
                <w:i w:val="0"/>
                <w:sz w:val="13"/>
              </w:rPr>
              <w:t>Approval for quotations above EGP 500,000</w:t>
            </w:r>
          </w:p>
        </w:tc>
        <w:tc>
          <w:tcPr>
            <w:tcW w:type="dxa" w:w="1417"/>
            <w:shd w:val="clear" w:color="auto" w:fill="F9FAFB"/>
          </w:tcPr>
          <w:p>
            <w:pPr>
              <w:spacing w:after="0"/>
            </w:pPr>
            <w:r/>
            <w:r>
              <w:rPr>
                <w:b w:val="0"/>
                <w:i w:val="0"/>
                <w:sz w:val="13"/>
              </w:rPr>
              <w:t>Uncontrolled large discounts</w:t>
            </w:r>
          </w:p>
        </w:tc>
        <w:tc>
          <w:tcPr>
            <w:tcW w:type="dxa" w:w="1587"/>
            <w:shd w:val="clear" w:color="auto" w:fill="F9FAFB"/>
          </w:tcPr>
          <w:p>
            <w:pPr>
              <w:spacing w:after="0"/>
            </w:pPr>
            <w:r/>
            <w:r>
              <w:rPr>
                <w:b w:val="0"/>
                <w:i w:val="0"/>
                <w:sz w:val="13"/>
              </w:rPr>
              <w:t>Approval rule on quotation confirmation</w:t>
            </w:r>
          </w:p>
        </w:tc>
        <w:tc>
          <w:tcPr>
            <w:tcW w:type="dxa" w:w="1474"/>
            <w:shd w:val="clear" w:color="auto" w:fill="F9FAFB"/>
          </w:tcPr>
          <w:p>
            <w:pPr>
              <w:spacing w:after="0"/>
            </w:pPr>
            <w:r/>
            <w:r>
              <w:rPr>
                <w:b w:val="0"/>
                <w:i w:val="0"/>
                <w:sz w:val="13"/>
              </w:rPr>
              <w:t>Sales approval (basic) / Studio approval (Enterprise)</w:t>
            </w:r>
          </w:p>
        </w:tc>
        <w:tc>
          <w:tcPr>
            <w:tcW w:type="dxa" w:w="1531"/>
            <w:shd w:val="clear" w:color="auto" w:fill="F9FAFB"/>
          </w:tcPr>
          <w:p>
            <w:pPr>
              <w:spacing w:after="0"/>
            </w:pPr>
            <w:r/>
            <w:r>
              <w:rPr>
                <w:b w:val="0"/>
                <w:i w:val="0"/>
                <w:sz w:val="13"/>
              </w:rPr>
              <w:t>Threshold setting; approver group</w:t>
            </w:r>
          </w:p>
        </w:tc>
        <w:tc>
          <w:tcPr>
            <w:tcW w:type="dxa" w:w="1474"/>
            <w:shd w:val="clear" w:color="auto" w:fill="F9FAFB"/>
          </w:tcPr>
          <w:p>
            <w:pPr>
              <w:spacing w:after="0"/>
            </w:pPr>
            <w:r/>
            <w:r>
              <w:rPr>
                <w:b w:val="0"/>
                <w:i w:val="0"/>
                <w:sz w:val="13"/>
              </w:rPr>
              <w:t>Studio automation or custom module (proposed)</w:t>
            </w:r>
          </w:p>
        </w:tc>
        <w:tc>
          <w:tcPr>
            <w:tcW w:type="dxa" w:w="737"/>
            <w:shd w:val="clear" w:color="auto" w:fill="F9FAFB"/>
          </w:tcPr>
          <w:p>
            <w:pPr>
              <w:spacing w:after="0"/>
            </w:pPr>
            <w:r/>
            <w:r>
              <w:rPr>
                <w:b w:val="0"/>
                <w:i w:val="0"/>
                <w:sz w:val="13"/>
              </w:rPr>
              <w:t>Medium</w:t>
            </w:r>
          </w:p>
        </w:tc>
        <w:tc>
          <w:tcPr>
            <w:tcW w:type="dxa" w:w="1077"/>
            <w:shd w:val="clear" w:color="auto" w:fill="F9FAFB"/>
          </w:tcPr>
          <w:p>
            <w:pPr>
              <w:spacing w:after="0"/>
            </w:pPr>
            <w:r/>
            <w:r>
              <w:rPr>
                <w:b w:val="0"/>
                <w:i w:val="0"/>
                <w:sz w:val="13"/>
              </w:rPr>
              <w:t>Mohamed Mahmoud Abdel Bary</w:t>
            </w:r>
          </w:p>
        </w:tc>
        <w:tc>
          <w:tcPr>
            <w:tcW w:type="dxa" w:w="1474"/>
            <w:shd w:val="clear" w:color="auto" w:fill="F9FAFB"/>
          </w:tcPr>
          <w:p>
            <w:pPr>
              <w:spacing w:after="0"/>
            </w:pPr>
            <w:r/>
            <w:r>
              <w:rPr>
                <w:b w:val="0"/>
                <w:i w:val="0"/>
                <w:sz w:val="13"/>
              </w:rPr>
              <w:t>SAL-002</w:t>
            </w:r>
          </w:p>
        </w:tc>
      </w:tr>
      <w:tr>
        <w:trPr>
          <w:cantSplit w:val="true"/>
        </w:trPr>
        <w:tc>
          <w:tcPr>
            <w:tcW w:type="dxa" w:w="680"/>
          </w:tcPr>
          <w:p>
            <w:pPr>
              <w:spacing w:after="0"/>
            </w:pPr>
            <w:r/>
            <w:r>
              <w:rPr>
                <w:b w:val="0"/>
                <w:i w:val="0"/>
                <w:sz w:val="13"/>
              </w:rPr>
              <w:t>G-03</w:t>
            </w:r>
          </w:p>
        </w:tc>
        <w:tc>
          <w:tcPr>
            <w:tcW w:type="dxa" w:w="1020"/>
          </w:tcPr>
          <w:p>
            <w:pPr>
              <w:spacing w:after="0"/>
            </w:pPr>
            <w:r/>
            <w:r>
              <w:rPr>
                <w:b w:val="0"/>
                <w:i w:val="0"/>
                <w:sz w:val="13"/>
              </w:rPr>
              <w:t>Credit</w:t>
            </w:r>
          </w:p>
        </w:tc>
        <w:tc>
          <w:tcPr>
            <w:tcW w:type="dxa" w:w="1587"/>
          </w:tcPr>
          <w:p>
            <w:pPr>
              <w:spacing w:after="0"/>
            </w:pPr>
            <w:r/>
            <w:r>
              <w:rPr>
                <w:b w:val="0"/>
                <w:i w:val="0"/>
                <w:sz w:val="13"/>
              </w:rPr>
              <w:t>Balances kept in spreadsheet, checked ad hoc</w:t>
            </w:r>
          </w:p>
        </w:tc>
        <w:tc>
          <w:tcPr>
            <w:tcW w:type="dxa" w:w="1644"/>
          </w:tcPr>
          <w:p>
            <w:pPr>
              <w:spacing w:after="0"/>
            </w:pPr>
            <w:r/>
            <w:r>
              <w:rPr>
                <w:b w:val="0"/>
                <w:i w:val="0"/>
                <w:sz w:val="13"/>
              </w:rPr>
              <w:t>Automatic credit-limit check at order confirmation</w:t>
            </w:r>
          </w:p>
        </w:tc>
        <w:tc>
          <w:tcPr>
            <w:tcW w:type="dxa" w:w="1417"/>
          </w:tcPr>
          <w:p>
            <w:pPr>
              <w:spacing w:after="0"/>
            </w:pPr>
            <w:r/>
            <w:r>
              <w:rPr>
                <w:b w:val="0"/>
                <w:i w:val="0"/>
                <w:sz w:val="13"/>
              </w:rPr>
              <w:t>Over-exposure to slow-paying hospitals</w:t>
            </w:r>
          </w:p>
        </w:tc>
        <w:tc>
          <w:tcPr>
            <w:tcW w:type="dxa" w:w="1587"/>
          </w:tcPr>
          <w:p>
            <w:pPr>
              <w:spacing w:after="0"/>
            </w:pPr>
            <w:r/>
            <w:r>
              <w:rPr>
                <w:b w:val="0"/>
                <w:i w:val="0"/>
                <w:sz w:val="13"/>
              </w:rPr>
              <w:t>Credit limit per partner with warning</w:t>
            </w:r>
          </w:p>
        </w:tc>
        <w:tc>
          <w:tcPr>
            <w:tcW w:type="dxa" w:w="1474"/>
          </w:tcPr>
          <w:p>
            <w:pPr>
              <w:spacing w:after="0"/>
            </w:pPr>
            <w:r/>
            <w:r>
              <w:rPr>
                <w:b w:val="0"/>
                <w:i w:val="0"/>
                <w:sz w:val="13"/>
              </w:rPr>
              <w:t>Credit limit warning on sales orders</w:t>
            </w:r>
          </w:p>
        </w:tc>
        <w:tc>
          <w:tcPr>
            <w:tcW w:type="dxa" w:w="1531"/>
          </w:tcPr>
          <w:p>
            <w:pPr>
              <w:spacing w:after="0"/>
            </w:pPr>
            <w:r/>
            <w:r>
              <w:rPr>
                <w:b w:val="0"/>
                <w:i w:val="0"/>
                <w:sz w:val="13"/>
              </w:rPr>
              <w:t>Set limits (130% of peak exposure) and terms</w:t>
            </w:r>
          </w:p>
        </w:tc>
        <w:tc>
          <w:tcPr>
            <w:tcW w:type="dxa" w:w="1474"/>
          </w:tcPr>
          <w:p>
            <w:pPr>
              <w:spacing w:after="0"/>
            </w:pPr>
            <w:r/>
            <w:r>
              <w:rPr>
                <w:b w:val="0"/>
                <w:i w:val="0"/>
                <w:sz w:val="13"/>
              </w:rPr>
              <w:t>Hard block / override approval (proposed)</w:t>
            </w:r>
          </w:p>
        </w:tc>
        <w:tc>
          <w:tcPr>
            <w:tcW w:type="dxa" w:w="737"/>
          </w:tcPr>
          <w:p>
            <w:pPr>
              <w:spacing w:after="0"/>
            </w:pPr>
            <w:r/>
            <w:r>
              <w:rPr>
                <w:b w:val="0"/>
                <w:i w:val="0"/>
                <w:sz w:val="13"/>
              </w:rPr>
              <w:t>High</w:t>
            </w:r>
          </w:p>
        </w:tc>
        <w:tc>
          <w:tcPr>
            <w:tcW w:type="dxa" w:w="1077"/>
          </w:tcPr>
          <w:p>
            <w:pPr>
              <w:spacing w:after="0"/>
            </w:pPr>
            <w:r/>
            <w:r>
              <w:rPr>
                <w:b w:val="0"/>
                <w:i w:val="0"/>
                <w:sz w:val="13"/>
              </w:rPr>
              <w:t>Omnia Haitham</w:t>
            </w:r>
          </w:p>
        </w:tc>
        <w:tc>
          <w:tcPr>
            <w:tcW w:type="dxa" w:w="1474"/>
          </w:tcPr>
          <w:p>
            <w:pPr>
              <w:spacing w:after="0"/>
            </w:pPr>
            <w:r/>
            <w:r>
              <w:rPr>
                <w:b w:val="0"/>
                <w:i w:val="0"/>
                <w:sz w:val="13"/>
              </w:rPr>
              <w:t>CON-004, ACC-009</w:t>
            </w:r>
          </w:p>
        </w:tc>
      </w:tr>
      <w:tr>
        <w:trPr>
          <w:cantSplit w:val="true"/>
        </w:trPr>
        <w:tc>
          <w:tcPr>
            <w:tcW w:type="dxa" w:w="680"/>
            <w:shd w:val="clear" w:color="auto" w:fill="F9FAFB"/>
          </w:tcPr>
          <w:p>
            <w:pPr>
              <w:spacing w:after="0"/>
            </w:pPr>
            <w:r/>
            <w:r>
              <w:rPr>
                <w:b w:val="0"/>
                <w:i w:val="0"/>
                <w:sz w:val="13"/>
              </w:rPr>
              <w:t>G-04</w:t>
            </w:r>
          </w:p>
        </w:tc>
        <w:tc>
          <w:tcPr>
            <w:tcW w:type="dxa" w:w="1020"/>
            <w:shd w:val="clear" w:color="auto" w:fill="F9FAFB"/>
          </w:tcPr>
          <w:p>
            <w:pPr>
              <w:spacing w:after="0"/>
            </w:pPr>
            <w:r/>
            <w:r>
              <w:rPr>
                <w:b w:val="0"/>
                <w:i w:val="0"/>
                <w:sz w:val="13"/>
              </w:rPr>
              <w:t>Master data</w:t>
            </w:r>
          </w:p>
        </w:tc>
        <w:tc>
          <w:tcPr>
            <w:tcW w:type="dxa" w:w="1587"/>
            <w:shd w:val="clear" w:color="auto" w:fill="F9FAFB"/>
          </w:tcPr>
          <w:p>
            <w:pPr>
              <w:spacing w:after="0"/>
            </w:pPr>
            <w:r/>
            <w:r>
              <w:rPr>
                <w:b w:val="0"/>
                <w:i w:val="0"/>
                <w:sz w:val="13"/>
              </w:rPr>
              <w:t>Duplicate customers across branches</w:t>
            </w:r>
          </w:p>
        </w:tc>
        <w:tc>
          <w:tcPr>
            <w:tcW w:type="dxa" w:w="1644"/>
            <w:shd w:val="clear" w:color="auto" w:fill="F9FAFB"/>
          </w:tcPr>
          <w:p>
            <w:pPr>
              <w:spacing w:after="0"/>
            </w:pPr>
            <w:r/>
            <w:r>
              <w:rPr>
                <w:b w:val="0"/>
                <w:i w:val="0"/>
                <w:sz w:val="13"/>
              </w:rPr>
              <w:t>Single partner master with classification and branch</w:t>
            </w:r>
          </w:p>
        </w:tc>
        <w:tc>
          <w:tcPr>
            <w:tcW w:type="dxa" w:w="1417"/>
            <w:shd w:val="clear" w:color="auto" w:fill="F9FAFB"/>
          </w:tcPr>
          <w:p>
            <w:pPr>
              <w:spacing w:after="0"/>
            </w:pPr>
            <w:r/>
            <w:r>
              <w:rPr>
                <w:b w:val="0"/>
                <w:i w:val="0"/>
                <w:sz w:val="13"/>
              </w:rPr>
              <w:t>Duplicate balances, wrong statements</w:t>
            </w:r>
          </w:p>
        </w:tc>
        <w:tc>
          <w:tcPr>
            <w:tcW w:type="dxa" w:w="1587"/>
            <w:shd w:val="clear" w:color="auto" w:fill="F9FAFB"/>
          </w:tcPr>
          <w:p>
            <w:pPr>
              <w:spacing w:after="0"/>
            </w:pPr>
            <w:r/>
            <w:r>
              <w:rPr>
                <w:b w:val="0"/>
                <w:i w:val="0"/>
                <w:sz w:val="13"/>
              </w:rPr>
              <w:t>Contacts with duplicate warning and tags</w:t>
            </w:r>
          </w:p>
        </w:tc>
        <w:tc>
          <w:tcPr>
            <w:tcW w:type="dxa" w:w="1474"/>
            <w:shd w:val="clear" w:color="auto" w:fill="F9FAFB"/>
          </w:tcPr>
          <w:p>
            <w:pPr>
              <w:spacing w:after="0"/>
            </w:pPr>
            <w:r/>
            <w:r>
              <w:rPr>
                <w:b w:val="0"/>
                <w:i w:val="0"/>
                <w:sz w:val="13"/>
              </w:rPr>
              <w:t>Contacts, tags, tax-ID check</w:t>
            </w:r>
          </w:p>
        </w:tc>
        <w:tc>
          <w:tcPr>
            <w:tcW w:type="dxa" w:w="1531"/>
            <w:shd w:val="clear" w:color="auto" w:fill="F9FAFB"/>
          </w:tcPr>
          <w:p>
            <w:pPr>
              <w:spacing w:after="0"/>
            </w:pPr>
            <w:r/>
            <w:r>
              <w:rPr>
                <w:b w:val="0"/>
                <w:i w:val="0"/>
                <w:sz w:val="13"/>
              </w:rPr>
              <w:t>Classification tags; duplicate rule</w:t>
            </w:r>
          </w:p>
        </w:tc>
        <w:tc>
          <w:tcPr>
            <w:tcW w:type="dxa" w:w="1474"/>
            <w:shd w:val="clear" w:color="auto" w:fill="F9FAFB"/>
          </w:tcPr>
          <w:p>
            <w:pPr>
              <w:spacing w:after="0"/>
            </w:pPr>
            <w:r/>
            <w:r>
              <w:rPr>
                <w:b w:val="0"/>
                <w:i w:val="0"/>
                <w:sz w:val="13"/>
              </w:rPr>
              <w:t>None</w:t>
            </w:r>
          </w:p>
        </w:tc>
        <w:tc>
          <w:tcPr>
            <w:tcW w:type="dxa" w:w="737"/>
            <w:shd w:val="clear" w:color="auto" w:fill="F9FAFB"/>
          </w:tcPr>
          <w:p>
            <w:pPr>
              <w:spacing w:after="0"/>
            </w:pPr>
            <w:r/>
            <w:r>
              <w:rPr>
                <w:b w:val="0"/>
                <w:i w:val="0"/>
                <w:sz w:val="13"/>
              </w:rPr>
              <w:t>Medium</w:t>
            </w:r>
          </w:p>
        </w:tc>
        <w:tc>
          <w:tcPr>
            <w:tcW w:type="dxa" w:w="1077"/>
            <w:shd w:val="clear" w:color="auto" w:fill="F9FAFB"/>
          </w:tcPr>
          <w:p>
            <w:pPr>
              <w:spacing w:after="0"/>
            </w:pPr>
            <w:r/>
            <w:r>
              <w:rPr>
                <w:b w:val="0"/>
                <w:i w:val="0"/>
                <w:sz w:val="13"/>
              </w:rPr>
              <w:t>Ahmed Mahmoud Mohamed</w:t>
            </w:r>
          </w:p>
        </w:tc>
        <w:tc>
          <w:tcPr>
            <w:tcW w:type="dxa" w:w="1474"/>
            <w:shd w:val="clear" w:color="auto" w:fill="F9FAFB"/>
          </w:tcPr>
          <w:p>
            <w:pPr>
              <w:spacing w:after="0"/>
            </w:pPr>
            <w:r/>
            <w:r>
              <w:rPr>
                <w:b w:val="0"/>
                <w:i w:val="0"/>
                <w:sz w:val="13"/>
              </w:rPr>
              <w:t>CON-001, CON-003</w:t>
            </w:r>
          </w:p>
        </w:tc>
      </w:tr>
      <w:tr>
        <w:trPr>
          <w:cantSplit w:val="true"/>
        </w:trPr>
        <w:tc>
          <w:tcPr>
            <w:tcW w:type="dxa" w:w="680"/>
          </w:tcPr>
          <w:p>
            <w:pPr>
              <w:spacing w:after="0"/>
            </w:pPr>
            <w:r/>
            <w:r>
              <w:rPr>
                <w:b w:val="0"/>
                <w:i w:val="0"/>
                <w:sz w:val="13"/>
              </w:rPr>
              <w:t>G-05</w:t>
            </w:r>
          </w:p>
        </w:tc>
        <w:tc>
          <w:tcPr>
            <w:tcW w:type="dxa" w:w="1020"/>
          </w:tcPr>
          <w:p>
            <w:pPr>
              <w:spacing w:after="0"/>
            </w:pPr>
            <w:r/>
            <w:r>
              <w:rPr>
                <w:b w:val="0"/>
                <w:i w:val="0"/>
                <w:sz w:val="13"/>
              </w:rPr>
              <w:t>Order-to-cash</w:t>
            </w:r>
          </w:p>
        </w:tc>
        <w:tc>
          <w:tcPr>
            <w:tcW w:type="dxa" w:w="1587"/>
          </w:tcPr>
          <w:p>
            <w:pPr>
              <w:spacing w:after="0"/>
            </w:pPr>
            <w:r/>
            <w:r>
              <w:rPr>
                <w:b w:val="0"/>
                <w:i w:val="0"/>
                <w:sz w:val="13"/>
              </w:rPr>
              <w:t>Paper delivery notes per warehouse</w:t>
            </w:r>
          </w:p>
        </w:tc>
        <w:tc>
          <w:tcPr>
            <w:tcW w:type="dxa" w:w="1644"/>
          </w:tcPr>
          <w:p>
            <w:pPr>
              <w:spacing w:after="0"/>
            </w:pPr>
            <w:r/>
            <w:r>
              <w:rPr>
                <w:b w:val="0"/>
                <w:i w:val="0"/>
                <w:sz w:val="13"/>
              </w:rPr>
              <w:t>Order confirmation creates reserved delivery per warehouse</w:t>
            </w:r>
          </w:p>
        </w:tc>
        <w:tc>
          <w:tcPr>
            <w:tcW w:type="dxa" w:w="1417"/>
          </w:tcPr>
          <w:p>
            <w:pPr>
              <w:spacing w:after="0"/>
            </w:pPr>
            <w:r/>
            <w:r>
              <w:rPr>
                <w:b w:val="0"/>
                <w:i w:val="0"/>
                <w:sz w:val="13"/>
              </w:rPr>
              <w:t>Delays, mismatches between order and delivery</w:t>
            </w:r>
          </w:p>
        </w:tc>
        <w:tc>
          <w:tcPr>
            <w:tcW w:type="dxa" w:w="1587"/>
          </w:tcPr>
          <w:p>
            <w:pPr>
              <w:spacing w:after="0"/>
            </w:pPr>
            <w:r/>
            <w:r>
              <w:rPr>
                <w:b w:val="0"/>
                <w:i w:val="0"/>
                <w:sz w:val="13"/>
              </w:rPr>
              <w:t>Sales-to-inventory automation</w:t>
            </w:r>
          </w:p>
        </w:tc>
        <w:tc>
          <w:tcPr>
            <w:tcW w:type="dxa" w:w="1474"/>
          </w:tcPr>
          <w:p>
            <w:pPr>
              <w:spacing w:after="0"/>
            </w:pPr>
            <w:r/>
            <w:r>
              <w:rPr>
                <w:b w:val="0"/>
                <w:i w:val="0"/>
                <w:sz w:val="13"/>
              </w:rPr>
              <w:t>Delivery orders, routes</w:t>
            </w:r>
          </w:p>
        </w:tc>
        <w:tc>
          <w:tcPr>
            <w:tcW w:type="dxa" w:w="1531"/>
          </w:tcPr>
          <w:p>
            <w:pPr>
              <w:spacing w:after="0"/>
            </w:pPr>
            <w:r/>
            <w:r>
              <w:rPr>
                <w:b w:val="0"/>
                <w:i w:val="0"/>
                <w:sz w:val="13"/>
              </w:rPr>
              <w:t>Warehouses with home-warehouse routing</w:t>
            </w:r>
          </w:p>
        </w:tc>
        <w:tc>
          <w:tcPr>
            <w:tcW w:type="dxa" w:w="1474"/>
          </w:tcPr>
          <w:p>
            <w:pPr>
              <w:spacing w:after="0"/>
            </w:pPr>
            <w:r/>
            <w:r>
              <w:rPr>
                <w:b w:val="0"/>
                <w:i w:val="0"/>
                <w:sz w:val="13"/>
              </w:rPr>
              <w:t>None</w:t>
            </w:r>
          </w:p>
        </w:tc>
        <w:tc>
          <w:tcPr>
            <w:tcW w:type="dxa" w:w="737"/>
          </w:tcPr>
          <w:p>
            <w:pPr>
              <w:spacing w:after="0"/>
            </w:pPr>
            <w:r/>
            <w:r>
              <w:rPr>
                <w:b w:val="0"/>
                <w:i w:val="0"/>
                <w:sz w:val="13"/>
              </w:rPr>
              <w:t>High</w:t>
            </w:r>
          </w:p>
        </w:tc>
        <w:tc>
          <w:tcPr>
            <w:tcW w:type="dxa" w:w="1077"/>
          </w:tcPr>
          <w:p>
            <w:pPr>
              <w:spacing w:after="0"/>
            </w:pPr>
            <w:r/>
            <w:r>
              <w:rPr>
                <w:b w:val="0"/>
                <w:i w:val="0"/>
                <w:sz w:val="13"/>
              </w:rPr>
              <w:t>Mohamed Essam El-Din Youssef</w:t>
            </w:r>
          </w:p>
        </w:tc>
        <w:tc>
          <w:tcPr>
            <w:tcW w:type="dxa" w:w="1474"/>
          </w:tcPr>
          <w:p>
            <w:pPr>
              <w:spacing w:after="0"/>
            </w:pPr>
            <w:r/>
            <w:r>
              <w:rPr>
                <w:b w:val="0"/>
                <w:i w:val="0"/>
                <w:sz w:val="13"/>
              </w:rPr>
              <w:t>SAL-003, INV-014</w:t>
            </w:r>
          </w:p>
        </w:tc>
      </w:tr>
      <w:tr>
        <w:trPr>
          <w:cantSplit w:val="true"/>
        </w:trPr>
        <w:tc>
          <w:tcPr>
            <w:tcW w:type="dxa" w:w="680"/>
            <w:shd w:val="clear" w:color="auto" w:fill="F9FAFB"/>
          </w:tcPr>
          <w:p>
            <w:pPr>
              <w:spacing w:after="0"/>
            </w:pPr>
            <w:r/>
            <w:r>
              <w:rPr>
                <w:b w:val="0"/>
                <w:i w:val="0"/>
                <w:sz w:val="13"/>
              </w:rPr>
              <w:t>G-06</w:t>
            </w:r>
          </w:p>
        </w:tc>
        <w:tc>
          <w:tcPr>
            <w:tcW w:type="dxa" w:w="1020"/>
            <w:shd w:val="clear" w:color="auto" w:fill="F9FAFB"/>
          </w:tcPr>
          <w:p>
            <w:pPr>
              <w:spacing w:after="0"/>
            </w:pPr>
            <w:r/>
            <w:r>
              <w:rPr>
                <w:b w:val="0"/>
                <w:i w:val="0"/>
                <w:sz w:val="13"/>
              </w:rPr>
              <w:t>Order-to-cash</w:t>
            </w:r>
          </w:p>
        </w:tc>
        <w:tc>
          <w:tcPr>
            <w:tcW w:type="dxa" w:w="1587"/>
            <w:shd w:val="clear" w:color="auto" w:fill="F9FAFB"/>
          </w:tcPr>
          <w:p>
            <w:pPr>
              <w:spacing w:after="0"/>
            </w:pPr>
            <w:r/>
            <w:r>
              <w:rPr>
                <w:b w:val="0"/>
                <w:i w:val="0"/>
                <w:sz w:val="13"/>
              </w:rPr>
              <w:t>Whole order or nothing; partials handled manually</w:t>
            </w:r>
          </w:p>
        </w:tc>
        <w:tc>
          <w:tcPr>
            <w:tcW w:type="dxa" w:w="1644"/>
            <w:shd w:val="clear" w:color="auto" w:fill="F9FAFB"/>
          </w:tcPr>
          <w:p>
            <w:pPr>
              <w:spacing w:after="0"/>
            </w:pPr>
            <w:r/>
            <w:r>
              <w:rPr>
                <w:b w:val="0"/>
                <w:i w:val="0"/>
                <w:sz w:val="13"/>
              </w:rPr>
              <w:t>Partial delivery with backorder and delivered-quantity invoicing</w:t>
            </w:r>
          </w:p>
        </w:tc>
        <w:tc>
          <w:tcPr>
            <w:tcW w:type="dxa" w:w="1417"/>
            <w:shd w:val="clear" w:color="auto" w:fill="F9FAFB"/>
          </w:tcPr>
          <w:p>
            <w:pPr>
              <w:spacing w:after="0"/>
            </w:pPr>
            <w:r/>
            <w:r>
              <w:rPr>
                <w:b w:val="0"/>
                <w:i w:val="0"/>
                <w:sz w:val="13"/>
              </w:rPr>
              <w:t>Late or wrong invoices</w:t>
            </w:r>
          </w:p>
        </w:tc>
        <w:tc>
          <w:tcPr>
            <w:tcW w:type="dxa" w:w="1587"/>
            <w:shd w:val="clear" w:color="auto" w:fill="F9FAFB"/>
          </w:tcPr>
          <w:p>
            <w:pPr>
              <w:spacing w:after="0"/>
            </w:pPr>
            <w:r/>
            <w:r>
              <w:rPr>
                <w:b w:val="0"/>
                <w:i w:val="0"/>
                <w:sz w:val="13"/>
              </w:rPr>
              <w:t>Backorder policy; invoice on delivered</w:t>
            </w:r>
          </w:p>
        </w:tc>
        <w:tc>
          <w:tcPr>
            <w:tcW w:type="dxa" w:w="1474"/>
            <w:shd w:val="clear" w:color="auto" w:fill="F9FAFB"/>
          </w:tcPr>
          <w:p>
            <w:pPr>
              <w:spacing w:after="0"/>
            </w:pPr>
            <w:r/>
            <w:r>
              <w:rPr>
                <w:b w:val="0"/>
                <w:i w:val="0"/>
                <w:sz w:val="13"/>
              </w:rPr>
              <w:t>Backorders, invoicing policy</w:t>
            </w:r>
          </w:p>
        </w:tc>
        <w:tc>
          <w:tcPr>
            <w:tcW w:type="dxa" w:w="1531"/>
            <w:shd w:val="clear" w:color="auto" w:fill="F9FAFB"/>
          </w:tcPr>
          <w:p>
            <w:pPr>
              <w:spacing w:after="0"/>
            </w:pPr>
            <w:r/>
            <w:r>
              <w:rPr>
                <w:b w:val="0"/>
                <w:i w:val="0"/>
                <w:sz w:val="13"/>
              </w:rPr>
              <w:t>Invoicing policy 'delivered quantities'</w:t>
            </w:r>
          </w:p>
        </w:tc>
        <w:tc>
          <w:tcPr>
            <w:tcW w:type="dxa" w:w="1474"/>
            <w:shd w:val="clear" w:color="auto" w:fill="F9FAFB"/>
          </w:tcPr>
          <w:p>
            <w:pPr>
              <w:spacing w:after="0"/>
            </w:pPr>
            <w:r/>
            <w:r>
              <w:rPr>
                <w:b w:val="0"/>
                <w:i w:val="0"/>
                <w:sz w:val="13"/>
              </w:rPr>
              <w:t>None</w:t>
            </w:r>
          </w:p>
        </w:tc>
        <w:tc>
          <w:tcPr>
            <w:tcW w:type="dxa" w:w="737"/>
            <w:shd w:val="clear" w:color="auto" w:fill="F9FAFB"/>
          </w:tcPr>
          <w:p>
            <w:pPr>
              <w:spacing w:after="0"/>
            </w:pPr>
            <w:r/>
            <w:r>
              <w:rPr>
                <w:b w:val="0"/>
                <w:i w:val="0"/>
                <w:sz w:val="13"/>
              </w:rPr>
              <w:t>High</w:t>
            </w:r>
          </w:p>
        </w:tc>
        <w:tc>
          <w:tcPr>
            <w:tcW w:type="dxa" w:w="1077"/>
            <w:shd w:val="clear" w:color="auto" w:fill="F9FAFB"/>
          </w:tcPr>
          <w:p>
            <w:pPr>
              <w:spacing w:after="0"/>
            </w:pPr>
            <w:r/>
            <w:r>
              <w:rPr>
                <w:b w:val="0"/>
                <w:i w:val="0"/>
                <w:sz w:val="13"/>
              </w:rPr>
              <w:t>Mohamed Essam El-Din Youssef</w:t>
            </w:r>
          </w:p>
        </w:tc>
        <w:tc>
          <w:tcPr>
            <w:tcW w:type="dxa" w:w="1474"/>
            <w:shd w:val="clear" w:color="auto" w:fill="F9FAFB"/>
          </w:tcPr>
          <w:p>
            <w:pPr>
              <w:spacing w:after="0"/>
            </w:pPr>
            <w:r/>
            <w:r>
              <w:rPr>
                <w:b w:val="0"/>
                <w:i w:val="0"/>
                <w:sz w:val="13"/>
              </w:rPr>
              <w:t>SAL-004</w:t>
            </w:r>
          </w:p>
        </w:tc>
      </w:tr>
      <w:tr>
        <w:trPr>
          <w:cantSplit w:val="true"/>
        </w:trPr>
        <w:tc>
          <w:tcPr>
            <w:tcW w:type="dxa" w:w="680"/>
          </w:tcPr>
          <w:p>
            <w:pPr>
              <w:spacing w:after="0"/>
            </w:pPr>
            <w:r/>
            <w:r>
              <w:rPr>
                <w:b w:val="0"/>
                <w:i w:val="0"/>
                <w:sz w:val="13"/>
              </w:rPr>
              <w:t>G-07</w:t>
            </w:r>
          </w:p>
        </w:tc>
        <w:tc>
          <w:tcPr>
            <w:tcW w:type="dxa" w:w="1020"/>
          </w:tcPr>
          <w:p>
            <w:pPr>
              <w:spacing w:after="0"/>
            </w:pPr>
            <w:r/>
            <w:r>
              <w:rPr>
                <w:b w:val="0"/>
                <w:i w:val="0"/>
                <w:sz w:val="13"/>
              </w:rPr>
              <w:t>Procurement</w:t>
            </w:r>
          </w:p>
        </w:tc>
        <w:tc>
          <w:tcPr>
            <w:tcW w:type="dxa" w:w="1587"/>
          </w:tcPr>
          <w:p>
            <w:pPr>
              <w:spacing w:after="0"/>
            </w:pPr>
            <w:r/>
            <w:r>
              <w:rPr>
                <w:b w:val="0"/>
                <w:i w:val="0"/>
                <w:sz w:val="13"/>
              </w:rPr>
              <w:t>Email RFQs; spreadsheet POs</w:t>
            </w:r>
          </w:p>
        </w:tc>
        <w:tc>
          <w:tcPr>
            <w:tcW w:type="dxa" w:w="1644"/>
          </w:tcPr>
          <w:p>
            <w:pPr>
              <w:spacing w:after="0"/>
            </w:pPr>
            <w:r/>
            <w:r>
              <w:rPr>
                <w:b w:val="0"/>
                <w:i w:val="0"/>
                <w:sz w:val="13"/>
              </w:rPr>
              <w:t>RFQ-to-PO flow with lead times and approvals</w:t>
            </w:r>
          </w:p>
        </w:tc>
        <w:tc>
          <w:tcPr>
            <w:tcW w:type="dxa" w:w="1417"/>
          </w:tcPr>
          <w:p>
            <w:pPr>
              <w:spacing w:after="0"/>
            </w:pPr>
            <w:r/>
            <w:r>
              <w:rPr>
                <w:b w:val="0"/>
                <w:i w:val="0"/>
                <w:sz w:val="13"/>
              </w:rPr>
              <w:t>No approval trail; late replenishment</w:t>
            </w:r>
          </w:p>
        </w:tc>
        <w:tc>
          <w:tcPr>
            <w:tcW w:type="dxa" w:w="1587"/>
          </w:tcPr>
          <w:p>
            <w:pPr>
              <w:spacing w:after="0"/>
            </w:pPr>
            <w:r/>
            <w:r>
              <w:rPr>
                <w:b w:val="0"/>
                <w:i w:val="0"/>
                <w:sz w:val="13"/>
              </w:rPr>
              <w:t>Purchase module with double validation</w:t>
            </w:r>
          </w:p>
        </w:tc>
        <w:tc>
          <w:tcPr>
            <w:tcW w:type="dxa" w:w="1474"/>
          </w:tcPr>
          <w:p>
            <w:pPr>
              <w:spacing w:after="0"/>
            </w:pPr>
            <w:r/>
            <w:r>
              <w:rPr>
                <w:b w:val="0"/>
                <w:i w:val="0"/>
                <w:sz w:val="13"/>
              </w:rPr>
              <w:t>RFQ, PO, vendor pricelists, lead times</w:t>
            </w:r>
          </w:p>
        </w:tc>
        <w:tc>
          <w:tcPr>
            <w:tcW w:type="dxa" w:w="1531"/>
          </w:tcPr>
          <w:p>
            <w:pPr>
              <w:spacing w:after="0"/>
            </w:pPr>
            <w:r/>
            <w:r>
              <w:rPr>
                <w:b w:val="0"/>
                <w:i w:val="0"/>
                <w:sz w:val="13"/>
              </w:rPr>
              <w:t>Approval above EGP 250,000</w:t>
            </w:r>
          </w:p>
        </w:tc>
        <w:tc>
          <w:tcPr>
            <w:tcW w:type="dxa" w:w="1474"/>
          </w:tcPr>
          <w:p>
            <w:pPr>
              <w:spacing w:after="0"/>
            </w:pPr>
            <w:r/>
            <w:r>
              <w:rPr>
                <w:b w:val="0"/>
                <w:i w:val="0"/>
                <w:sz w:val="13"/>
              </w:rPr>
              <w:t>None</w:t>
            </w:r>
          </w:p>
        </w:tc>
        <w:tc>
          <w:tcPr>
            <w:tcW w:type="dxa" w:w="737"/>
          </w:tcPr>
          <w:p>
            <w:pPr>
              <w:spacing w:after="0"/>
            </w:pPr>
            <w:r/>
            <w:r>
              <w:rPr>
                <w:b w:val="0"/>
                <w:i w:val="0"/>
                <w:sz w:val="13"/>
              </w:rPr>
              <w:t>High</w:t>
            </w:r>
          </w:p>
        </w:tc>
        <w:tc>
          <w:tcPr>
            <w:tcW w:type="dxa" w:w="1077"/>
          </w:tcPr>
          <w:p>
            <w:pPr>
              <w:spacing w:after="0"/>
            </w:pPr>
            <w:r/>
            <w:r>
              <w:rPr>
                <w:b w:val="0"/>
                <w:i w:val="0"/>
                <w:sz w:val="13"/>
              </w:rPr>
              <w:t>Fathy Adel Fathy</w:t>
            </w:r>
          </w:p>
        </w:tc>
        <w:tc>
          <w:tcPr>
            <w:tcW w:type="dxa" w:w="1474"/>
          </w:tcPr>
          <w:p>
            <w:pPr>
              <w:spacing w:after="0"/>
            </w:pPr>
            <w:r/>
            <w:r>
              <w:rPr>
                <w:b w:val="0"/>
                <w:i w:val="0"/>
                <w:sz w:val="13"/>
              </w:rPr>
              <w:t>PUR-001, PUR-002</w:t>
            </w:r>
          </w:p>
        </w:tc>
      </w:tr>
      <w:tr>
        <w:trPr>
          <w:cantSplit w:val="true"/>
        </w:trPr>
        <w:tc>
          <w:tcPr>
            <w:tcW w:type="dxa" w:w="680"/>
            <w:shd w:val="clear" w:color="auto" w:fill="F9FAFB"/>
          </w:tcPr>
          <w:p>
            <w:pPr>
              <w:spacing w:after="0"/>
            </w:pPr>
            <w:r/>
            <w:r>
              <w:rPr>
                <w:b w:val="0"/>
                <w:i w:val="0"/>
                <w:sz w:val="13"/>
              </w:rPr>
              <w:t>G-08</w:t>
            </w:r>
          </w:p>
        </w:tc>
        <w:tc>
          <w:tcPr>
            <w:tcW w:type="dxa" w:w="1020"/>
            <w:shd w:val="clear" w:color="auto" w:fill="F9FAFB"/>
          </w:tcPr>
          <w:p>
            <w:pPr>
              <w:spacing w:after="0"/>
            </w:pPr>
            <w:r/>
            <w:r>
              <w:rPr>
                <w:b w:val="0"/>
                <w:i w:val="0"/>
                <w:sz w:val="13"/>
              </w:rPr>
              <w:t>Replenishment</w:t>
            </w:r>
          </w:p>
        </w:tc>
        <w:tc>
          <w:tcPr>
            <w:tcW w:type="dxa" w:w="1587"/>
            <w:shd w:val="clear" w:color="auto" w:fill="F9FAFB"/>
          </w:tcPr>
          <w:p>
            <w:pPr>
              <w:spacing w:after="0"/>
            </w:pPr>
            <w:r/>
            <w:r>
              <w:rPr>
                <w:b w:val="0"/>
                <w:i w:val="0"/>
                <w:sz w:val="13"/>
              </w:rPr>
              <w:t>Reorder decided by memory</w:t>
            </w:r>
          </w:p>
        </w:tc>
        <w:tc>
          <w:tcPr>
            <w:tcW w:type="dxa" w:w="1644"/>
            <w:shd w:val="clear" w:color="auto" w:fill="F9FAFB"/>
          </w:tcPr>
          <w:p>
            <w:pPr>
              <w:spacing w:after="0"/>
            </w:pPr>
            <w:r/>
            <w:r>
              <w:rPr>
                <w:b w:val="0"/>
                <w:i w:val="0"/>
                <w:sz w:val="13"/>
              </w:rPr>
              <w:t>Min/max reordering rules with scheduler</w:t>
            </w:r>
          </w:p>
        </w:tc>
        <w:tc>
          <w:tcPr>
            <w:tcW w:type="dxa" w:w="1417"/>
            <w:shd w:val="clear" w:color="auto" w:fill="F9FAFB"/>
          </w:tcPr>
          <w:p>
            <w:pPr>
              <w:spacing w:after="0"/>
            </w:pPr>
            <w:r/>
            <w:r>
              <w:rPr>
                <w:b w:val="0"/>
                <w:i w:val="0"/>
                <w:sz w:val="13"/>
              </w:rPr>
              <w:t>Stock-outs of fast movers (e.g. infusion pumps, cannulas)</w:t>
            </w:r>
          </w:p>
        </w:tc>
        <w:tc>
          <w:tcPr>
            <w:tcW w:type="dxa" w:w="1587"/>
            <w:shd w:val="clear" w:color="auto" w:fill="F9FAFB"/>
          </w:tcPr>
          <w:p>
            <w:pPr>
              <w:spacing w:after="0"/>
            </w:pPr>
            <w:r/>
            <w:r>
              <w:rPr>
                <w:b w:val="0"/>
                <w:i w:val="0"/>
                <w:sz w:val="13"/>
              </w:rPr>
              <w:t>Reordering rules per product/warehouse</w:t>
            </w:r>
          </w:p>
        </w:tc>
        <w:tc>
          <w:tcPr>
            <w:tcW w:type="dxa" w:w="1474"/>
            <w:shd w:val="clear" w:color="auto" w:fill="F9FAFB"/>
          </w:tcPr>
          <w:p>
            <w:pPr>
              <w:spacing w:after="0"/>
            </w:pPr>
            <w:r/>
            <w:r>
              <w:rPr>
                <w:b w:val="0"/>
                <w:i w:val="0"/>
                <w:sz w:val="13"/>
              </w:rPr>
              <w:t>Replenishment, scheduler</w:t>
            </w:r>
          </w:p>
        </w:tc>
        <w:tc>
          <w:tcPr>
            <w:tcW w:type="dxa" w:w="1531"/>
            <w:shd w:val="clear" w:color="auto" w:fill="F9FAFB"/>
          </w:tcPr>
          <w:p>
            <w:pPr>
              <w:spacing w:after="0"/>
            </w:pPr>
            <w:r/>
            <w:r>
              <w:rPr>
                <w:b w:val="0"/>
                <w:i w:val="0"/>
                <w:sz w:val="13"/>
              </w:rPr>
              <w:t>23 rules from Products workbook</w:t>
            </w:r>
          </w:p>
        </w:tc>
        <w:tc>
          <w:tcPr>
            <w:tcW w:type="dxa" w:w="1474"/>
            <w:shd w:val="clear" w:color="auto" w:fill="F9FAFB"/>
          </w:tcPr>
          <w:p>
            <w:pPr>
              <w:spacing w:after="0"/>
            </w:pPr>
            <w:r/>
            <w:r>
              <w:rPr>
                <w:b w:val="0"/>
                <w:i w:val="0"/>
                <w:sz w:val="13"/>
              </w:rPr>
              <w:t>None</w:t>
            </w:r>
          </w:p>
        </w:tc>
        <w:tc>
          <w:tcPr>
            <w:tcW w:type="dxa" w:w="737"/>
            <w:shd w:val="clear" w:color="auto" w:fill="F9FAFB"/>
          </w:tcPr>
          <w:p>
            <w:pPr>
              <w:spacing w:after="0"/>
            </w:pPr>
            <w:r/>
            <w:r>
              <w:rPr>
                <w:b w:val="0"/>
                <w:i w:val="0"/>
                <w:sz w:val="13"/>
              </w:rPr>
              <w:t>High</w:t>
            </w:r>
          </w:p>
        </w:tc>
        <w:tc>
          <w:tcPr>
            <w:tcW w:type="dxa" w:w="1077"/>
            <w:shd w:val="clear" w:color="auto" w:fill="F9FAFB"/>
          </w:tcPr>
          <w:p>
            <w:pPr>
              <w:spacing w:after="0"/>
            </w:pPr>
            <w:r/>
            <w:r>
              <w:rPr>
                <w:b w:val="0"/>
                <w:i w:val="0"/>
                <w:sz w:val="13"/>
              </w:rPr>
              <w:t>Fathy Adel Fathy</w:t>
            </w:r>
          </w:p>
        </w:tc>
        <w:tc>
          <w:tcPr>
            <w:tcW w:type="dxa" w:w="1474"/>
            <w:shd w:val="clear" w:color="auto" w:fill="F9FAFB"/>
          </w:tcPr>
          <w:p>
            <w:pPr>
              <w:spacing w:after="0"/>
            </w:pPr>
            <w:r/>
            <w:r>
              <w:rPr>
                <w:b w:val="0"/>
                <w:i w:val="0"/>
                <w:sz w:val="13"/>
              </w:rPr>
              <w:t>PUR-003, INV-012</w:t>
            </w:r>
          </w:p>
        </w:tc>
      </w:tr>
      <w:tr>
        <w:trPr>
          <w:cantSplit w:val="true"/>
        </w:trPr>
        <w:tc>
          <w:tcPr>
            <w:tcW w:type="dxa" w:w="680"/>
          </w:tcPr>
          <w:p>
            <w:pPr>
              <w:spacing w:after="0"/>
            </w:pPr>
            <w:r/>
            <w:r>
              <w:rPr>
                <w:b w:val="0"/>
                <w:i w:val="0"/>
                <w:sz w:val="13"/>
              </w:rPr>
              <w:t>G-09</w:t>
            </w:r>
          </w:p>
        </w:tc>
        <w:tc>
          <w:tcPr>
            <w:tcW w:type="dxa" w:w="1020"/>
          </w:tcPr>
          <w:p>
            <w:pPr>
              <w:spacing w:after="0"/>
            </w:pPr>
            <w:r/>
            <w:r>
              <w:rPr>
                <w:b w:val="0"/>
                <w:i w:val="0"/>
                <w:sz w:val="13"/>
              </w:rPr>
              <w:t>Receiving</w:t>
            </w:r>
          </w:p>
        </w:tc>
        <w:tc>
          <w:tcPr>
            <w:tcW w:type="dxa" w:w="1587"/>
          </w:tcPr>
          <w:p>
            <w:pPr>
              <w:spacing w:after="0"/>
            </w:pPr>
            <w:r/>
            <w:r>
              <w:rPr>
                <w:b w:val="0"/>
                <w:i w:val="0"/>
                <w:sz w:val="13"/>
              </w:rPr>
              <w:t>Paper GRN; lots/expiry not captured</w:t>
            </w:r>
          </w:p>
        </w:tc>
        <w:tc>
          <w:tcPr>
            <w:tcW w:type="dxa" w:w="1644"/>
          </w:tcPr>
          <w:p>
            <w:pPr>
              <w:spacing w:after="0"/>
            </w:pPr>
            <w:r/>
            <w:r>
              <w:rPr>
                <w:b w:val="0"/>
                <w:i w:val="0"/>
                <w:sz w:val="13"/>
              </w:rPr>
              <w:t>Mandatory lot/serial and expiry at receipt</w:t>
            </w:r>
          </w:p>
        </w:tc>
        <w:tc>
          <w:tcPr>
            <w:tcW w:type="dxa" w:w="1417"/>
          </w:tcPr>
          <w:p>
            <w:pPr>
              <w:spacing w:after="0"/>
            </w:pPr>
            <w:r/>
            <w:r>
              <w:rPr>
                <w:b w:val="0"/>
                <w:i w:val="0"/>
                <w:sz w:val="13"/>
              </w:rPr>
              <w:t>No traceability; expired stock sold</w:t>
            </w:r>
          </w:p>
        </w:tc>
        <w:tc>
          <w:tcPr>
            <w:tcW w:type="dxa" w:w="1587"/>
          </w:tcPr>
          <w:p>
            <w:pPr>
              <w:spacing w:after="0"/>
            </w:pPr>
            <w:r/>
            <w:r>
              <w:rPr>
                <w:b w:val="0"/>
                <w:i w:val="0"/>
                <w:sz w:val="13"/>
              </w:rPr>
              <w:t>Lots, serials and expiration dates enabled</w:t>
            </w:r>
          </w:p>
        </w:tc>
        <w:tc>
          <w:tcPr>
            <w:tcW w:type="dxa" w:w="1474"/>
          </w:tcPr>
          <w:p>
            <w:pPr>
              <w:spacing w:after="0"/>
            </w:pPr>
            <w:r/>
            <w:r>
              <w:rPr>
                <w:b w:val="0"/>
                <w:i w:val="0"/>
                <w:sz w:val="13"/>
              </w:rPr>
              <w:t>Lots &amp; serial numbers, expiration dates</w:t>
            </w:r>
          </w:p>
        </w:tc>
        <w:tc>
          <w:tcPr>
            <w:tcW w:type="dxa" w:w="1531"/>
          </w:tcPr>
          <w:p>
            <w:pPr>
              <w:spacing w:after="0"/>
            </w:pPr>
            <w:r/>
            <w:r>
              <w:rPr>
                <w:b w:val="0"/>
                <w:i w:val="0"/>
                <w:sz w:val="13"/>
              </w:rPr>
              <w:t>Tracking per product; expiry alert 60 days</w:t>
            </w:r>
          </w:p>
        </w:tc>
        <w:tc>
          <w:tcPr>
            <w:tcW w:type="dxa" w:w="1474"/>
          </w:tcPr>
          <w:p>
            <w:pPr>
              <w:spacing w:after="0"/>
            </w:pPr>
            <w:r/>
            <w:r>
              <w:rPr>
                <w:b w:val="0"/>
                <w:i w:val="0"/>
                <w:sz w:val="13"/>
              </w:rPr>
              <w:t>None</w:t>
            </w:r>
          </w:p>
        </w:tc>
        <w:tc>
          <w:tcPr>
            <w:tcW w:type="dxa" w:w="737"/>
          </w:tcPr>
          <w:p>
            <w:pPr>
              <w:spacing w:after="0"/>
            </w:pPr>
            <w:r/>
            <w:r>
              <w:rPr>
                <w:b w:val="0"/>
                <w:i w:val="0"/>
                <w:sz w:val="13"/>
              </w:rPr>
              <w:t>High</w:t>
            </w:r>
          </w:p>
        </w:tc>
        <w:tc>
          <w:tcPr>
            <w:tcW w:type="dxa" w:w="1077"/>
          </w:tcPr>
          <w:p>
            <w:pPr>
              <w:spacing w:after="0"/>
            </w:pPr>
            <w:r/>
            <w:r>
              <w:rPr>
                <w:b w:val="0"/>
                <w:i w:val="0"/>
                <w:sz w:val="13"/>
              </w:rPr>
              <w:t>Ahmed Mahmoud Mohamed</w:t>
            </w:r>
          </w:p>
        </w:tc>
        <w:tc>
          <w:tcPr>
            <w:tcW w:type="dxa" w:w="1474"/>
          </w:tcPr>
          <w:p>
            <w:pPr>
              <w:spacing w:after="0"/>
            </w:pPr>
            <w:r/>
            <w:r>
              <w:rPr>
                <w:b w:val="0"/>
                <w:i w:val="0"/>
                <w:sz w:val="13"/>
              </w:rPr>
              <w:t>PUR-007, INV-003, INV-004, INV-005</w:t>
            </w:r>
          </w:p>
        </w:tc>
      </w:tr>
      <w:tr>
        <w:trPr>
          <w:cantSplit w:val="true"/>
        </w:trPr>
        <w:tc>
          <w:tcPr>
            <w:tcW w:type="dxa" w:w="680"/>
            <w:shd w:val="clear" w:color="auto" w:fill="F9FAFB"/>
          </w:tcPr>
          <w:p>
            <w:pPr>
              <w:spacing w:after="0"/>
            </w:pPr>
            <w:r/>
            <w:r>
              <w:rPr>
                <w:b w:val="0"/>
                <w:i w:val="0"/>
                <w:sz w:val="13"/>
              </w:rPr>
              <w:t>G-10</w:t>
            </w:r>
          </w:p>
        </w:tc>
        <w:tc>
          <w:tcPr>
            <w:tcW w:type="dxa" w:w="1020"/>
            <w:shd w:val="clear" w:color="auto" w:fill="F9FAFB"/>
          </w:tcPr>
          <w:p>
            <w:pPr>
              <w:spacing w:after="0"/>
            </w:pPr>
            <w:r/>
            <w:r>
              <w:rPr>
                <w:b w:val="0"/>
                <w:i w:val="0"/>
                <w:sz w:val="13"/>
              </w:rPr>
              <w:t>Inspection</w:t>
            </w:r>
          </w:p>
        </w:tc>
        <w:tc>
          <w:tcPr>
            <w:tcW w:type="dxa" w:w="1587"/>
            <w:shd w:val="clear" w:color="auto" w:fill="F9FAFB"/>
          </w:tcPr>
          <w:p>
            <w:pPr>
              <w:spacing w:after="0"/>
            </w:pPr>
            <w:r/>
            <w:r>
              <w:rPr>
                <w:b w:val="0"/>
                <w:i w:val="0"/>
                <w:sz w:val="13"/>
              </w:rPr>
              <w:t>Informal visual check</w:t>
            </w:r>
          </w:p>
        </w:tc>
        <w:tc>
          <w:tcPr>
            <w:tcW w:type="dxa" w:w="1644"/>
            <w:shd w:val="clear" w:color="auto" w:fill="F9FAFB"/>
          </w:tcPr>
          <w:p>
            <w:pPr>
              <w:spacing w:after="0"/>
            </w:pPr>
            <w:r/>
            <w:r>
              <w:rPr>
                <w:b w:val="0"/>
                <w:i w:val="0"/>
                <w:sz w:val="13"/>
              </w:rPr>
              <w:t>Documented quality check with failure routing</w:t>
            </w:r>
          </w:p>
        </w:tc>
        <w:tc>
          <w:tcPr>
            <w:tcW w:type="dxa" w:w="1417"/>
            <w:shd w:val="clear" w:color="auto" w:fill="F9FAFB"/>
          </w:tcPr>
          <w:p>
            <w:pPr>
              <w:spacing w:after="0"/>
            </w:pPr>
            <w:r/>
            <w:r>
              <w:rPr>
                <w:b w:val="0"/>
                <w:i w:val="0"/>
                <w:sz w:val="13"/>
              </w:rPr>
              <w:t>Defective goods enter stock</w:t>
            </w:r>
          </w:p>
        </w:tc>
        <w:tc>
          <w:tcPr>
            <w:tcW w:type="dxa" w:w="1587"/>
            <w:shd w:val="clear" w:color="auto" w:fill="F9FAFB"/>
          </w:tcPr>
          <w:p>
            <w:pPr>
              <w:spacing w:after="0"/>
            </w:pPr>
            <w:r/>
            <w:r>
              <w:rPr>
                <w:b w:val="0"/>
                <w:i w:val="0"/>
                <w:sz w:val="13"/>
              </w:rPr>
              <w:t>Quality control point on receipts</w:t>
            </w:r>
          </w:p>
        </w:tc>
        <w:tc>
          <w:tcPr>
            <w:tcW w:type="dxa" w:w="1474"/>
            <w:shd w:val="clear" w:color="auto" w:fill="F9FAFB"/>
          </w:tcPr>
          <w:p>
            <w:pPr>
              <w:spacing w:after="0"/>
            </w:pPr>
            <w:r/>
            <w:r>
              <w:rPr>
                <w:b w:val="0"/>
                <w:i w:val="0"/>
                <w:sz w:val="13"/>
              </w:rPr>
              <w:t>Quality app (Enterprise)</w:t>
            </w:r>
          </w:p>
        </w:tc>
        <w:tc>
          <w:tcPr>
            <w:tcW w:type="dxa" w:w="1531"/>
            <w:shd w:val="clear" w:color="auto" w:fill="F9FAFB"/>
          </w:tcPr>
          <w:p>
            <w:pPr>
              <w:spacing w:after="0"/>
            </w:pPr>
            <w:r/>
            <w:r>
              <w:rPr>
                <w:b w:val="0"/>
                <w:i w:val="0"/>
                <w:sz w:val="13"/>
              </w:rPr>
              <w:t>Control point on receipt operation types</w:t>
            </w:r>
          </w:p>
        </w:tc>
        <w:tc>
          <w:tcPr>
            <w:tcW w:type="dxa" w:w="1474"/>
            <w:shd w:val="clear" w:color="auto" w:fill="F9FAFB"/>
          </w:tcPr>
          <w:p>
            <w:pPr>
              <w:spacing w:after="0"/>
            </w:pPr>
            <w:r/>
            <w:r>
              <w:rPr>
                <w:b w:val="0"/>
                <w:i w:val="0"/>
                <w:sz w:val="13"/>
              </w:rPr>
              <w:t>Manual checklist if Quality app unavailable</w:t>
            </w:r>
          </w:p>
        </w:tc>
        <w:tc>
          <w:tcPr>
            <w:tcW w:type="dxa" w:w="737"/>
            <w:shd w:val="clear" w:color="auto" w:fill="F9FAFB"/>
          </w:tcPr>
          <w:p>
            <w:pPr>
              <w:spacing w:after="0"/>
            </w:pPr>
            <w:r/>
            <w:r>
              <w:rPr>
                <w:b w:val="0"/>
                <w:i w:val="0"/>
                <w:sz w:val="13"/>
              </w:rPr>
              <w:t>High</w:t>
            </w:r>
          </w:p>
        </w:tc>
        <w:tc>
          <w:tcPr>
            <w:tcW w:type="dxa" w:w="1077"/>
            <w:shd w:val="clear" w:color="auto" w:fill="F9FAFB"/>
          </w:tcPr>
          <w:p>
            <w:pPr>
              <w:spacing w:after="0"/>
            </w:pPr>
            <w:r/>
            <w:r>
              <w:rPr>
                <w:b w:val="0"/>
                <w:i w:val="0"/>
                <w:sz w:val="13"/>
              </w:rPr>
              <w:t>Fathy Adel Fathy</w:t>
            </w:r>
          </w:p>
        </w:tc>
        <w:tc>
          <w:tcPr>
            <w:tcW w:type="dxa" w:w="1474"/>
            <w:shd w:val="clear" w:color="auto" w:fill="F9FAFB"/>
          </w:tcPr>
          <w:p>
            <w:pPr>
              <w:spacing w:after="0"/>
            </w:pPr>
            <w:r/>
            <w:r>
              <w:rPr>
                <w:b w:val="0"/>
                <w:i w:val="0"/>
                <w:sz w:val="13"/>
              </w:rPr>
              <w:t>INV-002</w:t>
            </w:r>
          </w:p>
        </w:tc>
      </w:tr>
      <w:tr>
        <w:trPr>
          <w:cantSplit w:val="true"/>
        </w:trPr>
        <w:tc>
          <w:tcPr>
            <w:tcW w:type="dxa" w:w="680"/>
          </w:tcPr>
          <w:p>
            <w:pPr>
              <w:spacing w:after="0"/>
            </w:pPr>
            <w:r/>
            <w:r>
              <w:rPr>
                <w:b w:val="0"/>
                <w:i w:val="0"/>
                <w:sz w:val="13"/>
              </w:rPr>
              <w:t>G-11</w:t>
            </w:r>
          </w:p>
        </w:tc>
        <w:tc>
          <w:tcPr>
            <w:tcW w:type="dxa" w:w="1020"/>
          </w:tcPr>
          <w:p>
            <w:pPr>
              <w:spacing w:after="0"/>
            </w:pPr>
            <w:r/>
            <w:r>
              <w:rPr>
                <w:b w:val="0"/>
                <w:i w:val="0"/>
                <w:sz w:val="13"/>
              </w:rPr>
              <w:t>Storage</w:t>
            </w:r>
          </w:p>
        </w:tc>
        <w:tc>
          <w:tcPr>
            <w:tcW w:type="dxa" w:w="1587"/>
          </w:tcPr>
          <w:p>
            <w:pPr>
              <w:spacing w:after="0"/>
            </w:pPr>
            <w:r/>
            <w:r>
              <w:rPr>
                <w:b w:val="0"/>
                <w:i w:val="0"/>
                <w:sz w:val="13"/>
              </w:rPr>
              <w:t>Single shelf list; no location logic</w:t>
            </w:r>
          </w:p>
        </w:tc>
        <w:tc>
          <w:tcPr>
            <w:tcW w:type="dxa" w:w="1644"/>
          </w:tcPr>
          <w:p>
            <w:pPr>
              <w:spacing w:after="0"/>
            </w:pPr>
            <w:r/>
            <w:r>
              <w:rPr>
                <w:b w:val="0"/>
                <w:i w:val="0"/>
                <w:sz w:val="13"/>
              </w:rPr>
              <w:t>Input/Stock/Output and per-warehouse locations</w:t>
            </w:r>
          </w:p>
        </w:tc>
        <w:tc>
          <w:tcPr>
            <w:tcW w:type="dxa" w:w="1417"/>
          </w:tcPr>
          <w:p>
            <w:pPr>
              <w:spacing w:after="0"/>
            </w:pPr>
            <w:r/>
            <w:r>
              <w:rPr>
                <w:b w:val="0"/>
                <w:i w:val="0"/>
                <w:sz w:val="13"/>
              </w:rPr>
              <w:t>Wrong picking, no putaway discipline</w:t>
            </w:r>
          </w:p>
        </w:tc>
        <w:tc>
          <w:tcPr>
            <w:tcW w:type="dxa" w:w="1587"/>
          </w:tcPr>
          <w:p>
            <w:pPr>
              <w:spacing w:after="0"/>
            </w:pPr>
            <w:r/>
            <w:r>
              <w:rPr>
                <w:b w:val="0"/>
                <w:i w:val="0"/>
                <w:sz w:val="13"/>
              </w:rPr>
              <w:t>Multi-step routes and putaway rules</w:t>
            </w:r>
          </w:p>
        </w:tc>
        <w:tc>
          <w:tcPr>
            <w:tcW w:type="dxa" w:w="1474"/>
          </w:tcPr>
          <w:p>
            <w:pPr>
              <w:spacing w:after="0"/>
            </w:pPr>
            <w:r/>
            <w:r>
              <w:rPr>
                <w:b w:val="0"/>
                <w:i w:val="0"/>
                <w:sz w:val="13"/>
              </w:rPr>
              <w:t>Storage locations, routes</w:t>
            </w:r>
          </w:p>
        </w:tc>
        <w:tc>
          <w:tcPr>
            <w:tcW w:type="dxa" w:w="1531"/>
          </w:tcPr>
          <w:p>
            <w:pPr>
              <w:spacing w:after="0"/>
            </w:pPr>
            <w:r/>
            <w:r>
              <w:rPr>
                <w:b w:val="0"/>
                <w:i w:val="0"/>
                <w:sz w:val="13"/>
              </w:rPr>
              <w:t>EQP/CON 2-step; SPR 1-step</w:t>
            </w:r>
          </w:p>
        </w:tc>
        <w:tc>
          <w:tcPr>
            <w:tcW w:type="dxa" w:w="1474"/>
          </w:tcPr>
          <w:p>
            <w:pPr>
              <w:spacing w:after="0"/>
            </w:pPr>
            <w:r/>
            <w:r>
              <w:rPr>
                <w:b w:val="0"/>
                <w:i w:val="0"/>
                <w:sz w:val="13"/>
              </w:rPr>
              <w:t>None</w:t>
            </w:r>
          </w:p>
        </w:tc>
        <w:tc>
          <w:tcPr>
            <w:tcW w:type="dxa" w:w="737"/>
          </w:tcPr>
          <w:p>
            <w:pPr>
              <w:spacing w:after="0"/>
            </w:pPr>
            <w:r/>
            <w:r>
              <w:rPr>
                <w:b w:val="0"/>
                <w:i w:val="0"/>
                <w:sz w:val="13"/>
              </w:rPr>
              <w:t>Medium</w:t>
            </w:r>
          </w:p>
        </w:tc>
        <w:tc>
          <w:tcPr>
            <w:tcW w:type="dxa" w:w="1077"/>
          </w:tcPr>
          <w:p>
            <w:pPr>
              <w:spacing w:after="0"/>
            </w:pPr>
            <w:r/>
            <w:r>
              <w:rPr>
                <w:b w:val="0"/>
                <w:i w:val="0"/>
                <w:sz w:val="13"/>
              </w:rPr>
              <w:t>Ahmed Mahmoud Mohamed</w:t>
            </w:r>
          </w:p>
        </w:tc>
        <w:tc>
          <w:tcPr>
            <w:tcW w:type="dxa" w:w="1474"/>
          </w:tcPr>
          <w:p>
            <w:pPr>
              <w:spacing w:after="0"/>
            </w:pPr>
            <w:r/>
            <w:r>
              <w:rPr>
                <w:b w:val="0"/>
                <w:i w:val="0"/>
                <w:sz w:val="13"/>
              </w:rPr>
              <w:t>INV-001, INV-014</w:t>
            </w:r>
          </w:p>
        </w:tc>
      </w:tr>
      <w:tr>
        <w:trPr>
          <w:cantSplit w:val="true"/>
        </w:trPr>
        <w:tc>
          <w:tcPr>
            <w:tcW w:type="dxa" w:w="680"/>
            <w:shd w:val="clear" w:color="auto" w:fill="F9FAFB"/>
          </w:tcPr>
          <w:p>
            <w:pPr>
              <w:spacing w:after="0"/>
            </w:pPr>
            <w:r/>
            <w:r>
              <w:rPr>
                <w:b w:val="0"/>
                <w:i w:val="0"/>
                <w:sz w:val="13"/>
              </w:rPr>
              <w:t>G-12</w:t>
            </w:r>
          </w:p>
        </w:tc>
        <w:tc>
          <w:tcPr>
            <w:tcW w:type="dxa" w:w="1020"/>
            <w:shd w:val="clear" w:color="auto" w:fill="F9FAFB"/>
          </w:tcPr>
          <w:p>
            <w:pPr>
              <w:spacing w:after="0"/>
            </w:pPr>
            <w:r/>
            <w:r>
              <w:rPr>
                <w:b w:val="0"/>
                <w:i w:val="0"/>
                <w:sz w:val="13"/>
              </w:rPr>
              <w:t>Picking</w:t>
            </w:r>
          </w:p>
        </w:tc>
        <w:tc>
          <w:tcPr>
            <w:tcW w:type="dxa" w:w="1587"/>
            <w:shd w:val="clear" w:color="auto" w:fill="F9FAFB"/>
          </w:tcPr>
          <w:p>
            <w:pPr>
              <w:spacing w:after="0"/>
            </w:pPr>
            <w:r/>
            <w:r>
              <w:rPr>
                <w:b w:val="0"/>
                <w:i w:val="0"/>
                <w:sz w:val="13"/>
              </w:rPr>
              <w:t>FIFO by habit; no expiry logic</w:t>
            </w:r>
          </w:p>
        </w:tc>
        <w:tc>
          <w:tcPr>
            <w:tcW w:type="dxa" w:w="1644"/>
            <w:shd w:val="clear" w:color="auto" w:fill="F9FAFB"/>
          </w:tcPr>
          <w:p>
            <w:pPr>
              <w:spacing w:after="0"/>
            </w:pPr>
            <w:r/>
            <w:r>
              <w:rPr>
                <w:b w:val="0"/>
                <w:i w:val="0"/>
                <w:sz w:val="13"/>
              </w:rPr>
              <w:t>FEFO for consumables</w:t>
            </w:r>
          </w:p>
        </w:tc>
        <w:tc>
          <w:tcPr>
            <w:tcW w:type="dxa" w:w="1417"/>
            <w:shd w:val="clear" w:color="auto" w:fill="F9FAFB"/>
          </w:tcPr>
          <w:p>
            <w:pPr>
              <w:spacing w:after="0"/>
            </w:pPr>
            <w:r/>
            <w:r>
              <w:rPr>
                <w:b w:val="0"/>
                <w:i w:val="0"/>
                <w:sz w:val="13"/>
              </w:rPr>
              <w:t>Expired and near-expiry write-offs</w:t>
            </w:r>
          </w:p>
        </w:tc>
        <w:tc>
          <w:tcPr>
            <w:tcW w:type="dxa" w:w="1587"/>
            <w:shd w:val="clear" w:color="auto" w:fill="F9FAFB"/>
          </w:tcPr>
          <w:p>
            <w:pPr>
              <w:spacing w:after="0"/>
            </w:pPr>
            <w:r/>
            <w:r>
              <w:rPr>
                <w:b w:val="0"/>
                <w:i w:val="0"/>
                <w:sz w:val="13"/>
              </w:rPr>
              <w:t>FEFO removal strategy</w:t>
            </w:r>
          </w:p>
        </w:tc>
        <w:tc>
          <w:tcPr>
            <w:tcW w:type="dxa" w:w="1474"/>
            <w:shd w:val="clear" w:color="auto" w:fill="F9FAFB"/>
          </w:tcPr>
          <w:p>
            <w:pPr>
              <w:spacing w:after="0"/>
            </w:pPr>
            <w:r/>
            <w:r>
              <w:rPr>
                <w:b w:val="0"/>
                <w:i w:val="0"/>
                <w:sz w:val="13"/>
              </w:rPr>
              <w:t>Removal strategies</w:t>
            </w:r>
          </w:p>
        </w:tc>
        <w:tc>
          <w:tcPr>
            <w:tcW w:type="dxa" w:w="1531"/>
            <w:shd w:val="clear" w:color="auto" w:fill="F9FAFB"/>
          </w:tcPr>
          <w:p>
            <w:pPr>
              <w:spacing w:after="0"/>
            </w:pPr>
            <w:r/>
            <w:r>
              <w:rPr>
                <w:b w:val="0"/>
                <w:i w:val="0"/>
                <w:sz w:val="13"/>
              </w:rPr>
              <w:t>Category-level FEFO</w:t>
            </w:r>
          </w:p>
        </w:tc>
        <w:tc>
          <w:tcPr>
            <w:tcW w:type="dxa" w:w="1474"/>
            <w:shd w:val="clear" w:color="auto" w:fill="F9FAFB"/>
          </w:tcPr>
          <w:p>
            <w:pPr>
              <w:spacing w:after="0"/>
            </w:pPr>
            <w:r/>
            <w:r>
              <w:rPr>
                <w:b w:val="0"/>
                <w:i w:val="0"/>
                <w:sz w:val="13"/>
              </w:rPr>
              <w:t>None</w:t>
            </w:r>
          </w:p>
        </w:tc>
        <w:tc>
          <w:tcPr>
            <w:tcW w:type="dxa" w:w="737"/>
            <w:shd w:val="clear" w:color="auto" w:fill="F9FAFB"/>
          </w:tcPr>
          <w:p>
            <w:pPr>
              <w:spacing w:after="0"/>
            </w:pPr>
            <w:r/>
            <w:r>
              <w:rPr>
                <w:b w:val="0"/>
                <w:i w:val="0"/>
                <w:sz w:val="13"/>
              </w:rPr>
              <w:t>High</w:t>
            </w:r>
          </w:p>
        </w:tc>
        <w:tc>
          <w:tcPr>
            <w:tcW w:type="dxa" w:w="1077"/>
            <w:shd w:val="clear" w:color="auto" w:fill="F9FAFB"/>
          </w:tcPr>
          <w:p>
            <w:pPr>
              <w:spacing w:after="0"/>
            </w:pPr>
            <w:r/>
            <w:r>
              <w:rPr>
                <w:b w:val="0"/>
                <w:i w:val="0"/>
                <w:sz w:val="13"/>
              </w:rPr>
              <w:t>Ahmed Mahmoud Mohamed</w:t>
            </w:r>
          </w:p>
        </w:tc>
        <w:tc>
          <w:tcPr>
            <w:tcW w:type="dxa" w:w="1474"/>
            <w:shd w:val="clear" w:color="auto" w:fill="F9FAFB"/>
          </w:tcPr>
          <w:p>
            <w:pPr>
              <w:spacing w:after="0"/>
            </w:pPr>
            <w:r/>
            <w:r>
              <w:rPr>
                <w:b w:val="0"/>
                <w:i w:val="0"/>
                <w:sz w:val="13"/>
              </w:rPr>
              <w:t>INV-006, INV-007</w:t>
            </w:r>
          </w:p>
        </w:tc>
      </w:tr>
      <w:tr>
        <w:trPr>
          <w:cantSplit w:val="true"/>
        </w:trPr>
        <w:tc>
          <w:tcPr>
            <w:tcW w:type="dxa" w:w="680"/>
          </w:tcPr>
          <w:p>
            <w:pPr>
              <w:spacing w:after="0"/>
            </w:pPr>
            <w:r/>
            <w:r>
              <w:rPr>
                <w:b w:val="0"/>
                <w:i w:val="0"/>
                <w:sz w:val="13"/>
              </w:rPr>
              <w:t>G-13</w:t>
            </w:r>
          </w:p>
        </w:tc>
        <w:tc>
          <w:tcPr>
            <w:tcW w:type="dxa" w:w="1020"/>
          </w:tcPr>
          <w:p>
            <w:pPr>
              <w:spacing w:after="0"/>
            </w:pPr>
            <w:r/>
            <w:r>
              <w:rPr>
                <w:b w:val="0"/>
                <w:i w:val="0"/>
                <w:sz w:val="13"/>
              </w:rPr>
              <w:t>Transfers</w:t>
            </w:r>
          </w:p>
        </w:tc>
        <w:tc>
          <w:tcPr>
            <w:tcW w:type="dxa" w:w="1587"/>
          </w:tcPr>
          <w:p>
            <w:pPr>
              <w:spacing w:after="0"/>
            </w:pPr>
            <w:r/>
            <w:r>
              <w:rPr>
                <w:b w:val="0"/>
                <w:i w:val="0"/>
                <w:sz w:val="13"/>
              </w:rPr>
              <w:t>Verbal transfers</w:t>
            </w:r>
          </w:p>
        </w:tc>
        <w:tc>
          <w:tcPr>
            <w:tcW w:type="dxa" w:w="1644"/>
          </w:tcPr>
          <w:p>
            <w:pPr>
              <w:spacing w:after="0"/>
            </w:pPr>
            <w:r/>
            <w:r>
              <w:rPr>
                <w:b w:val="0"/>
                <w:i w:val="0"/>
                <w:sz w:val="13"/>
              </w:rPr>
              <w:t>Documented internal transfers</w:t>
            </w:r>
          </w:p>
        </w:tc>
        <w:tc>
          <w:tcPr>
            <w:tcW w:type="dxa" w:w="1417"/>
          </w:tcPr>
          <w:p>
            <w:pPr>
              <w:spacing w:after="0"/>
            </w:pPr>
            <w:r/>
            <w:r>
              <w:rPr>
                <w:b w:val="0"/>
                <w:i w:val="0"/>
                <w:sz w:val="13"/>
              </w:rPr>
              <w:t>Double counting/loss between warehouses</w:t>
            </w:r>
          </w:p>
        </w:tc>
        <w:tc>
          <w:tcPr>
            <w:tcW w:type="dxa" w:w="1587"/>
          </w:tcPr>
          <w:p>
            <w:pPr>
              <w:spacing w:after="0"/>
            </w:pPr>
            <w:r/>
            <w:r>
              <w:rPr>
                <w:b w:val="0"/>
                <w:i w:val="0"/>
                <w:sz w:val="13"/>
              </w:rPr>
              <w:t>Internal transfer operations</w:t>
            </w:r>
          </w:p>
        </w:tc>
        <w:tc>
          <w:tcPr>
            <w:tcW w:type="dxa" w:w="1474"/>
          </w:tcPr>
          <w:p>
            <w:pPr>
              <w:spacing w:after="0"/>
            </w:pPr>
            <w:r/>
            <w:r>
              <w:rPr>
                <w:b w:val="0"/>
                <w:i w:val="0"/>
                <w:sz w:val="13"/>
              </w:rPr>
              <w:t>Internal transfers, in-transit</w:t>
            </w:r>
          </w:p>
        </w:tc>
        <w:tc>
          <w:tcPr>
            <w:tcW w:type="dxa" w:w="1531"/>
          </w:tcPr>
          <w:p>
            <w:pPr>
              <w:spacing w:after="0"/>
            </w:pPr>
            <w:r/>
            <w:r>
              <w:rPr>
                <w:b w:val="0"/>
                <w:i w:val="0"/>
                <w:sz w:val="13"/>
              </w:rPr>
              <w:t>Operation types per warehouse</w:t>
            </w:r>
          </w:p>
        </w:tc>
        <w:tc>
          <w:tcPr>
            <w:tcW w:type="dxa" w:w="1474"/>
          </w:tcPr>
          <w:p>
            <w:pPr>
              <w:spacing w:after="0"/>
            </w:pPr>
            <w:r/>
            <w:r>
              <w:rPr>
                <w:b w:val="0"/>
                <w:i w:val="0"/>
                <w:sz w:val="13"/>
              </w:rPr>
              <w:t>None</w:t>
            </w:r>
          </w:p>
        </w:tc>
        <w:tc>
          <w:tcPr>
            <w:tcW w:type="dxa" w:w="737"/>
          </w:tcPr>
          <w:p>
            <w:pPr>
              <w:spacing w:after="0"/>
            </w:pPr>
            <w:r/>
            <w:r>
              <w:rPr>
                <w:b w:val="0"/>
                <w:i w:val="0"/>
                <w:sz w:val="13"/>
              </w:rPr>
              <w:t>Medium</w:t>
            </w:r>
          </w:p>
        </w:tc>
        <w:tc>
          <w:tcPr>
            <w:tcW w:type="dxa" w:w="1077"/>
          </w:tcPr>
          <w:p>
            <w:pPr>
              <w:spacing w:after="0"/>
            </w:pPr>
            <w:r/>
            <w:r>
              <w:rPr>
                <w:b w:val="0"/>
                <w:i w:val="0"/>
                <w:sz w:val="13"/>
              </w:rPr>
              <w:t>Ahmed Mahmoud Mohamed</w:t>
            </w:r>
          </w:p>
        </w:tc>
        <w:tc>
          <w:tcPr>
            <w:tcW w:type="dxa" w:w="1474"/>
          </w:tcPr>
          <w:p>
            <w:pPr>
              <w:spacing w:after="0"/>
            </w:pPr>
            <w:r/>
            <w:r>
              <w:rPr>
                <w:b w:val="0"/>
                <w:i w:val="0"/>
                <w:sz w:val="13"/>
              </w:rPr>
              <w:t>INV-008</w:t>
            </w:r>
          </w:p>
        </w:tc>
      </w:tr>
      <w:tr>
        <w:trPr>
          <w:cantSplit w:val="true"/>
        </w:trPr>
        <w:tc>
          <w:tcPr>
            <w:tcW w:type="dxa" w:w="680"/>
            <w:shd w:val="clear" w:color="auto" w:fill="F9FAFB"/>
          </w:tcPr>
          <w:p>
            <w:pPr>
              <w:spacing w:after="0"/>
            </w:pPr>
            <w:r/>
            <w:r>
              <w:rPr>
                <w:b w:val="0"/>
                <w:i w:val="0"/>
                <w:sz w:val="13"/>
              </w:rPr>
              <w:t>G-14</w:t>
            </w:r>
          </w:p>
        </w:tc>
        <w:tc>
          <w:tcPr>
            <w:tcW w:type="dxa" w:w="1020"/>
            <w:shd w:val="clear" w:color="auto" w:fill="F9FAFB"/>
          </w:tcPr>
          <w:p>
            <w:pPr>
              <w:spacing w:after="0"/>
            </w:pPr>
            <w:r/>
            <w:r>
              <w:rPr>
                <w:b w:val="0"/>
                <w:i w:val="0"/>
                <w:sz w:val="13"/>
              </w:rPr>
              <w:t>Quarantine</w:t>
            </w:r>
          </w:p>
        </w:tc>
        <w:tc>
          <w:tcPr>
            <w:tcW w:type="dxa" w:w="1587"/>
            <w:shd w:val="clear" w:color="auto" w:fill="F9FAFB"/>
          </w:tcPr>
          <w:p>
            <w:pPr>
              <w:spacing w:after="0"/>
            </w:pPr>
            <w:r/>
            <w:r>
              <w:rPr>
                <w:b w:val="0"/>
                <w:i w:val="0"/>
                <w:sz w:val="13"/>
              </w:rPr>
              <w:t>Returned/damaged goods put back on shelf</w:t>
            </w:r>
          </w:p>
        </w:tc>
        <w:tc>
          <w:tcPr>
            <w:tcW w:type="dxa" w:w="1644"/>
            <w:shd w:val="clear" w:color="auto" w:fill="F9FAFB"/>
          </w:tcPr>
          <w:p>
            <w:pPr>
              <w:spacing w:after="0"/>
            </w:pPr>
            <w:r/>
            <w:r>
              <w:rPr>
                <w:b w:val="0"/>
                <w:i w:val="0"/>
                <w:sz w:val="13"/>
              </w:rPr>
              <w:t>Quarantine warehouse excluded from sale</w:t>
            </w:r>
          </w:p>
        </w:tc>
        <w:tc>
          <w:tcPr>
            <w:tcW w:type="dxa" w:w="1417"/>
            <w:shd w:val="clear" w:color="auto" w:fill="F9FAFB"/>
          </w:tcPr>
          <w:p>
            <w:pPr>
              <w:spacing w:after="0"/>
            </w:pPr>
            <w:r/>
            <w:r>
              <w:rPr>
                <w:b w:val="0"/>
                <w:i w:val="0"/>
                <w:sz w:val="13"/>
              </w:rPr>
              <w:t>Risk of selling failed/returned goods</w:t>
            </w:r>
          </w:p>
        </w:tc>
        <w:tc>
          <w:tcPr>
            <w:tcW w:type="dxa" w:w="1587"/>
            <w:shd w:val="clear" w:color="auto" w:fill="F9FAFB"/>
          </w:tcPr>
          <w:p>
            <w:pPr>
              <w:spacing w:after="0"/>
            </w:pPr>
            <w:r/>
            <w:r>
              <w:rPr>
                <w:b w:val="0"/>
                <w:i w:val="0"/>
                <w:sz w:val="13"/>
              </w:rPr>
              <w:t>QRT warehouse and flows</w:t>
            </w:r>
          </w:p>
        </w:tc>
        <w:tc>
          <w:tcPr>
            <w:tcW w:type="dxa" w:w="1474"/>
            <w:shd w:val="clear" w:color="auto" w:fill="F9FAFB"/>
          </w:tcPr>
          <w:p>
            <w:pPr>
              <w:spacing w:after="0"/>
            </w:pPr>
            <w:r/>
            <w:r>
              <w:rPr>
                <w:b w:val="0"/>
                <w:i w:val="0"/>
                <w:sz w:val="13"/>
              </w:rPr>
              <w:t>Locations, routes, scrap</w:t>
            </w:r>
          </w:p>
        </w:tc>
        <w:tc>
          <w:tcPr>
            <w:tcW w:type="dxa" w:w="1531"/>
            <w:shd w:val="clear" w:color="auto" w:fill="F9FAFB"/>
          </w:tcPr>
          <w:p>
            <w:pPr>
              <w:spacing w:after="0"/>
            </w:pPr>
            <w:r/>
            <w:r>
              <w:rPr>
                <w:b w:val="0"/>
                <w:i w:val="0"/>
                <w:sz w:val="13"/>
              </w:rPr>
              <w:t>QRT non-sellable; dispositions</w:t>
            </w:r>
          </w:p>
        </w:tc>
        <w:tc>
          <w:tcPr>
            <w:tcW w:type="dxa" w:w="1474"/>
            <w:shd w:val="clear" w:color="auto" w:fill="F9FAFB"/>
          </w:tcPr>
          <w:p>
            <w:pPr>
              <w:spacing w:after="0"/>
            </w:pPr>
            <w:r/>
            <w:r>
              <w:rPr>
                <w:b w:val="0"/>
                <w:i w:val="0"/>
                <w:sz w:val="13"/>
              </w:rPr>
              <w:t>None</w:t>
            </w:r>
          </w:p>
        </w:tc>
        <w:tc>
          <w:tcPr>
            <w:tcW w:type="dxa" w:w="737"/>
            <w:shd w:val="clear" w:color="auto" w:fill="F9FAFB"/>
          </w:tcPr>
          <w:p>
            <w:pPr>
              <w:spacing w:after="0"/>
            </w:pPr>
            <w:r/>
            <w:r>
              <w:rPr>
                <w:b w:val="0"/>
                <w:i w:val="0"/>
                <w:sz w:val="13"/>
              </w:rPr>
              <w:t>High</w:t>
            </w:r>
          </w:p>
        </w:tc>
        <w:tc>
          <w:tcPr>
            <w:tcW w:type="dxa" w:w="1077"/>
            <w:shd w:val="clear" w:color="auto" w:fill="F9FAFB"/>
          </w:tcPr>
          <w:p>
            <w:pPr>
              <w:spacing w:after="0"/>
            </w:pPr>
            <w:r/>
            <w:r>
              <w:rPr>
                <w:b w:val="0"/>
                <w:i w:val="0"/>
                <w:sz w:val="13"/>
              </w:rPr>
              <w:t>Fathy Adel Fathy</w:t>
            </w:r>
          </w:p>
        </w:tc>
        <w:tc>
          <w:tcPr>
            <w:tcW w:type="dxa" w:w="1474"/>
            <w:shd w:val="clear" w:color="auto" w:fill="F9FAFB"/>
          </w:tcPr>
          <w:p>
            <w:pPr>
              <w:spacing w:after="0"/>
            </w:pPr>
            <w:r/>
            <w:r>
              <w:rPr>
                <w:b w:val="0"/>
                <w:i w:val="0"/>
                <w:sz w:val="13"/>
              </w:rPr>
              <w:t>INV-009, INV-010, SAL-008</w:t>
            </w:r>
          </w:p>
        </w:tc>
      </w:tr>
      <w:tr>
        <w:trPr>
          <w:cantSplit w:val="true"/>
        </w:trPr>
        <w:tc>
          <w:tcPr>
            <w:tcW w:type="dxa" w:w="680"/>
          </w:tcPr>
          <w:p>
            <w:pPr>
              <w:spacing w:after="0"/>
            </w:pPr>
            <w:r/>
            <w:r>
              <w:rPr>
                <w:b w:val="0"/>
                <w:i w:val="0"/>
                <w:sz w:val="13"/>
              </w:rPr>
              <w:t>G-15</w:t>
            </w:r>
          </w:p>
        </w:tc>
        <w:tc>
          <w:tcPr>
            <w:tcW w:type="dxa" w:w="1020"/>
          </w:tcPr>
          <w:p>
            <w:pPr>
              <w:spacing w:after="0"/>
            </w:pPr>
            <w:r/>
            <w:r>
              <w:rPr>
                <w:b w:val="0"/>
                <w:i w:val="0"/>
                <w:sz w:val="13"/>
              </w:rPr>
              <w:t>Returns</w:t>
            </w:r>
          </w:p>
        </w:tc>
        <w:tc>
          <w:tcPr>
            <w:tcW w:type="dxa" w:w="1587"/>
          </w:tcPr>
          <w:p>
            <w:pPr>
              <w:spacing w:after="0"/>
            </w:pPr>
            <w:r/>
            <w:r>
              <w:rPr>
                <w:b w:val="0"/>
                <w:i w:val="0"/>
                <w:sz w:val="13"/>
              </w:rPr>
              <w:t>No link between returns and invoices</w:t>
            </w:r>
          </w:p>
        </w:tc>
        <w:tc>
          <w:tcPr>
            <w:tcW w:type="dxa" w:w="1644"/>
          </w:tcPr>
          <w:p>
            <w:pPr>
              <w:spacing w:after="0"/>
            </w:pPr>
            <w:r/>
            <w:r>
              <w:rPr>
                <w:b w:val="0"/>
                <w:i w:val="0"/>
                <w:sz w:val="13"/>
              </w:rPr>
              <w:t>Return linked to invoice with credit note</w:t>
            </w:r>
          </w:p>
        </w:tc>
        <w:tc>
          <w:tcPr>
            <w:tcW w:type="dxa" w:w="1417"/>
          </w:tcPr>
          <w:p>
            <w:pPr>
              <w:spacing w:after="0"/>
            </w:pPr>
            <w:r/>
            <w:r>
              <w:rPr>
                <w:b w:val="0"/>
                <w:i w:val="0"/>
                <w:sz w:val="13"/>
              </w:rPr>
              <w:t>Overstated revenue, disputes</w:t>
            </w:r>
          </w:p>
        </w:tc>
        <w:tc>
          <w:tcPr>
            <w:tcW w:type="dxa" w:w="1587"/>
          </w:tcPr>
          <w:p>
            <w:pPr>
              <w:spacing w:after="0"/>
            </w:pPr>
            <w:r/>
            <w:r>
              <w:rPr>
                <w:b w:val="0"/>
                <w:i w:val="0"/>
                <w:sz w:val="13"/>
              </w:rPr>
              <w:t>Return/credit note flow</w:t>
            </w:r>
          </w:p>
        </w:tc>
        <w:tc>
          <w:tcPr>
            <w:tcW w:type="dxa" w:w="1474"/>
          </w:tcPr>
          <w:p>
            <w:pPr>
              <w:spacing w:after="0"/>
            </w:pPr>
            <w:r/>
            <w:r>
              <w:rPr>
                <w:b w:val="0"/>
                <w:i w:val="0"/>
                <w:sz w:val="13"/>
              </w:rPr>
              <w:t>Returns, credit notes</w:t>
            </w:r>
          </w:p>
        </w:tc>
        <w:tc>
          <w:tcPr>
            <w:tcW w:type="dxa" w:w="1531"/>
          </w:tcPr>
          <w:p>
            <w:pPr>
              <w:spacing w:after="0"/>
            </w:pPr>
            <w:r/>
            <w:r>
              <w:rPr>
                <w:b w:val="0"/>
                <w:i w:val="0"/>
                <w:sz w:val="13"/>
              </w:rPr>
              <w:t>Credit-note journal; reason codes</w:t>
            </w:r>
          </w:p>
        </w:tc>
        <w:tc>
          <w:tcPr>
            <w:tcW w:type="dxa" w:w="1474"/>
          </w:tcPr>
          <w:p>
            <w:pPr>
              <w:spacing w:after="0"/>
            </w:pPr>
            <w:r/>
            <w:r>
              <w:rPr>
                <w:b w:val="0"/>
                <w:i w:val="0"/>
                <w:sz w:val="13"/>
              </w:rPr>
              <w:t>None</w:t>
            </w:r>
          </w:p>
        </w:tc>
        <w:tc>
          <w:tcPr>
            <w:tcW w:type="dxa" w:w="737"/>
          </w:tcPr>
          <w:p>
            <w:pPr>
              <w:spacing w:after="0"/>
            </w:pPr>
            <w:r/>
            <w:r>
              <w:rPr>
                <w:b w:val="0"/>
                <w:i w:val="0"/>
                <w:sz w:val="13"/>
              </w:rPr>
              <w:t>High</w:t>
            </w:r>
          </w:p>
        </w:tc>
        <w:tc>
          <w:tcPr>
            <w:tcW w:type="dxa" w:w="1077"/>
          </w:tcPr>
          <w:p>
            <w:pPr>
              <w:spacing w:after="0"/>
            </w:pPr>
            <w:r/>
            <w:r>
              <w:rPr>
                <w:b w:val="0"/>
                <w:i w:val="0"/>
                <w:sz w:val="13"/>
              </w:rPr>
              <w:t>Mohamed Essam El-Din Youssef</w:t>
            </w:r>
          </w:p>
        </w:tc>
        <w:tc>
          <w:tcPr>
            <w:tcW w:type="dxa" w:w="1474"/>
          </w:tcPr>
          <w:p>
            <w:pPr>
              <w:spacing w:after="0"/>
            </w:pPr>
            <w:r/>
            <w:r>
              <w:rPr>
                <w:b w:val="0"/>
                <w:i w:val="0"/>
                <w:sz w:val="13"/>
              </w:rPr>
              <w:t>SAL-008, ACC-004, PUR-005</w:t>
            </w:r>
          </w:p>
        </w:tc>
      </w:tr>
      <w:tr>
        <w:trPr>
          <w:cantSplit w:val="true"/>
        </w:trPr>
        <w:tc>
          <w:tcPr>
            <w:tcW w:type="dxa" w:w="680"/>
            <w:shd w:val="clear" w:color="auto" w:fill="F9FAFB"/>
          </w:tcPr>
          <w:p>
            <w:pPr>
              <w:spacing w:after="0"/>
            </w:pPr>
            <w:r/>
            <w:r>
              <w:rPr>
                <w:b w:val="0"/>
                <w:i w:val="0"/>
                <w:sz w:val="13"/>
              </w:rPr>
              <w:t>G-16</w:t>
            </w:r>
          </w:p>
        </w:tc>
        <w:tc>
          <w:tcPr>
            <w:tcW w:type="dxa" w:w="1020"/>
            <w:shd w:val="clear" w:color="auto" w:fill="F9FAFB"/>
          </w:tcPr>
          <w:p>
            <w:pPr>
              <w:spacing w:after="0"/>
            </w:pPr>
            <w:r/>
            <w:r>
              <w:rPr>
                <w:b w:val="0"/>
                <w:i w:val="0"/>
                <w:sz w:val="13"/>
              </w:rPr>
              <w:t>Traceability</w:t>
            </w:r>
          </w:p>
        </w:tc>
        <w:tc>
          <w:tcPr>
            <w:tcW w:type="dxa" w:w="1587"/>
            <w:shd w:val="clear" w:color="auto" w:fill="F9FAFB"/>
          </w:tcPr>
          <w:p>
            <w:pPr>
              <w:spacing w:after="0"/>
            </w:pPr>
            <w:r/>
            <w:r>
              <w:rPr>
                <w:b w:val="0"/>
                <w:i w:val="0"/>
                <w:sz w:val="13"/>
              </w:rPr>
              <w:t>Serials in paper registers</w:t>
            </w:r>
          </w:p>
        </w:tc>
        <w:tc>
          <w:tcPr>
            <w:tcW w:type="dxa" w:w="1644"/>
            <w:shd w:val="clear" w:color="auto" w:fill="F9FAFB"/>
          </w:tcPr>
          <w:p>
            <w:pPr>
              <w:spacing w:after="0"/>
            </w:pPr>
            <w:r/>
            <w:r>
              <w:rPr>
                <w:b w:val="0"/>
                <w:i w:val="0"/>
                <w:sz w:val="13"/>
              </w:rPr>
              <w:t>Upstream/downstream trace for lots and serials</w:t>
            </w:r>
          </w:p>
        </w:tc>
        <w:tc>
          <w:tcPr>
            <w:tcW w:type="dxa" w:w="1417"/>
            <w:shd w:val="clear" w:color="auto" w:fill="F9FAFB"/>
          </w:tcPr>
          <w:p>
            <w:pPr>
              <w:spacing w:after="0"/>
            </w:pPr>
            <w:r/>
            <w:r>
              <w:rPr>
                <w:b w:val="0"/>
                <w:i w:val="0"/>
                <w:sz w:val="13"/>
              </w:rPr>
              <w:t>Slow, incomplete recalls</w:t>
            </w:r>
          </w:p>
        </w:tc>
        <w:tc>
          <w:tcPr>
            <w:tcW w:type="dxa" w:w="1587"/>
            <w:shd w:val="clear" w:color="auto" w:fill="F9FAFB"/>
          </w:tcPr>
          <w:p>
            <w:pPr>
              <w:spacing w:after="0"/>
            </w:pPr>
            <w:r/>
            <w:r>
              <w:rPr>
                <w:b w:val="0"/>
                <w:i w:val="0"/>
                <w:sz w:val="13"/>
              </w:rPr>
              <w:t>Traceability report</w:t>
            </w:r>
          </w:p>
        </w:tc>
        <w:tc>
          <w:tcPr>
            <w:tcW w:type="dxa" w:w="1474"/>
            <w:shd w:val="clear" w:color="auto" w:fill="F9FAFB"/>
          </w:tcPr>
          <w:p>
            <w:pPr>
              <w:spacing w:after="0"/>
            </w:pPr>
            <w:r/>
            <w:r>
              <w:rPr>
                <w:b w:val="0"/>
                <w:i w:val="0"/>
                <w:sz w:val="13"/>
              </w:rPr>
              <w:t>Lot/serial traceability</w:t>
            </w:r>
          </w:p>
        </w:tc>
        <w:tc>
          <w:tcPr>
            <w:tcW w:type="dxa" w:w="1531"/>
            <w:shd w:val="clear" w:color="auto" w:fill="F9FAFB"/>
          </w:tcPr>
          <w:p>
            <w:pPr>
              <w:spacing w:after="0"/>
            </w:pPr>
            <w:r/>
            <w:r>
              <w:rPr>
                <w:b w:val="0"/>
                <w:i w:val="0"/>
                <w:sz w:val="13"/>
              </w:rPr>
              <w:t>Tracking on all medical products</w:t>
            </w:r>
          </w:p>
        </w:tc>
        <w:tc>
          <w:tcPr>
            <w:tcW w:type="dxa" w:w="1474"/>
            <w:shd w:val="clear" w:color="auto" w:fill="F9FAFB"/>
          </w:tcPr>
          <w:p>
            <w:pPr>
              <w:spacing w:after="0"/>
            </w:pPr>
            <w:r/>
            <w:r>
              <w:rPr>
                <w:b w:val="0"/>
                <w:i w:val="0"/>
                <w:sz w:val="13"/>
              </w:rPr>
              <w:t>Recall communication manual</w:t>
            </w:r>
          </w:p>
        </w:tc>
        <w:tc>
          <w:tcPr>
            <w:tcW w:type="dxa" w:w="737"/>
            <w:shd w:val="clear" w:color="auto" w:fill="F9FAFB"/>
          </w:tcPr>
          <w:p>
            <w:pPr>
              <w:spacing w:after="0"/>
            </w:pPr>
            <w:r/>
            <w:r>
              <w:rPr>
                <w:b w:val="0"/>
                <w:i w:val="0"/>
                <w:sz w:val="13"/>
              </w:rPr>
              <w:t>High</w:t>
            </w:r>
          </w:p>
        </w:tc>
        <w:tc>
          <w:tcPr>
            <w:tcW w:type="dxa" w:w="1077"/>
            <w:shd w:val="clear" w:color="auto" w:fill="F9FAFB"/>
          </w:tcPr>
          <w:p>
            <w:pPr>
              <w:spacing w:after="0"/>
            </w:pPr>
            <w:r/>
            <w:r>
              <w:rPr>
                <w:b w:val="0"/>
                <w:i w:val="0"/>
                <w:sz w:val="13"/>
              </w:rPr>
              <w:t>Ahmed Mahmoud Mohamed</w:t>
            </w:r>
          </w:p>
        </w:tc>
        <w:tc>
          <w:tcPr>
            <w:tcW w:type="dxa" w:w="1474"/>
            <w:shd w:val="clear" w:color="auto" w:fill="F9FAFB"/>
          </w:tcPr>
          <w:p>
            <w:pPr>
              <w:spacing w:after="0"/>
            </w:pPr>
            <w:r/>
            <w:r>
              <w:rPr>
                <w:b w:val="0"/>
                <w:i w:val="0"/>
                <w:sz w:val="13"/>
              </w:rPr>
              <w:t>INV-013</w:t>
            </w:r>
          </w:p>
        </w:tc>
      </w:tr>
      <w:tr>
        <w:trPr>
          <w:cantSplit w:val="true"/>
        </w:trPr>
        <w:tc>
          <w:tcPr>
            <w:tcW w:type="dxa" w:w="680"/>
          </w:tcPr>
          <w:p>
            <w:pPr>
              <w:spacing w:after="0"/>
            </w:pPr>
            <w:r/>
            <w:r>
              <w:rPr>
                <w:b w:val="0"/>
                <w:i w:val="0"/>
                <w:sz w:val="13"/>
              </w:rPr>
              <w:t>G-17</w:t>
            </w:r>
          </w:p>
        </w:tc>
        <w:tc>
          <w:tcPr>
            <w:tcW w:type="dxa" w:w="1020"/>
          </w:tcPr>
          <w:p>
            <w:pPr>
              <w:spacing w:after="0"/>
            </w:pPr>
            <w:r/>
            <w:r>
              <w:rPr>
                <w:b w:val="0"/>
                <w:i w:val="0"/>
                <w:sz w:val="13"/>
              </w:rPr>
              <w:t>Warranty</w:t>
            </w:r>
          </w:p>
        </w:tc>
        <w:tc>
          <w:tcPr>
            <w:tcW w:type="dxa" w:w="1587"/>
          </w:tcPr>
          <w:p>
            <w:pPr>
              <w:spacing w:after="0"/>
            </w:pPr>
            <w:r/>
            <w:r>
              <w:rPr>
                <w:b w:val="0"/>
                <w:i w:val="0"/>
                <w:sz w:val="13"/>
              </w:rPr>
              <w:t>Warranty dates in a notebook</w:t>
            </w:r>
          </w:p>
        </w:tc>
        <w:tc>
          <w:tcPr>
            <w:tcW w:type="dxa" w:w="1644"/>
          </w:tcPr>
          <w:p>
            <w:pPr>
              <w:spacing w:after="0"/>
            </w:pPr>
            <w:r/>
            <w:r>
              <w:rPr>
                <w:b w:val="0"/>
                <w:i w:val="0"/>
                <w:sz w:val="13"/>
              </w:rPr>
              <w:t>Warranty end date per serial</w:t>
            </w:r>
          </w:p>
        </w:tc>
        <w:tc>
          <w:tcPr>
            <w:tcW w:type="dxa" w:w="1417"/>
          </w:tcPr>
          <w:p>
            <w:pPr>
              <w:spacing w:after="0"/>
            </w:pPr>
            <w:r/>
            <w:r>
              <w:rPr>
                <w:b w:val="0"/>
                <w:i w:val="0"/>
                <w:sz w:val="13"/>
              </w:rPr>
              <w:t>Missed warranty claims, disputes</w:t>
            </w:r>
          </w:p>
        </w:tc>
        <w:tc>
          <w:tcPr>
            <w:tcW w:type="dxa" w:w="1587"/>
          </w:tcPr>
          <w:p>
            <w:pPr>
              <w:spacing w:after="0"/>
            </w:pPr>
            <w:r/>
            <w:r>
              <w:rPr>
                <w:b w:val="0"/>
                <w:i w:val="0"/>
                <w:sz w:val="13"/>
              </w:rPr>
              <w:t>Warranty months on product; end date per serial</w:t>
            </w:r>
          </w:p>
        </w:tc>
        <w:tc>
          <w:tcPr>
            <w:tcW w:type="dxa" w:w="1474"/>
          </w:tcPr>
          <w:p>
            <w:pPr>
              <w:spacing w:after="0"/>
            </w:pPr>
            <w:r/>
            <w:r>
              <w:rPr>
                <w:b w:val="0"/>
                <w:i w:val="0"/>
                <w:sz w:val="13"/>
              </w:rPr>
              <w:t>Not standard</w:t>
            </w:r>
          </w:p>
        </w:tc>
        <w:tc>
          <w:tcPr>
            <w:tcW w:type="dxa" w:w="1531"/>
          </w:tcPr>
          <w:p>
            <w:pPr>
              <w:spacing w:after="0"/>
            </w:pPr>
            <w:r/>
            <w:r>
              <w:rPr>
                <w:b w:val="0"/>
                <w:i w:val="0"/>
                <w:sz w:val="13"/>
              </w:rPr>
              <w:t>Custom field + report</w:t>
            </w:r>
          </w:p>
        </w:tc>
        <w:tc>
          <w:tcPr>
            <w:tcW w:type="dxa" w:w="1474"/>
          </w:tcPr>
          <w:p>
            <w:pPr>
              <w:spacing w:after="0"/>
            </w:pPr>
            <w:r/>
            <w:r>
              <w:rPr>
                <w:b w:val="0"/>
                <w:i w:val="0"/>
                <w:sz w:val="13"/>
              </w:rPr>
              <w:t>Custom module/Studio (proposed)</w:t>
            </w:r>
          </w:p>
        </w:tc>
        <w:tc>
          <w:tcPr>
            <w:tcW w:type="dxa" w:w="737"/>
          </w:tcPr>
          <w:p>
            <w:pPr>
              <w:spacing w:after="0"/>
            </w:pPr>
            <w:r/>
            <w:r>
              <w:rPr>
                <w:b w:val="0"/>
                <w:i w:val="0"/>
                <w:sz w:val="13"/>
              </w:rPr>
              <w:t>Medium</w:t>
            </w:r>
          </w:p>
        </w:tc>
        <w:tc>
          <w:tcPr>
            <w:tcW w:type="dxa" w:w="1077"/>
          </w:tcPr>
          <w:p>
            <w:pPr>
              <w:spacing w:after="0"/>
            </w:pPr>
            <w:r/>
            <w:r>
              <w:rPr>
                <w:b w:val="0"/>
                <w:i w:val="0"/>
                <w:sz w:val="13"/>
              </w:rPr>
              <w:t>Mohamed Essam El-Din Youssef</w:t>
            </w:r>
          </w:p>
        </w:tc>
        <w:tc>
          <w:tcPr>
            <w:tcW w:type="dxa" w:w="1474"/>
          </w:tcPr>
          <w:p>
            <w:pPr>
              <w:spacing w:after="0"/>
            </w:pPr>
            <w:r/>
            <w:r>
              <w:rPr>
                <w:b w:val="0"/>
                <w:i w:val="0"/>
                <w:sz w:val="13"/>
              </w:rPr>
              <w:t>SAL-007</w:t>
            </w:r>
          </w:p>
        </w:tc>
      </w:tr>
      <w:tr>
        <w:trPr>
          <w:cantSplit w:val="true"/>
        </w:trPr>
        <w:tc>
          <w:tcPr>
            <w:tcW w:type="dxa" w:w="680"/>
            <w:shd w:val="clear" w:color="auto" w:fill="F9FAFB"/>
          </w:tcPr>
          <w:p>
            <w:pPr>
              <w:spacing w:after="0"/>
            </w:pPr>
            <w:r/>
            <w:r>
              <w:rPr>
                <w:b w:val="0"/>
                <w:i w:val="0"/>
                <w:sz w:val="13"/>
              </w:rPr>
              <w:t>G-18</w:t>
            </w:r>
          </w:p>
        </w:tc>
        <w:tc>
          <w:tcPr>
            <w:tcW w:type="dxa" w:w="1020"/>
            <w:shd w:val="clear" w:color="auto" w:fill="F9FAFB"/>
          </w:tcPr>
          <w:p>
            <w:pPr>
              <w:spacing w:after="0"/>
            </w:pPr>
            <w:r/>
            <w:r>
              <w:rPr>
                <w:b w:val="0"/>
                <w:i w:val="0"/>
                <w:sz w:val="13"/>
              </w:rPr>
              <w:t>Invoicing</w:t>
            </w:r>
          </w:p>
        </w:tc>
        <w:tc>
          <w:tcPr>
            <w:tcW w:type="dxa" w:w="1587"/>
            <w:shd w:val="clear" w:color="auto" w:fill="F9FAFB"/>
          </w:tcPr>
          <w:p>
            <w:pPr>
              <w:spacing w:after="0"/>
            </w:pPr>
            <w:r/>
            <w:r>
              <w:rPr>
                <w:b w:val="0"/>
                <w:i w:val="0"/>
                <w:sz w:val="13"/>
              </w:rPr>
              <w:t>Invoices typed after delivery</w:t>
            </w:r>
          </w:p>
        </w:tc>
        <w:tc>
          <w:tcPr>
            <w:tcW w:type="dxa" w:w="1644"/>
            <w:shd w:val="clear" w:color="auto" w:fill="F9FAFB"/>
          </w:tcPr>
          <w:p>
            <w:pPr>
              <w:spacing w:after="0"/>
            </w:pPr>
            <w:r/>
            <w:r>
              <w:rPr>
                <w:b w:val="0"/>
                <w:i w:val="0"/>
                <w:sz w:val="13"/>
              </w:rPr>
              <w:t>Invoice from delivery with VAT and branch</w:t>
            </w:r>
          </w:p>
        </w:tc>
        <w:tc>
          <w:tcPr>
            <w:tcW w:type="dxa" w:w="1417"/>
            <w:shd w:val="clear" w:color="auto" w:fill="F9FAFB"/>
          </w:tcPr>
          <w:p>
            <w:pPr>
              <w:spacing w:after="0"/>
            </w:pPr>
            <w:r/>
            <w:r>
              <w:rPr>
                <w:b w:val="0"/>
                <w:i w:val="0"/>
                <w:sz w:val="13"/>
              </w:rPr>
              <w:t>Delayed billing and errors</w:t>
            </w:r>
          </w:p>
        </w:tc>
        <w:tc>
          <w:tcPr>
            <w:tcW w:type="dxa" w:w="1587"/>
            <w:shd w:val="clear" w:color="auto" w:fill="F9FAFB"/>
          </w:tcPr>
          <w:p>
            <w:pPr>
              <w:spacing w:after="0"/>
            </w:pPr>
            <w:r/>
            <w:r>
              <w:rPr>
                <w:b w:val="0"/>
                <w:i w:val="0"/>
                <w:sz w:val="13"/>
              </w:rPr>
              <w:t>Invoicing from sales order</w:t>
            </w:r>
          </w:p>
        </w:tc>
        <w:tc>
          <w:tcPr>
            <w:tcW w:type="dxa" w:w="1474"/>
            <w:shd w:val="clear" w:color="auto" w:fill="F9FAFB"/>
          </w:tcPr>
          <w:p>
            <w:pPr>
              <w:spacing w:after="0"/>
            </w:pPr>
            <w:r/>
            <w:r>
              <w:rPr>
                <w:b w:val="0"/>
                <w:i w:val="0"/>
                <w:sz w:val="13"/>
              </w:rPr>
              <w:t>Invoices, taxes, analytic</w:t>
            </w:r>
          </w:p>
        </w:tc>
        <w:tc>
          <w:tcPr>
            <w:tcW w:type="dxa" w:w="1531"/>
            <w:shd w:val="clear" w:color="auto" w:fill="F9FAFB"/>
          </w:tcPr>
          <w:p>
            <w:pPr>
              <w:spacing w:after="0"/>
            </w:pPr>
            <w:r/>
            <w:r>
              <w:rPr>
                <w:b w:val="0"/>
                <w:i w:val="0"/>
                <w:sz w:val="13"/>
              </w:rPr>
              <w:t>VAT 14% (assumption), branch analytic</w:t>
            </w:r>
          </w:p>
        </w:tc>
        <w:tc>
          <w:tcPr>
            <w:tcW w:type="dxa" w:w="1474"/>
            <w:shd w:val="clear" w:color="auto" w:fill="F9FAFB"/>
          </w:tcPr>
          <w:p>
            <w:pPr>
              <w:spacing w:after="0"/>
            </w:pPr>
            <w:r/>
            <w:r>
              <w:rPr>
                <w:b w:val="0"/>
                <w:i w:val="0"/>
                <w:sz w:val="13"/>
              </w:rPr>
              <w:t>None</w:t>
            </w:r>
          </w:p>
        </w:tc>
        <w:tc>
          <w:tcPr>
            <w:tcW w:type="dxa" w:w="737"/>
            <w:shd w:val="clear" w:color="auto" w:fill="F9FAFB"/>
          </w:tcPr>
          <w:p>
            <w:pPr>
              <w:spacing w:after="0"/>
            </w:pPr>
            <w:r/>
            <w:r>
              <w:rPr>
                <w:b w:val="0"/>
                <w:i w:val="0"/>
                <w:sz w:val="13"/>
              </w:rPr>
              <w:t>High</w:t>
            </w:r>
          </w:p>
        </w:tc>
        <w:tc>
          <w:tcPr>
            <w:tcW w:type="dxa" w:w="1077"/>
            <w:shd w:val="clear" w:color="auto" w:fill="F9FAFB"/>
          </w:tcPr>
          <w:p>
            <w:pPr>
              <w:spacing w:after="0"/>
            </w:pPr>
            <w:r/>
            <w:r>
              <w:rPr>
                <w:b w:val="0"/>
                <w:i w:val="0"/>
                <w:sz w:val="13"/>
              </w:rPr>
              <w:t>Omnia Haitham</w:t>
            </w:r>
          </w:p>
        </w:tc>
        <w:tc>
          <w:tcPr>
            <w:tcW w:type="dxa" w:w="1474"/>
            <w:shd w:val="clear" w:color="auto" w:fill="F9FAFB"/>
          </w:tcPr>
          <w:p>
            <w:pPr>
              <w:spacing w:after="0"/>
            </w:pPr>
            <w:r/>
            <w:r>
              <w:rPr>
                <w:b w:val="0"/>
                <w:i w:val="0"/>
                <w:sz w:val="13"/>
              </w:rPr>
              <w:t>ACC-001, ACC-006, SAL-005</w:t>
            </w:r>
          </w:p>
        </w:tc>
      </w:tr>
      <w:tr>
        <w:trPr>
          <w:cantSplit w:val="true"/>
        </w:trPr>
        <w:tc>
          <w:tcPr>
            <w:tcW w:type="dxa" w:w="680"/>
          </w:tcPr>
          <w:p>
            <w:pPr>
              <w:spacing w:after="0"/>
            </w:pPr>
            <w:r/>
            <w:r>
              <w:rPr>
                <w:b w:val="0"/>
                <w:i w:val="0"/>
                <w:sz w:val="13"/>
              </w:rPr>
              <w:t>G-19</w:t>
            </w:r>
          </w:p>
        </w:tc>
        <w:tc>
          <w:tcPr>
            <w:tcW w:type="dxa" w:w="1020"/>
          </w:tcPr>
          <w:p>
            <w:pPr>
              <w:spacing w:after="0"/>
            </w:pPr>
            <w:r/>
            <w:r>
              <w:rPr>
                <w:b w:val="0"/>
                <w:i w:val="0"/>
                <w:sz w:val="13"/>
              </w:rPr>
              <w:t>Collections</w:t>
            </w:r>
          </w:p>
        </w:tc>
        <w:tc>
          <w:tcPr>
            <w:tcW w:type="dxa" w:w="1587"/>
          </w:tcPr>
          <w:p>
            <w:pPr>
              <w:spacing w:after="0"/>
            </w:pPr>
            <w:r/>
            <w:r>
              <w:rPr>
                <w:b w:val="0"/>
                <w:i w:val="0"/>
                <w:sz w:val="13"/>
              </w:rPr>
              <w:t>Manual follow-up of due dates</w:t>
            </w:r>
          </w:p>
        </w:tc>
        <w:tc>
          <w:tcPr>
            <w:tcW w:type="dxa" w:w="1644"/>
          </w:tcPr>
          <w:p>
            <w:pPr>
              <w:spacing w:after="0"/>
            </w:pPr>
            <w:r/>
            <w:r>
              <w:rPr>
                <w:b w:val="0"/>
                <w:i w:val="0"/>
                <w:sz w:val="13"/>
              </w:rPr>
              <w:t>Ageing report and payment reconciliation</w:t>
            </w:r>
          </w:p>
        </w:tc>
        <w:tc>
          <w:tcPr>
            <w:tcW w:type="dxa" w:w="1417"/>
          </w:tcPr>
          <w:p>
            <w:pPr>
              <w:spacing w:after="0"/>
            </w:pPr>
            <w:r/>
            <w:r>
              <w:rPr>
                <w:b w:val="0"/>
                <w:i w:val="0"/>
                <w:sz w:val="13"/>
              </w:rPr>
              <w:t>Slow collection from 45-60 day customers</w:t>
            </w:r>
          </w:p>
        </w:tc>
        <w:tc>
          <w:tcPr>
            <w:tcW w:type="dxa" w:w="1587"/>
          </w:tcPr>
          <w:p>
            <w:pPr>
              <w:spacing w:after="0"/>
            </w:pPr>
            <w:r/>
            <w:r>
              <w:rPr>
                <w:b w:val="0"/>
                <w:i w:val="0"/>
                <w:sz w:val="13"/>
              </w:rPr>
              <w:t>Aged receivable; payment matching</w:t>
            </w:r>
          </w:p>
        </w:tc>
        <w:tc>
          <w:tcPr>
            <w:tcW w:type="dxa" w:w="1474"/>
          </w:tcPr>
          <w:p>
            <w:pPr>
              <w:spacing w:after="0"/>
            </w:pPr>
            <w:r/>
            <w:r>
              <w:rPr>
                <w:b w:val="0"/>
                <w:i w:val="0"/>
                <w:sz w:val="13"/>
              </w:rPr>
              <w:t>Payments, reconciliation</w:t>
            </w:r>
          </w:p>
        </w:tc>
        <w:tc>
          <w:tcPr>
            <w:tcW w:type="dxa" w:w="1531"/>
          </w:tcPr>
          <w:p>
            <w:pPr>
              <w:spacing w:after="0"/>
            </w:pPr>
            <w:r/>
            <w:r>
              <w:rPr>
                <w:b w:val="0"/>
                <w:i w:val="0"/>
                <w:sz w:val="13"/>
              </w:rPr>
              <w:t>Bank/cash journals, payment methods</w:t>
            </w:r>
          </w:p>
        </w:tc>
        <w:tc>
          <w:tcPr>
            <w:tcW w:type="dxa" w:w="1474"/>
          </w:tcPr>
          <w:p>
            <w:pPr>
              <w:spacing w:after="0"/>
            </w:pPr>
            <w:r/>
            <w:r>
              <w:rPr>
                <w:b w:val="0"/>
                <w:i w:val="0"/>
                <w:sz w:val="13"/>
              </w:rPr>
              <w:t>Statement import (Enterprise)</w:t>
            </w:r>
          </w:p>
        </w:tc>
        <w:tc>
          <w:tcPr>
            <w:tcW w:type="dxa" w:w="737"/>
          </w:tcPr>
          <w:p>
            <w:pPr>
              <w:spacing w:after="0"/>
            </w:pPr>
            <w:r/>
            <w:r>
              <w:rPr>
                <w:b w:val="0"/>
                <w:i w:val="0"/>
                <w:sz w:val="13"/>
              </w:rPr>
              <w:t>High</w:t>
            </w:r>
          </w:p>
        </w:tc>
        <w:tc>
          <w:tcPr>
            <w:tcW w:type="dxa" w:w="1077"/>
          </w:tcPr>
          <w:p>
            <w:pPr>
              <w:spacing w:after="0"/>
            </w:pPr>
            <w:r/>
            <w:r>
              <w:rPr>
                <w:b w:val="0"/>
                <w:i w:val="0"/>
                <w:sz w:val="13"/>
              </w:rPr>
              <w:t>Omnia Haitham</w:t>
            </w:r>
          </w:p>
        </w:tc>
        <w:tc>
          <w:tcPr>
            <w:tcW w:type="dxa" w:w="1474"/>
          </w:tcPr>
          <w:p>
            <w:pPr>
              <w:spacing w:after="0"/>
            </w:pPr>
            <w:r/>
            <w:r>
              <w:rPr>
                <w:b w:val="0"/>
                <w:i w:val="0"/>
                <w:sz w:val="13"/>
              </w:rPr>
              <w:t>ACC-003, ACC-009, ACC-011</w:t>
            </w:r>
          </w:p>
        </w:tc>
      </w:tr>
      <w:tr>
        <w:trPr>
          <w:cantSplit w:val="true"/>
        </w:trPr>
        <w:tc>
          <w:tcPr>
            <w:tcW w:type="dxa" w:w="680"/>
            <w:shd w:val="clear" w:color="auto" w:fill="F9FAFB"/>
          </w:tcPr>
          <w:p>
            <w:pPr>
              <w:spacing w:after="0"/>
            </w:pPr>
            <w:r/>
            <w:r>
              <w:rPr>
                <w:b w:val="0"/>
                <w:i w:val="0"/>
                <w:sz w:val="13"/>
              </w:rPr>
              <w:t>G-20</w:t>
            </w:r>
          </w:p>
        </w:tc>
        <w:tc>
          <w:tcPr>
            <w:tcW w:type="dxa" w:w="1020"/>
            <w:shd w:val="clear" w:color="auto" w:fill="F9FAFB"/>
          </w:tcPr>
          <w:p>
            <w:pPr>
              <w:spacing w:after="0"/>
            </w:pPr>
            <w:r/>
            <w:r>
              <w:rPr>
                <w:b w:val="0"/>
                <w:i w:val="0"/>
                <w:sz w:val="13"/>
              </w:rPr>
              <w:t>Valuation</w:t>
            </w:r>
          </w:p>
        </w:tc>
        <w:tc>
          <w:tcPr>
            <w:tcW w:type="dxa" w:w="1587"/>
            <w:shd w:val="clear" w:color="auto" w:fill="F9FAFB"/>
          </w:tcPr>
          <w:p>
            <w:pPr>
              <w:spacing w:after="0"/>
            </w:pPr>
            <w:r/>
            <w:r>
              <w:rPr>
                <w:b w:val="0"/>
                <w:i w:val="0"/>
                <w:sz w:val="13"/>
              </w:rPr>
              <w:t>Quarterly count; ledger adjusted late</w:t>
            </w:r>
          </w:p>
        </w:tc>
        <w:tc>
          <w:tcPr>
            <w:tcW w:type="dxa" w:w="1644"/>
            <w:shd w:val="clear" w:color="auto" w:fill="F9FAFB"/>
          </w:tcPr>
          <w:p>
            <w:pPr>
              <w:spacing w:after="0"/>
            </w:pPr>
            <w:r/>
            <w:r>
              <w:rPr>
                <w:b w:val="0"/>
                <w:i w:val="0"/>
                <w:sz w:val="13"/>
              </w:rPr>
              <w:t>Perpetual FIFO valuation and COGS</w:t>
            </w:r>
          </w:p>
        </w:tc>
        <w:tc>
          <w:tcPr>
            <w:tcW w:type="dxa" w:w="1417"/>
            <w:shd w:val="clear" w:color="auto" w:fill="F9FAFB"/>
          </w:tcPr>
          <w:p>
            <w:pPr>
              <w:spacing w:after="0"/>
            </w:pPr>
            <w:r/>
            <w:r>
              <w:rPr>
                <w:b w:val="0"/>
                <w:i w:val="0"/>
                <w:sz w:val="13"/>
              </w:rPr>
              <w:t>Margin unknown until quarter-end</w:t>
            </w:r>
          </w:p>
        </w:tc>
        <w:tc>
          <w:tcPr>
            <w:tcW w:type="dxa" w:w="1587"/>
            <w:shd w:val="clear" w:color="auto" w:fill="F9FAFB"/>
          </w:tcPr>
          <w:p>
            <w:pPr>
              <w:spacing w:after="0"/>
            </w:pPr>
            <w:r/>
            <w:r>
              <w:rPr>
                <w:b w:val="0"/>
                <w:i w:val="0"/>
                <w:sz w:val="13"/>
              </w:rPr>
              <w:t>Automated valuation, Anglo-Saxon</w:t>
            </w:r>
          </w:p>
        </w:tc>
        <w:tc>
          <w:tcPr>
            <w:tcW w:type="dxa" w:w="1474"/>
            <w:shd w:val="clear" w:color="auto" w:fill="F9FAFB"/>
          </w:tcPr>
          <w:p>
            <w:pPr>
              <w:spacing w:after="0"/>
            </w:pPr>
            <w:r/>
            <w:r>
              <w:rPr>
                <w:b w:val="0"/>
                <w:i w:val="0"/>
                <w:sz w:val="13"/>
              </w:rPr>
              <w:t>Stock accounting</w:t>
            </w:r>
          </w:p>
        </w:tc>
        <w:tc>
          <w:tcPr>
            <w:tcW w:type="dxa" w:w="1531"/>
            <w:shd w:val="clear" w:color="auto" w:fill="F9FAFB"/>
          </w:tcPr>
          <w:p>
            <w:pPr>
              <w:spacing w:after="0"/>
            </w:pPr>
            <w:r/>
            <w:r>
              <w:rPr>
                <w:b w:val="0"/>
                <w:i w:val="0"/>
                <w:sz w:val="13"/>
              </w:rPr>
              <w:t>Category accounts 1301xx/4101xx/5101xx</w:t>
            </w:r>
          </w:p>
        </w:tc>
        <w:tc>
          <w:tcPr>
            <w:tcW w:type="dxa" w:w="1474"/>
            <w:shd w:val="clear" w:color="auto" w:fill="F9FAFB"/>
          </w:tcPr>
          <w:p>
            <w:pPr>
              <w:spacing w:after="0"/>
            </w:pPr>
            <w:r/>
            <w:r>
              <w:rPr>
                <w:b w:val="0"/>
                <w:i w:val="0"/>
                <w:sz w:val="13"/>
              </w:rPr>
              <w:t>None</w:t>
            </w:r>
          </w:p>
        </w:tc>
        <w:tc>
          <w:tcPr>
            <w:tcW w:type="dxa" w:w="737"/>
            <w:shd w:val="clear" w:color="auto" w:fill="F9FAFB"/>
          </w:tcPr>
          <w:p>
            <w:pPr>
              <w:spacing w:after="0"/>
            </w:pPr>
            <w:r/>
            <w:r>
              <w:rPr>
                <w:b w:val="0"/>
                <w:i w:val="0"/>
                <w:sz w:val="13"/>
              </w:rPr>
              <w:t>High</w:t>
            </w:r>
          </w:p>
        </w:tc>
        <w:tc>
          <w:tcPr>
            <w:tcW w:type="dxa" w:w="1077"/>
            <w:shd w:val="clear" w:color="auto" w:fill="F9FAFB"/>
          </w:tcPr>
          <w:p>
            <w:pPr>
              <w:spacing w:after="0"/>
            </w:pPr>
            <w:r/>
            <w:r>
              <w:rPr>
                <w:b w:val="0"/>
                <w:i w:val="0"/>
                <w:sz w:val="13"/>
              </w:rPr>
              <w:t>Omnia Haitham</w:t>
            </w:r>
          </w:p>
        </w:tc>
        <w:tc>
          <w:tcPr>
            <w:tcW w:type="dxa" w:w="1474"/>
            <w:shd w:val="clear" w:color="auto" w:fill="F9FAFB"/>
          </w:tcPr>
          <w:p>
            <w:pPr>
              <w:spacing w:after="0"/>
            </w:pPr>
            <w:r/>
            <w:r>
              <w:rPr>
                <w:b w:val="0"/>
                <w:i w:val="0"/>
                <w:sz w:val="13"/>
              </w:rPr>
              <w:t>ACC-005, INV-017, ACC-012</w:t>
            </w:r>
          </w:p>
        </w:tc>
      </w:tr>
      <w:tr>
        <w:trPr>
          <w:cantSplit w:val="true"/>
        </w:trPr>
        <w:tc>
          <w:tcPr>
            <w:tcW w:type="dxa" w:w="680"/>
          </w:tcPr>
          <w:p>
            <w:pPr>
              <w:spacing w:after="0"/>
            </w:pPr>
            <w:r/>
            <w:r>
              <w:rPr>
                <w:b w:val="0"/>
                <w:i w:val="0"/>
                <w:sz w:val="13"/>
              </w:rPr>
              <w:t>G-21</w:t>
            </w:r>
          </w:p>
        </w:tc>
        <w:tc>
          <w:tcPr>
            <w:tcW w:type="dxa" w:w="1020"/>
          </w:tcPr>
          <w:p>
            <w:pPr>
              <w:spacing w:after="0"/>
            </w:pPr>
            <w:r/>
            <w:r>
              <w:rPr>
                <w:b w:val="0"/>
                <w:i w:val="0"/>
                <w:sz w:val="13"/>
              </w:rPr>
              <w:t>Chart of accounts</w:t>
            </w:r>
          </w:p>
        </w:tc>
        <w:tc>
          <w:tcPr>
            <w:tcW w:type="dxa" w:w="1587"/>
          </w:tcPr>
          <w:p>
            <w:pPr>
              <w:spacing w:after="0"/>
            </w:pPr>
            <w:r/>
            <w:r>
              <w:rPr>
                <w:b w:val="0"/>
                <w:i w:val="0"/>
                <w:sz w:val="13"/>
              </w:rPr>
              <w:t>Ad hoc accounts, no inventory split</w:t>
            </w:r>
          </w:p>
        </w:tc>
        <w:tc>
          <w:tcPr>
            <w:tcW w:type="dxa" w:w="1644"/>
          </w:tcPr>
          <w:p>
            <w:pPr>
              <w:spacing w:after="0"/>
            </w:pPr>
            <w:r/>
            <w:r>
              <w:rPr>
                <w:b w:val="0"/>
                <w:i w:val="0"/>
                <w:sz w:val="13"/>
              </w:rPr>
              <w:t>Structured 101-account chart with stock, loss and VAT accounts</w:t>
            </w:r>
          </w:p>
        </w:tc>
        <w:tc>
          <w:tcPr>
            <w:tcW w:type="dxa" w:w="1417"/>
          </w:tcPr>
          <w:p>
            <w:pPr>
              <w:spacing w:after="0"/>
            </w:pPr>
            <w:r/>
            <w:r>
              <w:rPr>
                <w:b w:val="0"/>
                <w:i w:val="0"/>
                <w:sz w:val="13"/>
              </w:rPr>
              <w:t>Poor visibility of losses and margins</w:t>
            </w:r>
          </w:p>
        </w:tc>
        <w:tc>
          <w:tcPr>
            <w:tcW w:type="dxa" w:w="1587"/>
          </w:tcPr>
          <w:p>
            <w:pPr>
              <w:spacing w:after="0"/>
            </w:pPr>
            <w:r/>
            <w:r>
              <w:rPr>
                <w:b w:val="0"/>
                <w:i w:val="0"/>
                <w:sz w:val="13"/>
              </w:rPr>
              <w:t>Proposed company-specific chart</w:t>
            </w:r>
          </w:p>
        </w:tc>
        <w:tc>
          <w:tcPr>
            <w:tcW w:type="dxa" w:w="1474"/>
          </w:tcPr>
          <w:p>
            <w:pPr>
              <w:spacing w:after="0"/>
            </w:pPr>
            <w:r/>
            <w:r>
              <w:rPr>
                <w:b w:val="0"/>
                <w:i w:val="0"/>
                <w:sz w:val="13"/>
              </w:rPr>
              <w:t>Accounts, groups, journals</w:t>
            </w:r>
          </w:p>
        </w:tc>
        <w:tc>
          <w:tcPr>
            <w:tcW w:type="dxa" w:w="1531"/>
          </w:tcPr>
          <w:p>
            <w:pPr>
              <w:spacing w:after="0"/>
            </w:pPr>
            <w:r/>
            <w:r>
              <w:rPr>
                <w:b w:val="0"/>
                <w:i w:val="0"/>
                <w:sz w:val="13"/>
              </w:rPr>
              <w:t>Import CSV 08/09</w:t>
            </w:r>
          </w:p>
        </w:tc>
        <w:tc>
          <w:tcPr>
            <w:tcW w:type="dxa" w:w="1474"/>
          </w:tcPr>
          <w:p>
            <w:pPr>
              <w:spacing w:after="0"/>
            </w:pPr>
            <w:r/>
            <w:r>
              <w:rPr>
                <w:b w:val="0"/>
                <w:i w:val="0"/>
                <w:sz w:val="13"/>
              </w:rPr>
              <w:t>Accountant review needed</w:t>
            </w:r>
          </w:p>
        </w:tc>
        <w:tc>
          <w:tcPr>
            <w:tcW w:type="dxa" w:w="737"/>
          </w:tcPr>
          <w:p>
            <w:pPr>
              <w:spacing w:after="0"/>
            </w:pPr>
            <w:r/>
            <w:r>
              <w:rPr>
                <w:b w:val="0"/>
                <w:i w:val="0"/>
                <w:sz w:val="13"/>
              </w:rPr>
              <w:t>High</w:t>
            </w:r>
          </w:p>
        </w:tc>
        <w:tc>
          <w:tcPr>
            <w:tcW w:type="dxa" w:w="1077"/>
          </w:tcPr>
          <w:p>
            <w:pPr>
              <w:spacing w:after="0"/>
            </w:pPr>
            <w:r/>
            <w:r>
              <w:rPr>
                <w:b w:val="0"/>
                <w:i w:val="0"/>
                <w:sz w:val="13"/>
              </w:rPr>
              <w:t>Omnia Haitham</w:t>
            </w:r>
          </w:p>
        </w:tc>
        <w:tc>
          <w:tcPr>
            <w:tcW w:type="dxa" w:w="1474"/>
          </w:tcPr>
          <w:p>
            <w:pPr>
              <w:spacing w:after="0"/>
            </w:pPr>
            <w:r/>
            <w:r>
              <w:rPr>
                <w:b w:val="0"/>
                <w:i w:val="0"/>
                <w:sz w:val="13"/>
              </w:rPr>
              <w:t>ACC-010, MIG-001</w:t>
            </w:r>
          </w:p>
        </w:tc>
      </w:tr>
      <w:tr>
        <w:trPr>
          <w:cantSplit w:val="true"/>
        </w:trPr>
        <w:tc>
          <w:tcPr>
            <w:tcW w:type="dxa" w:w="680"/>
            <w:shd w:val="clear" w:color="auto" w:fill="F9FAFB"/>
          </w:tcPr>
          <w:p>
            <w:pPr>
              <w:spacing w:after="0"/>
            </w:pPr>
            <w:r/>
            <w:r>
              <w:rPr>
                <w:b w:val="0"/>
                <w:i w:val="0"/>
                <w:sz w:val="13"/>
              </w:rPr>
              <w:t>G-22</w:t>
            </w:r>
          </w:p>
        </w:tc>
        <w:tc>
          <w:tcPr>
            <w:tcW w:type="dxa" w:w="1020"/>
            <w:shd w:val="clear" w:color="auto" w:fill="F9FAFB"/>
          </w:tcPr>
          <w:p>
            <w:pPr>
              <w:spacing w:after="0"/>
            </w:pPr>
            <w:r/>
            <w:r>
              <w:rPr>
                <w:b w:val="0"/>
                <w:i w:val="0"/>
                <w:sz w:val="13"/>
              </w:rPr>
              <w:t>Branch reporting</w:t>
            </w:r>
          </w:p>
        </w:tc>
        <w:tc>
          <w:tcPr>
            <w:tcW w:type="dxa" w:w="1587"/>
            <w:shd w:val="clear" w:color="auto" w:fill="F9FAFB"/>
          </w:tcPr>
          <w:p>
            <w:pPr>
              <w:spacing w:after="0"/>
            </w:pPr>
            <w:r/>
            <w:r>
              <w:rPr>
                <w:b w:val="0"/>
                <w:i w:val="0"/>
                <w:sz w:val="13"/>
              </w:rPr>
              <w:t>Branch results compiled in Excel</w:t>
            </w:r>
          </w:p>
        </w:tc>
        <w:tc>
          <w:tcPr>
            <w:tcW w:type="dxa" w:w="1644"/>
            <w:shd w:val="clear" w:color="auto" w:fill="F9FAFB"/>
          </w:tcPr>
          <w:p>
            <w:pPr>
              <w:spacing w:after="0"/>
            </w:pPr>
            <w:r/>
            <w:r>
              <w:rPr>
                <w:b w:val="0"/>
                <w:i w:val="0"/>
                <w:sz w:val="13"/>
              </w:rPr>
              <w:t>P&amp;L and sales by branch</w:t>
            </w:r>
          </w:p>
        </w:tc>
        <w:tc>
          <w:tcPr>
            <w:tcW w:type="dxa" w:w="1417"/>
            <w:shd w:val="clear" w:color="auto" w:fill="F9FAFB"/>
          </w:tcPr>
          <w:p>
            <w:pPr>
              <w:spacing w:after="0"/>
            </w:pPr>
            <w:r/>
            <w:r>
              <w:rPr>
                <w:b w:val="0"/>
                <w:i w:val="0"/>
                <w:sz w:val="13"/>
              </w:rPr>
              <w:t>Late, inconsistent branch view</w:t>
            </w:r>
          </w:p>
        </w:tc>
        <w:tc>
          <w:tcPr>
            <w:tcW w:type="dxa" w:w="1587"/>
            <w:shd w:val="clear" w:color="auto" w:fill="F9FAFB"/>
          </w:tcPr>
          <w:p>
            <w:pPr>
              <w:spacing w:after="0"/>
            </w:pPr>
            <w:r/>
            <w:r>
              <w:rPr>
                <w:b w:val="0"/>
                <w:i w:val="0"/>
                <w:sz w:val="13"/>
              </w:rPr>
              <w:t>Analytic plan Branch (or branch records)</w:t>
            </w:r>
          </w:p>
        </w:tc>
        <w:tc>
          <w:tcPr>
            <w:tcW w:type="dxa" w:w="1474"/>
            <w:shd w:val="clear" w:color="auto" w:fill="F9FAFB"/>
          </w:tcPr>
          <w:p>
            <w:pPr>
              <w:spacing w:after="0"/>
            </w:pPr>
            <w:r/>
            <w:r>
              <w:rPr>
                <w:b w:val="0"/>
                <w:i w:val="0"/>
                <w:sz w:val="13"/>
              </w:rPr>
              <w:t>Analytic accounting</w:t>
            </w:r>
          </w:p>
        </w:tc>
        <w:tc>
          <w:tcPr>
            <w:tcW w:type="dxa" w:w="1531"/>
            <w:shd w:val="clear" w:color="auto" w:fill="F9FAFB"/>
          </w:tcPr>
          <w:p>
            <w:pPr>
              <w:spacing w:after="0"/>
            </w:pPr>
            <w:r/>
            <w:r>
              <w:rPr>
                <w:b w:val="0"/>
                <w:i w:val="0"/>
                <w:sz w:val="13"/>
              </w:rPr>
              <w:t>Plan, defaults on documents</w:t>
            </w:r>
          </w:p>
        </w:tc>
        <w:tc>
          <w:tcPr>
            <w:tcW w:type="dxa" w:w="1474"/>
            <w:shd w:val="clear" w:color="auto" w:fill="F9FAFB"/>
          </w:tcPr>
          <w:p>
            <w:pPr>
              <w:spacing w:after="0"/>
            </w:pPr>
            <w:r/>
            <w:r>
              <w:rPr>
                <w:b w:val="0"/>
                <w:i w:val="0"/>
                <w:sz w:val="13"/>
              </w:rPr>
              <w:t>Branch record rules (proposed)</w:t>
            </w:r>
          </w:p>
        </w:tc>
        <w:tc>
          <w:tcPr>
            <w:tcW w:type="dxa" w:w="737"/>
            <w:shd w:val="clear" w:color="auto" w:fill="F9FAFB"/>
          </w:tcPr>
          <w:p>
            <w:pPr>
              <w:spacing w:after="0"/>
            </w:pPr>
            <w:r/>
            <w:r>
              <w:rPr>
                <w:b w:val="0"/>
                <w:i w:val="0"/>
                <w:sz w:val="13"/>
              </w:rPr>
              <w:t>Medium</w:t>
            </w:r>
          </w:p>
        </w:tc>
        <w:tc>
          <w:tcPr>
            <w:tcW w:type="dxa" w:w="1077"/>
            <w:shd w:val="clear" w:color="auto" w:fill="F9FAFB"/>
          </w:tcPr>
          <w:p>
            <w:pPr>
              <w:spacing w:after="0"/>
            </w:pPr>
            <w:r/>
            <w:r>
              <w:rPr>
                <w:b w:val="0"/>
                <w:i w:val="0"/>
                <w:sz w:val="13"/>
              </w:rPr>
              <w:t>Mohamed Mahmoud Abdel Bary</w:t>
            </w:r>
          </w:p>
        </w:tc>
        <w:tc>
          <w:tcPr>
            <w:tcW w:type="dxa" w:w="1474"/>
            <w:shd w:val="clear" w:color="auto" w:fill="F9FAFB"/>
          </w:tcPr>
          <w:p>
            <w:pPr>
              <w:spacing w:after="0"/>
            </w:pPr>
            <w:r/>
            <w:r>
              <w:rPr>
                <w:b w:val="0"/>
                <w:i w:val="0"/>
                <w:sz w:val="13"/>
              </w:rPr>
              <w:t>ACC-007, SAL-005, RPT-001, SEC-002</w:t>
            </w:r>
          </w:p>
        </w:tc>
      </w:tr>
      <w:tr>
        <w:trPr>
          <w:cantSplit w:val="true"/>
        </w:trPr>
        <w:tc>
          <w:tcPr>
            <w:tcW w:type="dxa" w:w="680"/>
          </w:tcPr>
          <w:p>
            <w:pPr>
              <w:spacing w:after="0"/>
            </w:pPr>
            <w:r/>
            <w:r>
              <w:rPr>
                <w:b w:val="0"/>
                <w:i w:val="0"/>
                <w:sz w:val="13"/>
              </w:rPr>
              <w:t>G-23</w:t>
            </w:r>
          </w:p>
        </w:tc>
        <w:tc>
          <w:tcPr>
            <w:tcW w:type="dxa" w:w="1020"/>
          </w:tcPr>
          <w:p>
            <w:pPr>
              <w:spacing w:after="0"/>
            </w:pPr>
            <w:r/>
            <w:r>
              <w:rPr>
                <w:b w:val="0"/>
                <w:i w:val="0"/>
                <w:sz w:val="13"/>
              </w:rPr>
              <w:t>Approvals &amp; audit</w:t>
            </w:r>
          </w:p>
        </w:tc>
        <w:tc>
          <w:tcPr>
            <w:tcW w:type="dxa" w:w="1587"/>
          </w:tcPr>
          <w:p>
            <w:pPr>
              <w:spacing w:after="0"/>
            </w:pPr>
            <w:r/>
            <w:r>
              <w:rPr>
                <w:b w:val="0"/>
                <w:i w:val="0"/>
                <w:sz w:val="13"/>
              </w:rPr>
              <w:t>No audit trail</w:t>
            </w:r>
          </w:p>
        </w:tc>
        <w:tc>
          <w:tcPr>
            <w:tcW w:type="dxa" w:w="1644"/>
          </w:tcPr>
          <w:p>
            <w:pPr>
              <w:spacing w:after="0"/>
            </w:pPr>
            <w:r/>
            <w:r>
              <w:rPr>
                <w:b w:val="0"/>
                <w:i w:val="0"/>
                <w:sz w:val="13"/>
              </w:rPr>
              <w:t>Tracked changes and segregation of duties</w:t>
            </w:r>
          </w:p>
        </w:tc>
        <w:tc>
          <w:tcPr>
            <w:tcW w:type="dxa" w:w="1417"/>
          </w:tcPr>
          <w:p>
            <w:pPr>
              <w:spacing w:after="0"/>
            </w:pPr>
            <w:r/>
            <w:r>
              <w:rPr>
                <w:b w:val="0"/>
                <w:i w:val="0"/>
                <w:sz w:val="13"/>
              </w:rPr>
              <w:t>Fraud/error risk</w:t>
            </w:r>
          </w:p>
        </w:tc>
        <w:tc>
          <w:tcPr>
            <w:tcW w:type="dxa" w:w="1587"/>
          </w:tcPr>
          <w:p>
            <w:pPr>
              <w:spacing w:after="0"/>
            </w:pPr>
            <w:r/>
            <w:r>
              <w:rPr>
                <w:b w:val="0"/>
                <w:i w:val="0"/>
                <w:sz w:val="13"/>
              </w:rPr>
              <w:t>Tracking, groups, approval rules</w:t>
            </w:r>
          </w:p>
        </w:tc>
        <w:tc>
          <w:tcPr>
            <w:tcW w:type="dxa" w:w="1474"/>
          </w:tcPr>
          <w:p>
            <w:pPr>
              <w:spacing w:after="0"/>
            </w:pPr>
            <w:r/>
            <w:r>
              <w:rPr>
                <w:b w:val="0"/>
                <w:i w:val="0"/>
                <w:sz w:val="13"/>
              </w:rPr>
              <w:t>Chatter tracking, groups</w:t>
            </w:r>
          </w:p>
        </w:tc>
        <w:tc>
          <w:tcPr>
            <w:tcW w:type="dxa" w:w="1531"/>
          </w:tcPr>
          <w:p>
            <w:pPr>
              <w:spacing w:after="0"/>
            </w:pPr>
            <w:r/>
            <w:r>
              <w:rPr>
                <w:b w:val="0"/>
                <w:i w:val="0"/>
                <w:sz w:val="13"/>
              </w:rPr>
              <w:t>Tracked fields; group matrix</w:t>
            </w:r>
          </w:p>
        </w:tc>
        <w:tc>
          <w:tcPr>
            <w:tcW w:type="dxa" w:w="1474"/>
          </w:tcPr>
          <w:p>
            <w:pPr>
              <w:spacing w:after="0"/>
            </w:pPr>
            <w:r/>
            <w:r>
              <w:rPr>
                <w:b w:val="0"/>
                <w:i w:val="0"/>
                <w:sz w:val="13"/>
              </w:rPr>
              <w:t>Segregation rules (proposed)</w:t>
            </w:r>
          </w:p>
        </w:tc>
        <w:tc>
          <w:tcPr>
            <w:tcW w:type="dxa" w:w="737"/>
          </w:tcPr>
          <w:p>
            <w:pPr>
              <w:spacing w:after="0"/>
            </w:pPr>
            <w:r/>
            <w:r>
              <w:rPr>
                <w:b w:val="0"/>
                <w:i w:val="0"/>
                <w:sz w:val="13"/>
              </w:rPr>
              <w:t>High</w:t>
            </w:r>
          </w:p>
        </w:tc>
        <w:tc>
          <w:tcPr>
            <w:tcW w:type="dxa" w:w="1077"/>
          </w:tcPr>
          <w:p>
            <w:pPr>
              <w:spacing w:after="0"/>
            </w:pPr>
            <w:r/>
            <w:r>
              <w:rPr>
                <w:b w:val="0"/>
                <w:i w:val="0"/>
                <w:sz w:val="13"/>
              </w:rPr>
              <w:t>Mohamed Mahmoud Abdel Bary</w:t>
            </w:r>
          </w:p>
        </w:tc>
        <w:tc>
          <w:tcPr>
            <w:tcW w:type="dxa" w:w="1474"/>
          </w:tcPr>
          <w:p>
            <w:pPr>
              <w:spacing w:after="0"/>
            </w:pPr>
            <w:r/>
            <w:r>
              <w:rPr>
                <w:b w:val="0"/>
                <w:i w:val="0"/>
                <w:sz w:val="13"/>
              </w:rPr>
              <w:t>SEC-001, SEC-003, SEC-004</w:t>
            </w:r>
          </w:p>
        </w:tc>
      </w:tr>
      <w:tr>
        <w:trPr>
          <w:cantSplit w:val="true"/>
        </w:trPr>
        <w:tc>
          <w:tcPr>
            <w:tcW w:type="dxa" w:w="680"/>
            <w:shd w:val="clear" w:color="auto" w:fill="F9FAFB"/>
          </w:tcPr>
          <w:p>
            <w:pPr>
              <w:spacing w:after="0"/>
            </w:pPr>
            <w:r/>
            <w:r>
              <w:rPr>
                <w:b w:val="0"/>
                <w:i w:val="0"/>
                <w:sz w:val="13"/>
              </w:rPr>
              <w:t>G-24</w:t>
            </w:r>
          </w:p>
        </w:tc>
        <w:tc>
          <w:tcPr>
            <w:tcW w:type="dxa" w:w="1020"/>
            <w:shd w:val="clear" w:color="auto" w:fill="F9FAFB"/>
          </w:tcPr>
          <w:p>
            <w:pPr>
              <w:spacing w:after="0"/>
            </w:pPr>
            <w:r/>
            <w:r>
              <w:rPr>
                <w:b w:val="0"/>
                <w:i w:val="0"/>
                <w:sz w:val="13"/>
              </w:rPr>
              <w:t>Reporting</w:t>
            </w:r>
          </w:p>
        </w:tc>
        <w:tc>
          <w:tcPr>
            <w:tcW w:type="dxa" w:w="1587"/>
            <w:shd w:val="clear" w:color="auto" w:fill="F9FAFB"/>
          </w:tcPr>
          <w:p>
            <w:pPr>
              <w:spacing w:after="0"/>
            </w:pPr>
            <w:r/>
            <w:r>
              <w:rPr>
                <w:b w:val="0"/>
                <w:i w:val="0"/>
                <w:sz w:val="13"/>
              </w:rPr>
              <w:t>Reports built manually in Excel</w:t>
            </w:r>
          </w:p>
        </w:tc>
        <w:tc>
          <w:tcPr>
            <w:tcW w:type="dxa" w:w="1644"/>
            <w:shd w:val="clear" w:color="auto" w:fill="F9FAFB"/>
          </w:tcPr>
          <w:p>
            <w:pPr>
              <w:spacing w:after="0"/>
            </w:pPr>
            <w:r/>
            <w:r>
              <w:rPr>
                <w:b w:val="0"/>
                <w:i w:val="0"/>
                <w:sz w:val="13"/>
              </w:rPr>
              <w:t>Management KPI dashboard</w:t>
            </w:r>
          </w:p>
        </w:tc>
        <w:tc>
          <w:tcPr>
            <w:tcW w:type="dxa" w:w="1417"/>
            <w:shd w:val="clear" w:color="auto" w:fill="F9FAFB"/>
          </w:tcPr>
          <w:p>
            <w:pPr>
              <w:spacing w:after="0"/>
            </w:pPr>
            <w:r/>
            <w:r>
              <w:rPr>
                <w:b w:val="0"/>
                <w:i w:val="0"/>
                <w:sz w:val="13"/>
              </w:rPr>
              <w:t>Slow decisions</w:t>
            </w:r>
          </w:p>
        </w:tc>
        <w:tc>
          <w:tcPr>
            <w:tcW w:type="dxa" w:w="1587"/>
            <w:shd w:val="clear" w:color="auto" w:fill="F9FAFB"/>
          </w:tcPr>
          <w:p>
            <w:pPr>
              <w:spacing w:after="0"/>
            </w:pPr>
            <w:r/>
            <w:r>
              <w:rPr>
                <w:b w:val="0"/>
                <w:i w:val="0"/>
                <w:sz w:val="13"/>
              </w:rPr>
              <w:t>Dashboards</w:t>
            </w:r>
          </w:p>
        </w:tc>
        <w:tc>
          <w:tcPr>
            <w:tcW w:type="dxa" w:w="1474"/>
            <w:shd w:val="clear" w:color="auto" w:fill="F9FAFB"/>
          </w:tcPr>
          <w:p>
            <w:pPr>
              <w:spacing w:after="0"/>
            </w:pPr>
            <w:r/>
            <w:r>
              <w:rPr>
                <w:b w:val="0"/>
                <w:i w:val="0"/>
                <w:sz w:val="13"/>
              </w:rPr>
              <w:t>Spreadsheet dashboards (Enterprise)</w:t>
            </w:r>
          </w:p>
        </w:tc>
        <w:tc>
          <w:tcPr>
            <w:tcW w:type="dxa" w:w="1531"/>
            <w:shd w:val="clear" w:color="auto" w:fill="F9FAFB"/>
          </w:tcPr>
          <w:p>
            <w:pPr>
              <w:spacing w:after="0"/>
            </w:pPr>
            <w:r/>
            <w:r>
              <w:rPr>
                <w:b w:val="0"/>
                <w:i w:val="0"/>
                <w:sz w:val="13"/>
              </w:rPr>
              <w:t>KPI list from BRD 11</w:t>
            </w:r>
          </w:p>
        </w:tc>
        <w:tc>
          <w:tcPr>
            <w:tcW w:type="dxa" w:w="1474"/>
            <w:shd w:val="clear" w:color="auto" w:fill="F9FAFB"/>
          </w:tcPr>
          <w:p>
            <w:pPr>
              <w:spacing w:after="0"/>
            </w:pPr>
            <w:r/>
            <w:r>
              <w:rPr>
                <w:b w:val="0"/>
                <w:i w:val="0"/>
                <w:sz w:val="13"/>
              </w:rPr>
              <w:t>Optional dashboard design</w:t>
            </w:r>
          </w:p>
        </w:tc>
        <w:tc>
          <w:tcPr>
            <w:tcW w:type="dxa" w:w="737"/>
            <w:shd w:val="clear" w:color="auto" w:fill="F9FAFB"/>
          </w:tcPr>
          <w:p>
            <w:pPr>
              <w:spacing w:after="0"/>
            </w:pPr>
            <w:r/>
            <w:r>
              <w:rPr>
                <w:b w:val="0"/>
                <w:i w:val="0"/>
                <w:sz w:val="13"/>
              </w:rPr>
              <w:t>Medium</w:t>
            </w:r>
          </w:p>
        </w:tc>
        <w:tc>
          <w:tcPr>
            <w:tcW w:type="dxa" w:w="1077"/>
            <w:shd w:val="clear" w:color="auto" w:fill="F9FAFB"/>
          </w:tcPr>
          <w:p>
            <w:pPr>
              <w:spacing w:after="0"/>
            </w:pPr>
            <w:r/>
            <w:r>
              <w:rPr>
                <w:b w:val="0"/>
                <w:i w:val="0"/>
                <w:sz w:val="13"/>
              </w:rPr>
              <w:t>Mohamed Essam El-Din Youssef</w:t>
            </w:r>
          </w:p>
        </w:tc>
        <w:tc>
          <w:tcPr>
            <w:tcW w:type="dxa" w:w="1474"/>
            <w:shd w:val="clear" w:color="auto" w:fill="F9FAFB"/>
          </w:tcPr>
          <w:p>
            <w:pPr>
              <w:spacing w:after="0"/>
            </w:pPr>
            <w:r/>
            <w:r>
              <w:rPr>
                <w:b w:val="0"/>
                <w:i w:val="0"/>
                <w:sz w:val="13"/>
              </w:rPr>
              <w:t>RPT-002, RPT-003</w:t>
            </w:r>
          </w:p>
        </w:tc>
      </w:tr>
      <w:tr>
        <w:trPr>
          <w:cantSplit w:val="true"/>
        </w:trPr>
        <w:tc>
          <w:tcPr>
            <w:tcW w:type="dxa" w:w="680"/>
          </w:tcPr>
          <w:p>
            <w:pPr>
              <w:spacing w:after="0"/>
            </w:pPr>
            <w:r/>
            <w:r>
              <w:rPr>
                <w:b w:val="0"/>
                <w:i w:val="0"/>
                <w:sz w:val="13"/>
              </w:rPr>
              <w:t>G-25</w:t>
            </w:r>
          </w:p>
        </w:tc>
        <w:tc>
          <w:tcPr>
            <w:tcW w:type="dxa" w:w="1020"/>
          </w:tcPr>
          <w:p>
            <w:pPr>
              <w:spacing w:after="0"/>
            </w:pPr>
            <w:r/>
            <w:r>
              <w:rPr>
                <w:b w:val="0"/>
                <w:i w:val="0"/>
                <w:sz w:val="13"/>
              </w:rPr>
              <w:t>Localization</w:t>
            </w:r>
          </w:p>
        </w:tc>
        <w:tc>
          <w:tcPr>
            <w:tcW w:type="dxa" w:w="1587"/>
          </w:tcPr>
          <w:p>
            <w:pPr>
              <w:spacing w:after="0"/>
            </w:pPr>
            <w:r/>
            <w:r>
              <w:rPr>
                <w:b w:val="0"/>
                <w:i w:val="0"/>
                <w:sz w:val="13"/>
              </w:rPr>
              <w:t>English-only or ad hoc Arabic documents</w:t>
            </w:r>
          </w:p>
        </w:tc>
        <w:tc>
          <w:tcPr>
            <w:tcW w:type="dxa" w:w="1644"/>
          </w:tcPr>
          <w:p>
            <w:pPr>
              <w:spacing w:after="0"/>
            </w:pPr>
            <w:r/>
            <w:r>
              <w:rPr>
                <w:b w:val="0"/>
                <w:i w:val="0"/>
                <w:sz w:val="13"/>
              </w:rPr>
              <w:t>Arabic/English with RTL printing</w:t>
            </w:r>
          </w:p>
        </w:tc>
        <w:tc>
          <w:tcPr>
            <w:tcW w:type="dxa" w:w="1417"/>
          </w:tcPr>
          <w:p>
            <w:pPr>
              <w:spacing w:after="0"/>
            </w:pPr>
            <w:r/>
            <w:r>
              <w:rPr>
                <w:b w:val="0"/>
                <w:i w:val="0"/>
                <w:sz w:val="13"/>
              </w:rPr>
              <w:t>Unprofessional or unreadable documents</w:t>
            </w:r>
          </w:p>
        </w:tc>
        <w:tc>
          <w:tcPr>
            <w:tcW w:type="dxa" w:w="1587"/>
          </w:tcPr>
          <w:p>
            <w:pPr>
              <w:spacing w:after="0"/>
            </w:pPr>
            <w:r/>
            <w:r>
              <w:rPr>
                <w:b w:val="0"/>
                <w:i w:val="0"/>
                <w:sz w:val="13"/>
              </w:rPr>
              <w:t>Language packs and report fonts</w:t>
            </w:r>
          </w:p>
        </w:tc>
        <w:tc>
          <w:tcPr>
            <w:tcW w:type="dxa" w:w="1474"/>
          </w:tcPr>
          <w:p>
            <w:pPr>
              <w:spacing w:after="0"/>
            </w:pPr>
            <w:r/>
            <w:r>
              <w:rPr>
                <w:b w:val="0"/>
                <w:i w:val="0"/>
                <w:sz w:val="13"/>
              </w:rPr>
              <w:t>Languages, QWeb reports</w:t>
            </w:r>
          </w:p>
        </w:tc>
        <w:tc>
          <w:tcPr>
            <w:tcW w:type="dxa" w:w="1531"/>
          </w:tcPr>
          <w:p>
            <w:pPr>
              <w:spacing w:after="0"/>
            </w:pPr>
            <w:r/>
            <w:r>
              <w:rPr>
                <w:b w:val="0"/>
                <w:i w:val="0"/>
                <w:sz w:val="13"/>
              </w:rPr>
              <w:t>Arabic fonts; layout test</w:t>
            </w:r>
          </w:p>
        </w:tc>
        <w:tc>
          <w:tcPr>
            <w:tcW w:type="dxa" w:w="1474"/>
          </w:tcPr>
          <w:p>
            <w:pPr>
              <w:spacing w:after="0"/>
            </w:pPr>
            <w:r/>
            <w:r>
              <w:rPr>
                <w:b w:val="0"/>
                <w:i w:val="0"/>
                <w:sz w:val="13"/>
              </w:rPr>
              <w:t>Report template tuning</w:t>
            </w:r>
          </w:p>
        </w:tc>
        <w:tc>
          <w:tcPr>
            <w:tcW w:type="dxa" w:w="737"/>
          </w:tcPr>
          <w:p>
            <w:pPr>
              <w:spacing w:after="0"/>
            </w:pPr>
            <w:r/>
            <w:r>
              <w:rPr>
                <w:b w:val="0"/>
                <w:i w:val="0"/>
                <w:sz w:val="13"/>
              </w:rPr>
              <w:t>Medium</w:t>
            </w:r>
          </w:p>
        </w:tc>
        <w:tc>
          <w:tcPr>
            <w:tcW w:type="dxa" w:w="1077"/>
          </w:tcPr>
          <w:p>
            <w:pPr>
              <w:spacing w:after="0"/>
            </w:pPr>
            <w:r/>
            <w:r>
              <w:rPr>
                <w:b w:val="0"/>
                <w:i w:val="0"/>
                <w:sz w:val="13"/>
              </w:rPr>
              <w:t>Mohamed Mahmoud Abdel Bary</w:t>
            </w:r>
          </w:p>
        </w:tc>
        <w:tc>
          <w:tcPr>
            <w:tcW w:type="dxa" w:w="1474"/>
          </w:tcPr>
          <w:p>
            <w:pPr>
              <w:spacing w:after="0"/>
            </w:pPr>
            <w:r/>
            <w:r>
              <w:rPr>
                <w:b w:val="0"/>
                <w:i w:val="0"/>
                <w:sz w:val="13"/>
              </w:rPr>
              <w:t>NFR-001, NFR-002</w:t>
            </w:r>
          </w:p>
        </w:tc>
      </w:tr>
      <w:tr>
        <w:trPr>
          <w:cantSplit w:val="true"/>
        </w:trPr>
        <w:tc>
          <w:tcPr>
            <w:tcW w:type="dxa" w:w="680"/>
            <w:shd w:val="clear" w:color="auto" w:fill="F9FAFB"/>
          </w:tcPr>
          <w:p>
            <w:pPr>
              <w:spacing w:after="0"/>
            </w:pPr>
            <w:r/>
            <w:r>
              <w:rPr>
                <w:b w:val="0"/>
                <w:i w:val="0"/>
                <w:sz w:val="13"/>
              </w:rPr>
              <w:t>G-26</w:t>
            </w:r>
          </w:p>
        </w:tc>
        <w:tc>
          <w:tcPr>
            <w:tcW w:type="dxa" w:w="1020"/>
            <w:shd w:val="clear" w:color="auto" w:fill="F9FAFB"/>
          </w:tcPr>
          <w:p>
            <w:pPr>
              <w:spacing w:after="0"/>
            </w:pPr>
            <w:r/>
            <w:r>
              <w:rPr>
                <w:b w:val="0"/>
                <w:i w:val="0"/>
                <w:sz w:val="13"/>
              </w:rPr>
              <w:t>Continuity</w:t>
            </w:r>
          </w:p>
        </w:tc>
        <w:tc>
          <w:tcPr>
            <w:tcW w:type="dxa" w:w="1587"/>
            <w:shd w:val="clear" w:color="auto" w:fill="F9FAFB"/>
          </w:tcPr>
          <w:p>
            <w:pPr>
              <w:spacing w:after="0"/>
            </w:pPr>
            <w:r/>
            <w:r>
              <w:rPr>
                <w:b w:val="0"/>
                <w:i w:val="0"/>
                <w:sz w:val="13"/>
              </w:rPr>
              <w:t>Local spreadsheets on PCs</w:t>
            </w:r>
          </w:p>
        </w:tc>
        <w:tc>
          <w:tcPr>
            <w:tcW w:type="dxa" w:w="1644"/>
            <w:shd w:val="clear" w:color="auto" w:fill="F9FAFB"/>
          </w:tcPr>
          <w:p>
            <w:pPr>
              <w:spacing w:after="0"/>
            </w:pPr>
            <w:r/>
            <w:r>
              <w:rPr>
                <w:b w:val="0"/>
                <w:i w:val="0"/>
                <w:sz w:val="13"/>
              </w:rPr>
              <w:t>Daily backups and restore test</w:t>
            </w:r>
          </w:p>
        </w:tc>
        <w:tc>
          <w:tcPr>
            <w:tcW w:type="dxa" w:w="1417"/>
            <w:shd w:val="clear" w:color="auto" w:fill="F9FAFB"/>
          </w:tcPr>
          <w:p>
            <w:pPr>
              <w:spacing w:after="0"/>
            </w:pPr>
            <w:r/>
            <w:r>
              <w:rPr>
                <w:b w:val="0"/>
                <w:i w:val="0"/>
                <w:sz w:val="13"/>
              </w:rPr>
              <w:t>Data loss</w:t>
            </w:r>
          </w:p>
        </w:tc>
        <w:tc>
          <w:tcPr>
            <w:tcW w:type="dxa" w:w="1587"/>
            <w:shd w:val="clear" w:color="auto" w:fill="F9FAFB"/>
          </w:tcPr>
          <w:p>
            <w:pPr>
              <w:spacing w:after="0"/>
            </w:pPr>
            <w:r/>
            <w:r>
              <w:rPr>
                <w:b w:val="0"/>
                <w:i w:val="0"/>
                <w:sz w:val="13"/>
              </w:rPr>
              <w:t>Backup procedure</w:t>
            </w:r>
          </w:p>
        </w:tc>
        <w:tc>
          <w:tcPr>
            <w:tcW w:type="dxa" w:w="1474"/>
            <w:shd w:val="clear" w:color="auto" w:fill="F9FAFB"/>
          </w:tcPr>
          <w:p>
            <w:pPr>
              <w:spacing w:after="0"/>
            </w:pPr>
            <w:r/>
            <w:r>
              <w:rPr>
                <w:b w:val="0"/>
                <w:i w:val="0"/>
                <w:sz w:val="13"/>
              </w:rPr>
              <w:t>Hosting-provider backups</w:t>
            </w:r>
          </w:p>
        </w:tc>
        <w:tc>
          <w:tcPr>
            <w:tcW w:type="dxa" w:w="1531"/>
            <w:shd w:val="clear" w:color="auto" w:fill="F9FAFB"/>
          </w:tcPr>
          <w:p>
            <w:pPr>
              <w:spacing w:after="0"/>
            </w:pPr>
            <w:r/>
            <w:r>
              <w:rPr>
                <w:b w:val="0"/>
                <w:i w:val="0"/>
                <w:sz w:val="13"/>
              </w:rPr>
              <w:t>Retention policy</w:t>
            </w:r>
          </w:p>
        </w:tc>
        <w:tc>
          <w:tcPr>
            <w:tcW w:type="dxa" w:w="1474"/>
            <w:shd w:val="clear" w:color="auto" w:fill="F9FAFB"/>
          </w:tcPr>
          <w:p>
            <w:pPr>
              <w:spacing w:after="0"/>
            </w:pPr>
            <w:r/>
            <w:r>
              <w:rPr>
                <w:b w:val="0"/>
                <w:i w:val="0"/>
                <w:sz w:val="13"/>
              </w:rPr>
              <w:t>Manual procedure</w:t>
            </w:r>
          </w:p>
        </w:tc>
        <w:tc>
          <w:tcPr>
            <w:tcW w:type="dxa" w:w="737"/>
            <w:shd w:val="clear" w:color="auto" w:fill="F9FAFB"/>
          </w:tcPr>
          <w:p>
            <w:pPr>
              <w:spacing w:after="0"/>
            </w:pPr>
            <w:r/>
            <w:r>
              <w:rPr>
                <w:b w:val="0"/>
                <w:i w:val="0"/>
                <w:sz w:val="13"/>
              </w:rPr>
              <w:t>High</w:t>
            </w:r>
          </w:p>
        </w:tc>
        <w:tc>
          <w:tcPr>
            <w:tcW w:type="dxa" w:w="1077"/>
            <w:shd w:val="clear" w:color="auto" w:fill="F9FAFB"/>
          </w:tcPr>
          <w:p>
            <w:pPr>
              <w:spacing w:after="0"/>
            </w:pPr>
            <w:r/>
            <w:r>
              <w:rPr>
                <w:b w:val="0"/>
                <w:i w:val="0"/>
                <w:sz w:val="13"/>
              </w:rPr>
              <w:t>Ahmed Mahmoud Mohamed</w:t>
            </w:r>
          </w:p>
        </w:tc>
        <w:tc>
          <w:tcPr>
            <w:tcW w:type="dxa" w:w="1474"/>
            <w:shd w:val="clear" w:color="auto" w:fill="F9FAFB"/>
          </w:tcPr>
          <w:p>
            <w:pPr>
              <w:spacing w:after="0"/>
            </w:pPr>
            <w:r/>
            <w:r>
              <w:rPr>
                <w:b w:val="0"/>
                <w:i w:val="0"/>
                <w:sz w:val="13"/>
              </w:rPr>
              <w:t>SEC-005</w:t>
            </w:r>
          </w:p>
        </w:tc>
      </w:tr>
      <w:tr>
        <w:trPr>
          <w:cantSplit w:val="true"/>
        </w:trPr>
        <w:tc>
          <w:tcPr>
            <w:tcW w:type="dxa" w:w="680"/>
          </w:tcPr>
          <w:p>
            <w:pPr>
              <w:spacing w:after="0"/>
            </w:pPr>
            <w:r/>
            <w:r>
              <w:rPr>
                <w:b w:val="0"/>
                <w:i w:val="0"/>
                <w:sz w:val="13"/>
              </w:rPr>
              <w:t>G-27</w:t>
            </w:r>
          </w:p>
        </w:tc>
        <w:tc>
          <w:tcPr>
            <w:tcW w:type="dxa" w:w="1020"/>
          </w:tcPr>
          <w:p>
            <w:pPr>
              <w:spacing w:after="0"/>
            </w:pPr>
            <w:r/>
            <w:r>
              <w:rPr>
                <w:b w:val="0"/>
                <w:i w:val="0"/>
                <w:sz w:val="13"/>
              </w:rPr>
              <w:t>Migration</w:t>
            </w:r>
          </w:p>
        </w:tc>
        <w:tc>
          <w:tcPr>
            <w:tcW w:type="dxa" w:w="1587"/>
          </w:tcPr>
          <w:p>
            <w:pPr>
              <w:spacing w:after="0"/>
            </w:pPr>
            <w:r/>
            <w:r>
              <w:rPr>
                <w:b w:val="0"/>
                <w:i w:val="0"/>
                <w:sz w:val="13"/>
              </w:rPr>
              <w:t>Data scattered in files</w:t>
            </w:r>
          </w:p>
        </w:tc>
        <w:tc>
          <w:tcPr>
            <w:tcW w:type="dxa" w:w="1644"/>
          </w:tcPr>
          <w:p>
            <w:pPr>
              <w:spacing w:after="0"/>
            </w:pPr>
            <w:r/>
            <w:r>
              <w:rPr>
                <w:b w:val="0"/>
                <w:i w:val="0"/>
                <w:sz w:val="13"/>
              </w:rPr>
              <w:t>Cleansed, validated, reconciled loads</w:t>
            </w:r>
          </w:p>
        </w:tc>
        <w:tc>
          <w:tcPr>
            <w:tcW w:type="dxa" w:w="1417"/>
          </w:tcPr>
          <w:p>
            <w:pPr>
              <w:spacing w:after="0"/>
            </w:pPr>
            <w:r/>
            <w:r>
              <w:rPr>
                <w:b w:val="0"/>
                <w:i w:val="0"/>
                <w:sz w:val="13"/>
              </w:rPr>
              <w:t>Wrong opening data</w:t>
            </w:r>
          </w:p>
        </w:tc>
        <w:tc>
          <w:tcPr>
            <w:tcW w:type="dxa" w:w="1587"/>
          </w:tcPr>
          <w:p>
            <w:pPr>
              <w:spacing w:after="0"/>
            </w:pPr>
            <w:r/>
            <w:r>
              <w:rPr>
                <w:b w:val="0"/>
                <w:i w:val="0"/>
                <w:sz w:val="13"/>
              </w:rPr>
              <w:t>Import package and validation</w:t>
            </w:r>
          </w:p>
        </w:tc>
        <w:tc>
          <w:tcPr>
            <w:tcW w:type="dxa" w:w="1474"/>
          </w:tcPr>
          <w:p>
            <w:pPr>
              <w:spacing w:after="0"/>
            </w:pPr>
            <w:r/>
            <w:r>
              <w:rPr>
                <w:b w:val="0"/>
                <w:i w:val="0"/>
                <w:sz w:val="13"/>
              </w:rPr>
              <w:t>Import tool</w:t>
            </w:r>
          </w:p>
        </w:tc>
        <w:tc>
          <w:tcPr>
            <w:tcW w:type="dxa" w:w="1531"/>
          </w:tcPr>
          <w:p>
            <w:pPr>
              <w:spacing w:after="0"/>
            </w:pPr>
            <w:r/>
            <w:r>
              <w:rPr>
                <w:b w:val="0"/>
                <w:i w:val="0"/>
                <w:sz w:val="13"/>
              </w:rPr>
              <w:t>Import order and checks</w:t>
            </w:r>
          </w:p>
        </w:tc>
        <w:tc>
          <w:tcPr>
            <w:tcW w:type="dxa" w:w="1474"/>
          </w:tcPr>
          <w:p>
            <w:pPr>
              <w:spacing w:after="0"/>
            </w:pPr>
            <w:r/>
            <w:r>
              <w:rPr>
                <w:b w:val="0"/>
                <w:i w:val="0"/>
                <w:sz w:val="13"/>
              </w:rPr>
              <w:t>Scripted history load (proposed)</w:t>
            </w:r>
          </w:p>
        </w:tc>
        <w:tc>
          <w:tcPr>
            <w:tcW w:type="dxa" w:w="737"/>
          </w:tcPr>
          <w:p>
            <w:pPr>
              <w:spacing w:after="0"/>
            </w:pPr>
            <w:r/>
            <w:r>
              <w:rPr>
                <w:b w:val="0"/>
                <w:i w:val="0"/>
                <w:sz w:val="13"/>
              </w:rPr>
              <w:t>High</w:t>
            </w:r>
          </w:p>
        </w:tc>
        <w:tc>
          <w:tcPr>
            <w:tcW w:type="dxa" w:w="1077"/>
          </w:tcPr>
          <w:p>
            <w:pPr>
              <w:spacing w:after="0"/>
            </w:pPr>
            <w:r/>
            <w:r>
              <w:rPr>
                <w:b w:val="0"/>
                <w:i w:val="0"/>
                <w:sz w:val="13"/>
              </w:rPr>
              <w:t>Ahmed Mahmoud Mohamed</w:t>
            </w:r>
          </w:p>
        </w:tc>
        <w:tc>
          <w:tcPr>
            <w:tcW w:type="dxa" w:w="1474"/>
          </w:tcPr>
          <w:p>
            <w:pPr>
              <w:spacing w:after="0"/>
            </w:pPr>
            <w:r/>
            <w:r>
              <w:rPr>
                <w:b w:val="0"/>
                <w:i w:val="0"/>
                <w:sz w:val="13"/>
              </w:rPr>
              <w:t>MIG-001..MIG-005</w:t>
            </w:r>
          </w:p>
        </w:tc>
      </w:tr>
      <w:tr>
        <w:trPr>
          <w:cantSplit w:val="true"/>
        </w:trPr>
        <w:tc>
          <w:tcPr>
            <w:tcW w:type="dxa" w:w="680"/>
            <w:shd w:val="clear" w:color="auto" w:fill="F9FAFB"/>
          </w:tcPr>
          <w:p>
            <w:pPr>
              <w:spacing w:after="0"/>
            </w:pPr>
            <w:r/>
            <w:r>
              <w:rPr>
                <w:b w:val="0"/>
                <w:i w:val="0"/>
                <w:sz w:val="13"/>
              </w:rPr>
              <w:t>G-28</w:t>
            </w:r>
          </w:p>
        </w:tc>
        <w:tc>
          <w:tcPr>
            <w:tcW w:type="dxa" w:w="1020"/>
            <w:shd w:val="clear" w:color="auto" w:fill="F9FAFB"/>
          </w:tcPr>
          <w:p>
            <w:pPr>
              <w:spacing w:after="0"/>
            </w:pPr>
            <w:r/>
            <w:r>
              <w:rPr>
                <w:b w:val="0"/>
                <w:i w:val="0"/>
                <w:sz w:val="13"/>
              </w:rPr>
              <w:t>Lead-to-opportunity</w:t>
            </w:r>
          </w:p>
        </w:tc>
        <w:tc>
          <w:tcPr>
            <w:tcW w:type="dxa" w:w="1587"/>
            <w:shd w:val="clear" w:color="auto" w:fill="F9FAFB"/>
          </w:tcPr>
          <w:p>
            <w:pPr>
              <w:spacing w:after="0"/>
            </w:pPr>
            <w:r/>
            <w:r>
              <w:rPr>
                <w:b w:val="0"/>
                <w:i w:val="0"/>
                <w:sz w:val="13"/>
              </w:rPr>
              <w:t>Leads kept in personal contact lists and email</w:t>
            </w:r>
          </w:p>
        </w:tc>
        <w:tc>
          <w:tcPr>
            <w:tcW w:type="dxa" w:w="1644"/>
            <w:shd w:val="clear" w:color="auto" w:fill="F9FAFB"/>
          </w:tcPr>
          <w:p>
            <w:pPr>
              <w:spacing w:after="0"/>
            </w:pPr>
            <w:r/>
            <w:r>
              <w:rPr>
                <w:b w:val="0"/>
                <w:i w:val="0"/>
                <w:sz w:val="13"/>
              </w:rPr>
              <w:t>CRM pipeline with stages, sales teams and activities</w:t>
            </w:r>
          </w:p>
        </w:tc>
        <w:tc>
          <w:tcPr>
            <w:tcW w:type="dxa" w:w="1417"/>
            <w:shd w:val="clear" w:color="auto" w:fill="F9FAFB"/>
          </w:tcPr>
          <w:p>
            <w:pPr>
              <w:spacing w:after="0"/>
            </w:pPr>
            <w:r/>
            <w:r>
              <w:rPr>
                <w:b w:val="0"/>
                <w:i w:val="0"/>
                <w:sz w:val="13"/>
              </w:rPr>
              <w:t>Lost leads, no forecast, no win-rate visibility</w:t>
            </w:r>
          </w:p>
        </w:tc>
        <w:tc>
          <w:tcPr>
            <w:tcW w:type="dxa" w:w="1587"/>
            <w:shd w:val="clear" w:color="auto" w:fill="F9FAFB"/>
          </w:tcPr>
          <w:p>
            <w:pPr>
              <w:spacing w:after="0"/>
            </w:pPr>
            <w:r/>
            <w:r>
              <w:rPr>
                <w:b w:val="0"/>
                <w:i w:val="0"/>
                <w:sz w:val="13"/>
              </w:rPr>
              <w:t>CRM app with pipeline, activities and sales teams</w:t>
            </w:r>
          </w:p>
        </w:tc>
        <w:tc>
          <w:tcPr>
            <w:tcW w:type="dxa" w:w="1474"/>
            <w:shd w:val="clear" w:color="auto" w:fill="F9FAFB"/>
          </w:tcPr>
          <w:p>
            <w:pPr>
              <w:spacing w:after="0"/>
            </w:pPr>
            <w:r/>
            <w:r>
              <w:rPr>
                <w:b w:val="0"/>
                <w:i w:val="0"/>
                <w:sz w:val="13"/>
              </w:rPr>
              <w:t>CRM leads, opportunities, activities, pipeline report</w:t>
            </w:r>
          </w:p>
        </w:tc>
        <w:tc>
          <w:tcPr>
            <w:tcW w:type="dxa" w:w="1531"/>
            <w:shd w:val="clear" w:color="auto" w:fill="F9FAFB"/>
          </w:tcPr>
          <w:p>
            <w:pPr>
              <w:spacing w:after="0"/>
            </w:pPr>
            <w:r/>
            <w:r>
              <w:rPr>
                <w:b w:val="0"/>
                <w:i w:val="0"/>
                <w:sz w:val="13"/>
              </w:rPr>
              <w:t>Stages, teams per branch, lost reasons, lead sources</w:t>
            </w:r>
          </w:p>
        </w:tc>
        <w:tc>
          <w:tcPr>
            <w:tcW w:type="dxa" w:w="1474"/>
            <w:shd w:val="clear" w:color="auto" w:fill="F9FAFB"/>
          </w:tcPr>
          <w:p>
            <w:pPr>
              <w:spacing w:after="0"/>
            </w:pPr>
            <w:r/>
            <w:r>
              <w:rPr>
                <w:b w:val="0"/>
                <w:i w:val="0"/>
                <w:sz w:val="13"/>
              </w:rPr>
              <w:t>None</w:t>
            </w:r>
          </w:p>
        </w:tc>
        <w:tc>
          <w:tcPr>
            <w:tcW w:type="dxa" w:w="737"/>
            <w:shd w:val="clear" w:color="auto" w:fill="F9FAFB"/>
          </w:tcPr>
          <w:p>
            <w:pPr>
              <w:spacing w:after="0"/>
            </w:pPr>
            <w:r/>
            <w:r>
              <w:rPr>
                <w:b w:val="0"/>
                <w:i w:val="0"/>
                <w:sz w:val="13"/>
              </w:rPr>
              <w:t>High</w:t>
            </w:r>
          </w:p>
        </w:tc>
        <w:tc>
          <w:tcPr>
            <w:tcW w:type="dxa" w:w="1077"/>
            <w:shd w:val="clear" w:color="auto" w:fill="F9FAFB"/>
          </w:tcPr>
          <w:p>
            <w:pPr>
              <w:spacing w:after="0"/>
            </w:pPr>
            <w:r/>
            <w:r>
              <w:rPr>
                <w:b w:val="0"/>
                <w:i w:val="0"/>
                <w:sz w:val="13"/>
              </w:rPr>
              <w:t>Mohamed Essam El-Din Youssef</w:t>
            </w:r>
          </w:p>
        </w:tc>
        <w:tc>
          <w:tcPr>
            <w:tcW w:type="dxa" w:w="1474"/>
            <w:shd w:val="clear" w:color="auto" w:fill="F9FAFB"/>
          </w:tcPr>
          <w:p>
            <w:pPr>
              <w:spacing w:after="0"/>
            </w:pPr>
            <w:r/>
            <w:r>
              <w:rPr>
                <w:b w:val="0"/>
                <w:i w:val="0"/>
                <w:sz w:val="13"/>
              </w:rPr>
              <w:t>CRM-001..CRM-007</w:t>
            </w:r>
          </w:p>
        </w:tc>
      </w:tr>
      <w:tr>
        <w:trPr>
          <w:cantSplit w:val="true"/>
        </w:trPr>
        <w:tc>
          <w:tcPr>
            <w:tcW w:type="dxa" w:w="680"/>
          </w:tcPr>
          <w:p>
            <w:pPr>
              <w:spacing w:after="0"/>
            </w:pPr>
            <w:r/>
            <w:r>
              <w:rPr>
                <w:b w:val="0"/>
                <w:i w:val="0"/>
                <w:sz w:val="13"/>
              </w:rPr>
              <w:t>G-29</w:t>
            </w:r>
          </w:p>
        </w:tc>
        <w:tc>
          <w:tcPr>
            <w:tcW w:type="dxa" w:w="1020"/>
          </w:tcPr>
          <w:p>
            <w:pPr>
              <w:spacing w:after="0"/>
            </w:pPr>
            <w:r/>
            <w:r>
              <w:rPr>
                <w:b w:val="0"/>
                <w:i w:val="0"/>
                <w:sz w:val="13"/>
              </w:rPr>
              <w:t>Tender tracking</w:t>
            </w:r>
          </w:p>
        </w:tc>
        <w:tc>
          <w:tcPr>
            <w:tcW w:type="dxa" w:w="1587"/>
          </w:tcPr>
          <w:p>
            <w:pPr>
              <w:spacing w:after="0"/>
            </w:pPr>
            <w:r/>
            <w:r>
              <w:rPr>
                <w:b w:val="0"/>
                <w:i w:val="0"/>
                <w:sz w:val="13"/>
              </w:rPr>
              <w:t>Tender deadlines tracked in a spreadsheet</w:t>
            </w:r>
          </w:p>
        </w:tc>
        <w:tc>
          <w:tcPr>
            <w:tcW w:type="dxa" w:w="1644"/>
          </w:tcPr>
          <w:p>
            <w:pPr>
              <w:spacing w:after="0"/>
            </w:pPr>
            <w:r/>
            <w:r>
              <w:rPr>
                <w:b w:val="0"/>
                <w:i w:val="0"/>
                <w:sz w:val="13"/>
              </w:rPr>
              <w:t>Tender reference, deadline and bid bond on opportunity</w:t>
            </w:r>
          </w:p>
        </w:tc>
        <w:tc>
          <w:tcPr>
            <w:tcW w:type="dxa" w:w="1417"/>
          </w:tcPr>
          <w:p>
            <w:pPr>
              <w:spacing w:after="0"/>
            </w:pPr>
            <w:r/>
            <w:r>
              <w:rPr>
                <w:b w:val="0"/>
                <w:i w:val="0"/>
                <w:sz w:val="13"/>
              </w:rPr>
              <w:t>Missed tender deadlines</w:t>
            </w:r>
          </w:p>
        </w:tc>
        <w:tc>
          <w:tcPr>
            <w:tcW w:type="dxa" w:w="1587"/>
          </w:tcPr>
          <w:p>
            <w:pPr>
              <w:spacing w:after="0"/>
            </w:pPr>
            <w:r/>
            <w:r>
              <w:rPr>
                <w:b w:val="0"/>
                <w:i w:val="0"/>
                <w:sz w:val="13"/>
              </w:rPr>
              <w:t>Opportunity tags and standard fields</w:t>
            </w:r>
          </w:p>
        </w:tc>
        <w:tc>
          <w:tcPr>
            <w:tcW w:type="dxa" w:w="1474"/>
          </w:tcPr>
          <w:p>
            <w:pPr>
              <w:spacing w:after="0"/>
            </w:pPr>
            <w:r/>
            <w:r>
              <w:rPr>
                <w:b w:val="0"/>
                <w:i w:val="0"/>
                <w:sz w:val="13"/>
              </w:rPr>
              <w:t>Tags and activities (standard); custom fields (proposed)</w:t>
            </w:r>
          </w:p>
        </w:tc>
        <w:tc>
          <w:tcPr>
            <w:tcW w:type="dxa" w:w="1531"/>
          </w:tcPr>
          <w:p>
            <w:pPr>
              <w:spacing w:after="0"/>
            </w:pPr>
            <w:r/>
            <w:r>
              <w:rPr>
                <w:b w:val="0"/>
                <w:i w:val="0"/>
                <w:sz w:val="13"/>
              </w:rPr>
              <w:t>Tender tag; reminder activities</w:t>
            </w:r>
          </w:p>
        </w:tc>
        <w:tc>
          <w:tcPr>
            <w:tcW w:type="dxa" w:w="1474"/>
          </w:tcPr>
          <w:p>
            <w:pPr>
              <w:spacing w:after="0"/>
            </w:pPr>
            <w:r/>
            <w:r>
              <w:rPr>
                <w:b w:val="0"/>
                <w:i w:val="0"/>
                <w:sz w:val="13"/>
              </w:rPr>
              <w:t>Custom fields for tender reference/deadline/bid bond (proposed)</w:t>
            </w:r>
          </w:p>
        </w:tc>
        <w:tc>
          <w:tcPr>
            <w:tcW w:type="dxa" w:w="737"/>
          </w:tcPr>
          <w:p>
            <w:pPr>
              <w:spacing w:after="0"/>
            </w:pPr>
            <w:r/>
            <w:r>
              <w:rPr>
                <w:b w:val="0"/>
                <w:i w:val="0"/>
                <w:sz w:val="13"/>
              </w:rPr>
              <w:t>Medium</w:t>
            </w:r>
          </w:p>
        </w:tc>
        <w:tc>
          <w:tcPr>
            <w:tcW w:type="dxa" w:w="1077"/>
          </w:tcPr>
          <w:p>
            <w:pPr>
              <w:spacing w:after="0"/>
            </w:pPr>
            <w:r/>
            <w:r>
              <w:rPr>
                <w:b w:val="0"/>
                <w:i w:val="0"/>
                <w:sz w:val="13"/>
              </w:rPr>
              <w:t>Mohamed Essam El-Din Youssef</w:t>
            </w:r>
          </w:p>
        </w:tc>
        <w:tc>
          <w:tcPr>
            <w:tcW w:type="dxa" w:w="1474"/>
          </w:tcPr>
          <w:p>
            <w:pPr>
              <w:spacing w:after="0"/>
            </w:pPr>
            <w:r/>
            <w:r>
              <w:rPr>
                <w:b w:val="0"/>
                <w:i w:val="0"/>
                <w:sz w:val="13"/>
              </w:rPr>
              <w:t>CRM-008</w:t>
            </w:r>
          </w:p>
        </w:tc>
      </w:tr>
    </w:tbl>
    <w:p>
      <w:pPr>
        <w:spacing w:after="40"/>
      </w:pPr>
    </w:p>
    <w:p>
      <w:pPr>
        <w:sectPr>
          <w:pgSz w:w="16838" w:h="11906" w:orient="landscape"/>
          <w:pgMar w:top="1304" w:right="907" w:bottom="1134" w:left="907" w:header="720" w:footer="720" w:gutter="0"/>
          <w:cols w:space="720"/>
          <w:docGrid w:linePitch="360"/>
        </w:sectPr>
      </w:pPr>
    </w:p>
    <w:p>
      <w:pPr>
        <w:pStyle w:val="Heading1"/>
      </w:pPr>
      <w:r>
        <w:t>5. Gap summary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6236"/>
        <w:gridCol w:w="3402"/>
      </w:tblGrid>
      <w:tr>
        <w:trPr>
          <w:tblHeader w:val="true"/>
        </w:trPr>
        <w:tc>
          <w:tcPr>
            <w:tcW w:type="dxa" w:w="6236"/>
            <w:shd w:val="clear" w:color="auto" w:fill="C8102E"/>
          </w:tcPr>
          <w:p>
            <w:r/>
            <w:r>
              <w:rPr>
                <w:b/>
                <w:color w:val="FFFFFF"/>
                <w:sz w:val="17"/>
              </w:rPr>
              <w:t>Metric</w:t>
            </w:r>
          </w:p>
        </w:tc>
        <w:tc>
          <w:tcPr>
            <w:tcW w:type="dxa" w:w="3402"/>
            <w:shd w:val="clear" w:color="auto" w:fill="C8102E"/>
          </w:tcPr>
          <w:p>
            <w:r/>
            <w:r>
              <w:rPr>
                <w:b/>
                <w:color w:val="FFFFFF"/>
                <w:sz w:val="17"/>
              </w:rPr>
              <w:t>Value</w:t>
            </w:r>
          </w:p>
        </w:tc>
      </w:tr>
      <w:tr>
        <w:trPr>
          <w:cantSplit w:val="true"/>
        </w:trPr>
        <w:tc>
          <w:tcPr>
            <w:tcW w:type="dxa" w:w="6236"/>
          </w:tcPr>
          <w:p>
            <w:pPr>
              <w:spacing w:after="0"/>
            </w:pPr>
            <w:r/>
            <w:r>
              <w:rPr>
                <w:b w:val="0"/>
                <w:i w:val="0"/>
                <w:sz w:val="17"/>
              </w:rPr>
              <w:t>Total gaps</w:t>
            </w:r>
          </w:p>
        </w:tc>
        <w:tc>
          <w:tcPr>
            <w:tcW w:type="dxa" w:w="3402"/>
          </w:tcPr>
          <w:p>
            <w:pPr>
              <w:spacing w:after="0"/>
            </w:pPr>
            <w:r/>
            <w:r>
              <w:rPr>
                <w:b w:val="0"/>
                <w:i w:val="0"/>
                <w:sz w:val="17"/>
              </w:rPr>
              <w:t>29</w:t>
            </w:r>
          </w:p>
        </w:tc>
      </w:tr>
      <w:tr>
        <w:trPr>
          <w:cantSplit w:val="true"/>
        </w:trPr>
        <w:tc>
          <w:tcPr>
            <w:tcW w:type="dxa" w:w="6236"/>
            <w:shd w:val="clear" w:color="auto" w:fill="F9FAFB"/>
          </w:tcPr>
          <w:p>
            <w:pPr>
              <w:spacing w:after="0"/>
            </w:pPr>
            <w:r/>
            <w:r>
              <w:rPr>
                <w:b w:val="0"/>
                <w:i w:val="0"/>
                <w:sz w:val="17"/>
              </w:rPr>
              <w:t>High priority</w:t>
            </w:r>
          </w:p>
        </w:tc>
        <w:tc>
          <w:tcPr>
            <w:tcW w:type="dxa" w:w="3402"/>
            <w:shd w:val="clear" w:color="auto" w:fill="F9FAFB"/>
          </w:tcPr>
          <w:p>
            <w:pPr>
              <w:spacing w:after="0"/>
            </w:pPr>
            <w:r/>
            <w:r>
              <w:rPr>
                <w:b w:val="0"/>
                <w:i w:val="0"/>
                <w:sz w:val="17"/>
              </w:rPr>
              <w:t>20</w:t>
            </w:r>
          </w:p>
        </w:tc>
      </w:tr>
      <w:tr>
        <w:trPr>
          <w:cantSplit w:val="true"/>
        </w:trPr>
        <w:tc>
          <w:tcPr>
            <w:tcW w:type="dxa" w:w="6236"/>
          </w:tcPr>
          <w:p>
            <w:pPr>
              <w:spacing w:after="0"/>
            </w:pPr>
            <w:r/>
            <w:r>
              <w:rPr>
                <w:b w:val="0"/>
                <w:i w:val="0"/>
                <w:sz w:val="17"/>
              </w:rPr>
              <w:t>Medium priority</w:t>
            </w:r>
          </w:p>
        </w:tc>
        <w:tc>
          <w:tcPr>
            <w:tcW w:type="dxa" w:w="3402"/>
          </w:tcPr>
          <w:p>
            <w:pPr>
              <w:spacing w:after="0"/>
            </w:pPr>
            <w:r/>
            <w:r>
              <w:rPr>
                <w:b w:val="0"/>
                <w:i w:val="0"/>
                <w:sz w:val="17"/>
              </w:rPr>
              <w:t>9</w:t>
            </w:r>
          </w:p>
        </w:tc>
      </w:tr>
      <w:tr>
        <w:trPr>
          <w:cantSplit w:val="true"/>
        </w:trPr>
        <w:tc>
          <w:tcPr>
            <w:tcW w:type="dxa" w:w="6236"/>
            <w:shd w:val="clear" w:color="auto" w:fill="F9FAFB"/>
          </w:tcPr>
          <w:p>
            <w:pPr>
              <w:spacing w:after="0"/>
            </w:pPr>
            <w:r/>
            <w:r>
              <w:rPr>
                <w:b w:val="0"/>
                <w:i w:val="0"/>
                <w:sz w:val="17"/>
              </w:rPr>
              <w:t>Low priority</w:t>
            </w:r>
          </w:p>
        </w:tc>
        <w:tc>
          <w:tcPr>
            <w:tcW w:type="dxa" w:w="3402"/>
            <w:shd w:val="clear" w:color="auto" w:fill="F9FAFB"/>
          </w:tcPr>
          <w:p>
            <w:pPr>
              <w:spacing w:after="0"/>
            </w:pPr>
            <w:r/>
            <w:r>
              <w:rPr>
                <w:b w:val="0"/>
                <w:i w:val="0"/>
                <w:sz w:val="17"/>
              </w:rPr>
              <w:t>0</w:t>
            </w:r>
          </w:p>
        </w:tc>
      </w:tr>
      <w:tr>
        <w:trPr>
          <w:cantSplit w:val="true"/>
        </w:trPr>
        <w:tc>
          <w:tcPr>
            <w:tcW w:type="dxa" w:w="6236"/>
          </w:tcPr>
          <w:p>
            <w:pPr>
              <w:spacing w:after="0"/>
            </w:pPr>
            <w:r/>
            <w:r>
              <w:rPr>
                <w:b w:val="0"/>
                <w:i w:val="0"/>
                <w:sz w:val="17"/>
              </w:rPr>
              <w:t>Gaps needing customization, Enterprise feature or accountant review (proposed)</w:t>
            </w:r>
          </w:p>
        </w:tc>
        <w:tc>
          <w:tcPr>
            <w:tcW w:type="dxa" w:w="3402"/>
          </w:tcPr>
          <w:p>
            <w:pPr>
              <w:spacing w:after="0"/>
            </w:pPr>
            <w:r/>
            <w:r>
              <w:rPr>
                <w:b w:val="0"/>
                <w:i w:val="0"/>
                <w:sz w:val="17"/>
              </w:rPr>
              <w:t>12</w:t>
            </w:r>
          </w:p>
        </w:tc>
      </w:tr>
    </w:tbl>
    <w:p>
      <w:pPr>
        <w:spacing w:after="40"/>
      </w:pP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5102"/>
        <w:gridCol w:w="4535"/>
      </w:tblGrid>
      <w:tr>
        <w:trPr>
          <w:tblHeader w:val="true"/>
        </w:trPr>
        <w:tc>
          <w:tcPr>
            <w:tcW w:type="dxa" w:w="5102"/>
            <w:shd w:val="clear" w:color="auto" w:fill="C8102E"/>
          </w:tcPr>
          <w:p>
            <w:r/>
            <w:r>
              <w:rPr>
                <w:b/>
                <w:color w:val="FFFFFF"/>
                <w:sz w:val="17"/>
              </w:rPr>
              <w:t>Owner</w:t>
            </w:r>
          </w:p>
        </w:tc>
        <w:tc>
          <w:tcPr>
            <w:tcW w:type="dxa" w:w="4535"/>
            <w:shd w:val="clear" w:color="auto" w:fill="C8102E"/>
          </w:tcPr>
          <w:p>
            <w:r/>
            <w:r>
              <w:rPr>
                <w:b/>
                <w:color w:val="FFFFFF"/>
                <w:sz w:val="17"/>
              </w:rPr>
              <w:t>Gaps owned</w:t>
            </w:r>
          </w:p>
        </w:tc>
      </w:tr>
      <w:tr>
        <w:trPr>
          <w:cantSplit w:val="true"/>
        </w:trPr>
        <w:tc>
          <w:tcPr>
            <w:tcW w:type="dxa" w:w="5102"/>
          </w:tcPr>
          <w:p>
            <w:pPr>
              <w:spacing w:after="0"/>
            </w:pPr>
            <w:r/>
            <w:r>
              <w:rPr>
                <w:b w:val="0"/>
                <w:i w:val="0"/>
                <w:sz w:val="17"/>
              </w:rPr>
              <w:t>Mohamed Essam El-Din Youssef</w:t>
            </w:r>
          </w:p>
        </w:tc>
        <w:tc>
          <w:tcPr>
            <w:tcW w:type="dxa" w:w="4535"/>
          </w:tcPr>
          <w:p>
            <w:pPr>
              <w:spacing w:after="0"/>
            </w:pPr>
            <w:r/>
            <w:r>
              <w:rPr>
                <w:b w:val="0"/>
                <w:i w:val="0"/>
                <w:sz w:val="17"/>
              </w:rPr>
              <w:t>8</w:t>
            </w:r>
          </w:p>
        </w:tc>
      </w:tr>
      <w:tr>
        <w:trPr>
          <w:cantSplit w:val="true"/>
        </w:trPr>
        <w:tc>
          <w:tcPr>
            <w:tcW w:type="dxa" w:w="5102"/>
            <w:shd w:val="clear" w:color="auto" w:fill="F9FAFB"/>
          </w:tcPr>
          <w:p>
            <w:pPr>
              <w:spacing w:after="0"/>
            </w:pPr>
            <w:r/>
            <w:r>
              <w:rPr>
                <w:b w:val="0"/>
                <w:i w:val="0"/>
                <w:sz w:val="17"/>
              </w:rPr>
              <w:t>Mohamed Mahmoud Abdel Bary</w:t>
            </w:r>
          </w:p>
        </w:tc>
        <w:tc>
          <w:tcPr>
            <w:tcW w:type="dxa" w:w="4535"/>
            <w:shd w:val="clear" w:color="auto" w:fill="F9FAFB"/>
          </w:tcPr>
          <w:p>
            <w:pPr>
              <w:spacing w:after="0"/>
            </w:pPr>
            <w:r/>
            <w:r>
              <w:rPr>
                <w:b w:val="0"/>
                <w:i w:val="0"/>
                <w:sz w:val="17"/>
              </w:rPr>
              <w:t>4</w:t>
            </w:r>
          </w:p>
        </w:tc>
      </w:tr>
      <w:tr>
        <w:trPr>
          <w:cantSplit w:val="true"/>
        </w:trPr>
        <w:tc>
          <w:tcPr>
            <w:tcW w:type="dxa" w:w="5102"/>
          </w:tcPr>
          <w:p>
            <w:pPr>
              <w:spacing w:after="0"/>
            </w:pPr>
            <w:r/>
            <w:r>
              <w:rPr>
                <w:b w:val="0"/>
                <w:i w:val="0"/>
                <w:sz w:val="17"/>
              </w:rPr>
              <w:t>Omnia Haitham</w:t>
            </w:r>
          </w:p>
        </w:tc>
        <w:tc>
          <w:tcPr>
            <w:tcW w:type="dxa" w:w="4535"/>
          </w:tcPr>
          <w:p>
            <w:pPr>
              <w:spacing w:after="0"/>
            </w:pPr>
            <w:r/>
            <w:r>
              <w:rPr>
                <w:b w:val="0"/>
                <w:i w:val="0"/>
                <w:sz w:val="17"/>
              </w:rPr>
              <w:t>5</w:t>
            </w:r>
          </w:p>
        </w:tc>
      </w:tr>
      <w:tr>
        <w:trPr>
          <w:cantSplit w:val="true"/>
        </w:trPr>
        <w:tc>
          <w:tcPr>
            <w:tcW w:type="dxa" w:w="5102"/>
            <w:shd w:val="clear" w:color="auto" w:fill="F9FAFB"/>
          </w:tcPr>
          <w:p>
            <w:pPr>
              <w:spacing w:after="0"/>
            </w:pPr>
            <w:r/>
            <w:r>
              <w:rPr>
                <w:b w:val="0"/>
                <w:i w:val="0"/>
                <w:sz w:val="17"/>
              </w:rPr>
              <w:t>Ahmed Mahmoud Mohamed</w:t>
            </w:r>
          </w:p>
        </w:tc>
        <w:tc>
          <w:tcPr>
            <w:tcW w:type="dxa" w:w="4535"/>
            <w:shd w:val="clear" w:color="auto" w:fill="F9FAFB"/>
          </w:tcPr>
          <w:p>
            <w:pPr>
              <w:spacing w:after="0"/>
            </w:pPr>
            <w:r/>
            <w:r>
              <w:rPr>
                <w:b w:val="0"/>
                <w:i w:val="0"/>
                <w:sz w:val="17"/>
              </w:rPr>
              <w:t>8</w:t>
            </w:r>
          </w:p>
        </w:tc>
      </w:tr>
      <w:tr>
        <w:trPr>
          <w:cantSplit w:val="true"/>
        </w:trPr>
        <w:tc>
          <w:tcPr>
            <w:tcW w:type="dxa" w:w="5102"/>
          </w:tcPr>
          <w:p>
            <w:pPr>
              <w:spacing w:after="0"/>
            </w:pPr>
            <w:r/>
            <w:r>
              <w:rPr>
                <w:b w:val="0"/>
                <w:i w:val="0"/>
                <w:sz w:val="17"/>
              </w:rPr>
              <w:t>Fathy Adel Fathy</w:t>
            </w:r>
          </w:p>
        </w:tc>
        <w:tc>
          <w:tcPr>
            <w:tcW w:type="dxa" w:w="4535"/>
          </w:tcPr>
          <w:p>
            <w:pPr>
              <w:spacing w:after="0"/>
            </w:pPr>
            <w:r/>
            <w:r>
              <w:rPr>
                <w:b w:val="0"/>
                <w:i w:val="0"/>
                <w:sz w:val="17"/>
              </w:rPr>
              <w:t>4</w:t>
            </w:r>
          </w:p>
        </w:tc>
      </w:tr>
    </w:tbl>
    <w:p>
      <w:pPr>
        <w:spacing w:after="40"/>
      </w:pPr>
    </w:p>
    <w:p>
      <w:pPr>
        <w:pStyle w:val="Heading1"/>
      </w:pPr>
      <w:r>
        <w:t>6. Validation plan</w:t>
      </w:r>
    </w:p>
    <w:p>
      <w:pPr>
        <w:pStyle w:val="ListBullet"/>
        <w:spacing w:after="40"/>
      </w:pPr>
      <w:r>
        <w:rPr>
          <w:b w:val="0"/>
          <w:i w:val="0"/>
        </w:rPr>
        <w:t>Each gap's validation methods reference BRD requirement IDs; each requirement has a test case in UATD_User_Acceptance_Testing.xlsx.</w:t>
      </w:r>
    </w:p>
    <w:p>
      <w:pPr>
        <w:pStyle w:val="ListBullet"/>
        <w:spacing w:after="40"/>
      </w:pPr>
      <w:r>
        <w:rPr>
          <w:b w:val="0"/>
          <w:i w:val="0"/>
        </w:rPr>
        <w:t>Design review by Mohamed Mahmoud Abdel Bary; accounting gaps (G-18 to G-21) by Omnia Haitham; data-driven checks by Ahmed Mahmoud Mohamed (reconciliations in the three data workbooks).</w:t>
      </w:r>
    </w:p>
    <w:p>
      <w:pPr>
        <w:pStyle w:val="ListBullet"/>
        <w:spacing w:after="40"/>
      </w:pPr>
      <w:r>
        <w:rPr>
          <w:b w:val="0"/>
          <w:i w:val="0"/>
        </w:rPr>
        <w:t>Live-Odoo validation is outstanding for gaps relying on Enterprise features or customizations: G-02, G-03, G-10, G-17, G-19 (statement import), G-22, G-23, G-24.</w:t>
      </w:r>
    </w:p>
    <w:p>
      <w:pPr>
        <w:pStyle w:val="Heading1"/>
      </w:pPr>
      <w:r>
        <w:t>7. Conclusions</w:t>
      </w:r>
    </w:p>
    <w:p>
      <w:r>
        <w:rPr>
          <w:b w:val="0"/>
          <w:i w:val="0"/>
        </w:rPr>
        <w:t>The gap analysis shows that most gaps close with standard Odoo features and configuration. The remaining items - hard credit blocking, warranty tracking, branch-based access rules, approval chains and dashboards - are proposed customizations or Enterprise features and are carried into the Technical Proposal (TPD 6) as proposed work, not completed implementation.</w:t>
      </w:r>
    </w:p>
    <w:sectPr w:rsidR="00FC693F" w:rsidRPr="0006063C" w:rsidSect="00034616">
      <w:pgSz w:w="11906" w:h="16838"/>
      <w:pgMar w:top="130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RL-GAWF-001  |  v1.0  |  2026-10-25  |  Simulated graduation project - not verified on a live Odoo server  |  Page </w:t>
    </w:r>
    <w:r>
      <w:rPr>
        <w:sz w:val="15"/>
      </w:rPr>
      <w:fldChar w:fldCharType="begin"/>
      <w:instrText xml:space="preserve">PAGE</w:instrText>
      <w:fldChar w:fldCharType="end"/>
    </w:r>
    <w:r>
      <w:rPr>
        <w:color w:val="6B7280"/>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C8102E"/>
      </w:pBdr>
      <w:pBdr>
        <w:bottom w:val="single" w:sz="6" w:space="1" w:color="C8102E"/>
      </w:pBdr>
    </w:pPr>
    <w:r/>
    <w:r>
      <w:rPr>
        <w:color w:val="6B7280"/>
        <w:sz w:val="16"/>
      </w:rPr>
      <w:t>RedLine Medical Supplies &amp; Equipment Trading  |  Gap Analysis and Workflow Documentation (GAWF)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