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val="clear" w:color="auto" w:fill="C8102E"/>
          </w:tcPr>
          <w:p>
            <w:r>
              <w:rPr>
                <w:b/>
                <w:color w:val="FFFFFF"/>
                <w:sz w:val="68"/>
              </w:rPr>
              <w:t>REDLINE</w:t>
            </w:r>
          </w:p>
          <w:p>
            <w:r>
              <w:rPr>
                <w:color w:val="FFFFFF"/>
                <w:sz w:val="28"/>
              </w:rPr>
              <w:t>Medical Supplies &amp; Equipment Trading</w:t>
            </w:r>
          </w:p>
          <w:p>
            <w:pPr>
              <w:bidi/>
              <w:jc w:val="right"/>
            </w:pPr>
            <w:r>
              <w:rPr>
                <w:color w:val="FFFFFF"/>
                <w:sz w:val="26"/>
                <w:rtl/>
                <w:rFonts w:cs="Arial" w:ascii="Arial" w:hAnsi="Arial"/>
              </w:rPr>
              <w:t>ريد لاين للتجارة في المستلزمات والمعدات الطبية</w:t>
            </w:r>
          </w:p>
        </w:tc>
      </w:tr>
    </w:tbl>
    <w:p/>
    <w:p/>
    <w:p/>
    <w:p/>
    <w:p/>
    <w:p>
      <w:r>
        <w:rPr>
          <w:b/>
          <w:color w:val="1F2937"/>
          <w:sz w:val="56"/>
        </w:rPr>
        <w:t>Solution Design Document (SSD)</w:t>
      </w:r>
    </w:p>
    <w:p>
      <w:pPr>
        <w:bidi/>
        <w:jc w:val="right"/>
      </w:pPr>
      <w:r>
        <w:rPr>
          <w:color w:val="C8102E"/>
          <w:sz w:val="40"/>
          <w:rtl/>
          <w:rFonts w:cs="Arial" w:ascii="Arial" w:hAnsi="Arial"/>
        </w:rPr>
        <w:t>وثيقة تصميم الحل</w:t>
      </w:r>
    </w:p>
    <w:p>
      <w:r>
        <w:rPr>
          <w:color w:val="6B7280"/>
          <w:sz w:val="26"/>
        </w:rPr>
        <w:t>Architecture, structure, security, workflows, reporting and migration</w:t>
      </w:r>
    </w:p>
    <w:p/>
    <w:p/>
    <w:p/>
    <w:p/>
    <w:tbl>
      <w:tblPr>
        <w:tblStyle w:val="TableGrid"/>
        <w:tblW w:type="auto" w:w="0"/>
        <w:tblLook w:firstColumn="1" w:firstRow="1" w:lastColumn="0" w:lastRow="0" w:noHBand="0" w:noVBand="1" w:val="04A0"/>
      </w:tblPr>
      <w:tblGrid>
        <w:gridCol w:w="2551"/>
        <w:gridCol w:w="4819"/>
      </w:tblGrid>
      <w:tr>
        <w:tc>
          <w:tcPr>
            <w:tcW w:type="dxa" w:w="2551"/>
            <w:shd w:val="clear" w:color="auto" w:fill="F3F4F6"/>
          </w:tcPr>
          <w:p>
            <w:r>
              <w:rPr>
                <w:b/>
                <w:sz w:val="19"/>
              </w:rPr>
              <w:t>Project</w:t>
            </w:r>
          </w:p>
        </w:tc>
        <w:tc>
          <w:tcPr>
            <w:tcW w:type="dxa" w:w="7087"/>
          </w:tcPr>
          <w:p>
            <w:r>
              <w:rPr>
                <w:sz w:val="19"/>
              </w:rPr>
              <w:t>Odoo ERP Implementation - Graduation Project (simulation)</w:t>
            </w:r>
          </w:p>
        </w:tc>
      </w:tr>
      <w:tr>
        <w:tc>
          <w:tcPr>
            <w:tcW w:type="dxa" w:w="2551"/>
            <w:shd w:val="clear" w:color="auto" w:fill="F3F4F6"/>
          </w:tcPr>
          <w:p>
            <w:r>
              <w:rPr>
                <w:b/>
                <w:sz w:val="19"/>
              </w:rPr>
              <w:t>Document code</w:t>
            </w:r>
          </w:p>
        </w:tc>
        <w:tc>
          <w:tcPr>
            <w:tcW w:type="dxa" w:w="7087"/>
          </w:tcPr>
          <w:p>
            <w:r>
              <w:rPr>
                <w:sz w:val="19"/>
              </w:rPr>
              <w:t>RL-SSD-001</w:t>
            </w:r>
          </w:p>
        </w:tc>
      </w:tr>
      <w:tr>
        <w:tc>
          <w:tcPr>
            <w:tcW w:type="dxa" w:w="2551"/>
            <w:shd w:val="clear" w:color="auto" w:fill="F3F4F6"/>
          </w:tcPr>
          <w:p>
            <w:r>
              <w:rPr>
                <w:b/>
                <w:sz w:val="19"/>
              </w:rPr>
              <w:t>Version</w:t>
            </w:r>
          </w:p>
        </w:tc>
        <w:tc>
          <w:tcPr>
            <w:tcW w:type="dxa" w:w="7087"/>
          </w:tcPr>
          <w:p>
            <w:r>
              <w:rPr>
                <w:sz w:val="19"/>
              </w:rPr>
              <w:t>1.0 (final)</w:t>
            </w:r>
          </w:p>
        </w:tc>
      </w:tr>
      <w:tr>
        <w:tc>
          <w:tcPr>
            <w:tcW w:type="dxa" w:w="2551"/>
            <w:shd w:val="clear" w:color="auto" w:fill="F3F4F6"/>
          </w:tcPr>
          <w:p>
            <w:r>
              <w:rPr>
                <w:b/>
                <w:sz w:val="19"/>
              </w:rPr>
              <w:t>Preparation date</w:t>
            </w:r>
          </w:p>
        </w:tc>
        <w:tc>
          <w:tcPr>
            <w:tcW w:type="dxa" w:w="7087"/>
          </w:tcPr>
          <w:p>
            <w:r>
              <w:rPr>
                <w:sz w:val="19"/>
              </w:rPr>
              <w:t>25 October 2026</w:t>
            </w:r>
          </w:p>
        </w:tc>
      </w:tr>
      <w:tr>
        <w:tc>
          <w:tcPr>
            <w:tcW w:type="dxa" w:w="2551"/>
            <w:shd w:val="clear" w:color="auto" w:fill="F3F4F6"/>
          </w:tcPr>
          <w:p>
            <w:r>
              <w:rPr>
                <w:b/>
                <w:sz w:val="19"/>
              </w:rPr>
              <w:t>Business reporting period</w:t>
            </w:r>
          </w:p>
        </w:tc>
        <w:tc>
          <w:tcPr>
            <w:tcW w:type="dxa" w:w="7087"/>
          </w:tcPr>
          <w:p>
            <w:r>
              <w:rPr>
                <w:sz w:val="19"/>
              </w:rPr>
              <w:t>1 May 2026 – 30 September 2026</w:t>
            </w:r>
          </w:p>
        </w:tc>
      </w:tr>
      <w:tr>
        <w:tc>
          <w:tcPr>
            <w:tcW w:type="dxa" w:w="2551"/>
            <w:shd w:val="clear" w:color="auto" w:fill="F3F4F6"/>
          </w:tcPr>
          <w:p>
            <w:r>
              <w:rPr>
                <w:b/>
                <w:sz w:val="19"/>
              </w:rPr>
              <w:t>Target platform</w:t>
            </w:r>
          </w:p>
        </w:tc>
        <w:tc>
          <w:tcPr>
            <w:tcW w:type="dxa" w:w="7087"/>
          </w:tcPr>
          <w:p>
            <w:r>
              <w:rPr>
                <w:sz w:val="19"/>
              </w:rPr>
              <w:t>Odoo 19.0 (Enterprise edition assumed)</w:t>
            </w:r>
          </w:p>
        </w:tc>
      </w:tr>
      <w:tr>
        <w:tc>
          <w:tcPr>
            <w:tcW w:type="dxa" w:w="2551"/>
            <w:shd w:val="clear" w:color="auto" w:fill="F3F4F6"/>
          </w:tcPr>
          <w:p>
            <w:r>
              <w:rPr>
                <w:b/>
                <w:sz w:val="19"/>
              </w:rPr>
              <w:t>Prepared by</w:t>
            </w:r>
          </w:p>
        </w:tc>
        <w:tc>
          <w:tcPr>
            <w:tcW w:type="dxa" w:w="7087"/>
          </w:tcPr>
          <w:p>
            <w:r>
              <w:rPr>
                <w:sz w:val="19"/>
              </w:rPr>
              <w:t>Mohamed Mahmoud Abdel Bary, Mohamed Essam El-Din Youssef, Ahmed Mahmoud Mohamed, Fathy Adel Fathy, Omnia Haitham</w:t>
            </w:r>
          </w:p>
        </w:tc>
      </w:tr>
      <w:tr>
        <w:tc>
          <w:tcPr>
            <w:tcW w:type="dxa" w:w="2551"/>
            <w:shd w:val="clear" w:color="auto" w:fill="F3F4F6"/>
          </w:tcPr>
          <w:p>
            <w:r>
              <w:rPr>
                <w:b/>
                <w:sz w:val="19"/>
              </w:rPr>
              <w:t>Currency</w:t>
            </w:r>
          </w:p>
        </w:tc>
        <w:tc>
          <w:tcPr>
            <w:tcW w:type="dxa" w:w="7087"/>
          </w:tcPr>
          <w:p>
            <w:r>
              <w:rPr>
                <w:sz w:val="19"/>
              </w:rPr>
              <w:t>EGP - Egyptian Pound</w:t>
            </w:r>
          </w:p>
        </w:tc>
      </w:tr>
    </w:tbl>
    <w:p>
      <w:pPr>
        <w:spacing w:before="280"/>
      </w:pPr>
      <w:r>
        <w:rPr>
          <w:i/>
          <w:color w:val="6B7280"/>
          <w:sz w:val="17"/>
        </w:rPr>
        <w:t>Disclaimer: all companies, partners, bank details and transactions in this project are fictional or illustrative simulation data. Nothing in this document claims that the configuration has been installed, imported or tested on a live Odoo server.</w:t>
      </w:r>
    </w:p>
    <w:p>
      <w:r>
        <w:br w:type="page"/>
      </w:r>
    </w:p>
    <w:p>
      <w:pPr>
        <w:pStyle w:val="Heading1"/>
      </w:pPr>
      <w:r>
        <w:t>Contents</w:t>
      </w:r>
    </w:p>
    <w:tbl>
      <w:tblPr>
        <w:tblStyle w:val="TableGrid"/>
        <w:tblW w:type="auto" w:w="0"/>
        <w:tblLook w:firstColumn="1" w:firstRow="1" w:lastColumn="0" w:lastRow="0" w:noHBand="0" w:noVBand="1" w:val="04A0"/>
      </w:tblPr>
      <w:tblGrid>
        <w:gridCol w:w="4819"/>
        <w:gridCol w:w="4819"/>
      </w:tblGrid>
      <w:tr>
        <w:tc>
          <w:tcPr>
            <w:tcW w:type="dxa" w:w="1134"/>
            <w:shd w:val="clear" w:color="auto" w:fill="F9FAFB"/>
          </w:tcPr>
          <w:p>
            <w:r>
              <w:rPr>
                <w:sz w:val="19"/>
              </w:rPr>
              <w:t>1</w:t>
            </w:r>
          </w:p>
        </w:tc>
        <w:tc>
          <w:tcPr>
            <w:tcW w:type="dxa" w:w="8504"/>
            <w:shd w:val="clear" w:color="auto" w:fill="F9FAFB"/>
          </w:tcPr>
          <w:p>
            <w:r>
              <w:rPr>
                <w:sz w:val="19"/>
              </w:rPr>
              <w:t>Introduction and design principles</w:t>
            </w:r>
          </w:p>
        </w:tc>
      </w:tr>
      <w:tr>
        <w:tc>
          <w:tcPr>
            <w:tcW w:type="dxa" w:w="1134"/>
          </w:tcPr>
          <w:p>
            <w:r>
              <w:rPr>
                <w:sz w:val="19"/>
              </w:rPr>
              <w:t>2</w:t>
            </w:r>
          </w:p>
        </w:tc>
        <w:tc>
          <w:tcPr>
            <w:tcW w:type="dxa" w:w="8504"/>
          </w:tcPr>
          <w:p>
            <w:r>
              <w:rPr>
                <w:sz w:val="19"/>
              </w:rPr>
              <w:t>Solution architecture and modules</w:t>
            </w:r>
          </w:p>
        </w:tc>
      </w:tr>
      <w:tr>
        <w:tc>
          <w:tcPr>
            <w:tcW w:type="dxa" w:w="1134"/>
            <w:shd w:val="clear" w:color="auto" w:fill="F9FAFB"/>
          </w:tcPr>
          <w:p>
            <w:r>
              <w:rPr>
                <w:sz w:val="19"/>
              </w:rPr>
              <w:t>3</w:t>
            </w:r>
          </w:p>
        </w:tc>
        <w:tc>
          <w:tcPr>
            <w:tcW w:type="dxa" w:w="8504"/>
            <w:shd w:val="clear" w:color="auto" w:fill="F9FAFB"/>
          </w:tcPr>
          <w:p>
            <w:r>
              <w:rPr>
                <w:sz w:val="19"/>
              </w:rPr>
              <w:t>Module relationships and dependencies</w:t>
            </w:r>
          </w:p>
        </w:tc>
      </w:tr>
      <w:tr>
        <w:tc>
          <w:tcPr>
            <w:tcW w:type="dxa" w:w="1134"/>
          </w:tcPr>
          <w:p>
            <w:r>
              <w:rPr>
                <w:sz w:val="19"/>
              </w:rPr>
              <w:t>4</w:t>
            </w:r>
          </w:p>
        </w:tc>
        <w:tc>
          <w:tcPr>
            <w:tcW w:type="dxa" w:w="8504"/>
          </w:tcPr>
          <w:p>
            <w:r>
              <w:rPr>
                <w:sz w:val="19"/>
              </w:rPr>
              <w:t>Organizational structure and master-data design</w:t>
            </w:r>
          </w:p>
        </w:tc>
      </w:tr>
      <w:tr>
        <w:tc>
          <w:tcPr>
            <w:tcW w:type="dxa" w:w="1134"/>
            <w:shd w:val="clear" w:color="auto" w:fill="F9FAFB"/>
          </w:tcPr>
          <w:p>
            <w:r>
              <w:rPr>
                <w:sz w:val="19"/>
              </w:rPr>
              <w:t>5</w:t>
            </w:r>
          </w:p>
        </w:tc>
        <w:tc>
          <w:tcPr>
            <w:tcW w:type="dxa" w:w="8504"/>
            <w:shd w:val="clear" w:color="auto" w:fill="F9FAFB"/>
          </w:tcPr>
          <w:p>
            <w:r>
              <w:rPr>
                <w:sz w:val="19"/>
              </w:rPr>
              <w:t>Branches and warehouses in a single-company model</w:t>
            </w:r>
          </w:p>
        </w:tc>
      </w:tr>
      <w:tr>
        <w:tc>
          <w:tcPr>
            <w:tcW w:type="dxa" w:w="1134"/>
          </w:tcPr>
          <w:p>
            <w:r>
              <w:rPr>
                <w:sz w:val="19"/>
              </w:rPr>
              <w:t>6</w:t>
            </w:r>
          </w:p>
        </w:tc>
        <w:tc>
          <w:tcPr>
            <w:tcW w:type="dxa" w:w="8504"/>
          </w:tcPr>
          <w:p>
            <w:r>
              <w:rPr>
                <w:sz w:val="19"/>
              </w:rPr>
              <w:t>Warehouse routes and inventory design</w:t>
            </w:r>
          </w:p>
        </w:tc>
      </w:tr>
      <w:tr>
        <w:tc>
          <w:tcPr>
            <w:tcW w:type="dxa" w:w="1134"/>
            <w:shd w:val="clear" w:color="auto" w:fill="F9FAFB"/>
          </w:tcPr>
          <w:p>
            <w:r>
              <w:rPr>
                <w:sz w:val="19"/>
              </w:rPr>
              <w:t>7</w:t>
            </w:r>
          </w:p>
        </w:tc>
        <w:tc>
          <w:tcPr>
            <w:tcW w:type="dxa" w:w="8504"/>
            <w:shd w:val="clear" w:color="auto" w:fill="F9FAFB"/>
          </w:tcPr>
          <w:p>
            <w:r>
              <w:rPr>
                <w:sz w:val="19"/>
              </w:rPr>
              <w:t>Security model</w:t>
            </w:r>
          </w:p>
        </w:tc>
      </w:tr>
      <w:tr>
        <w:tc>
          <w:tcPr>
            <w:tcW w:type="dxa" w:w="1134"/>
          </w:tcPr>
          <w:p>
            <w:r>
              <w:rPr>
                <w:sz w:val="19"/>
              </w:rPr>
              <w:t>8</w:t>
            </w:r>
          </w:p>
        </w:tc>
        <w:tc>
          <w:tcPr>
            <w:tcW w:type="dxa" w:w="8504"/>
          </w:tcPr>
          <w:p>
            <w:r>
              <w:rPr>
                <w:sz w:val="19"/>
              </w:rPr>
              <w:t>Process designs (six workflow diagrams)</w:t>
            </w:r>
          </w:p>
        </w:tc>
      </w:tr>
      <w:tr>
        <w:tc>
          <w:tcPr>
            <w:tcW w:type="dxa" w:w="1134"/>
            <w:shd w:val="clear" w:color="auto" w:fill="F9FAFB"/>
          </w:tcPr>
          <w:p>
            <w:r>
              <w:rPr>
                <w:sz w:val="19"/>
              </w:rPr>
              <w:t>9</w:t>
            </w:r>
          </w:p>
        </w:tc>
        <w:tc>
          <w:tcPr>
            <w:tcW w:type="dxa" w:w="8504"/>
            <w:shd w:val="clear" w:color="auto" w:fill="F9FAFB"/>
          </w:tcPr>
          <w:p>
            <w:r>
              <w:rPr>
                <w:sz w:val="19"/>
              </w:rPr>
              <w:t>Accounting integration</w:t>
            </w:r>
          </w:p>
        </w:tc>
      </w:tr>
      <w:tr>
        <w:tc>
          <w:tcPr>
            <w:tcW w:type="dxa" w:w="1134"/>
          </w:tcPr>
          <w:p>
            <w:r>
              <w:rPr>
                <w:sz w:val="19"/>
              </w:rPr>
              <w:t>10</w:t>
            </w:r>
          </w:p>
        </w:tc>
        <w:tc>
          <w:tcPr>
            <w:tcW w:type="dxa" w:w="8504"/>
          </w:tcPr>
          <w:p>
            <w:r>
              <w:rPr>
                <w:sz w:val="19"/>
              </w:rPr>
              <w:t>Reporting design</w:t>
            </w:r>
          </w:p>
        </w:tc>
      </w:tr>
      <w:tr>
        <w:tc>
          <w:tcPr>
            <w:tcW w:type="dxa" w:w="1134"/>
            <w:shd w:val="clear" w:color="auto" w:fill="F9FAFB"/>
          </w:tcPr>
          <w:p>
            <w:r>
              <w:rPr>
                <w:sz w:val="19"/>
              </w:rPr>
              <w:t>11</w:t>
            </w:r>
          </w:p>
        </w:tc>
        <w:tc>
          <w:tcPr>
            <w:tcW w:type="dxa" w:w="8504"/>
            <w:shd w:val="clear" w:color="auto" w:fill="F9FAFB"/>
          </w:tcPr>
          <w:p>
            <w:r>
              <w:rPr>
                <w:sz w:val="19"/>
              </w:rPr>
              <w:t>Migration strategy</w:t>
            </w:r>
          </w:p>
        </w:tc>
      </w:tr>
      <w:tr>
        <w:tc>
          <w:tcPr>
            <w:tcW w:type="dxa" w:w="1134"/>
          </w:tcPr>
          <w:p>
            <w:r>
              <w:rPr>
                <w:sz w:val="19"/>
              </w:rPr>
              <w:t>12</w:t>
            </w:r>
          </w:p>
        </w:tc>
        <w:tc>
          <w:tcPr>
            <w:tcW w:type="dxa" w:w="8504"/>
          </w:tcPr>
          <w:p>
            <w:r>
              <w:rPr>
                <w:sz w:val="19"/>
              </w:rPr>
              <w:t>Open design decisions and limitations</w:t>
            </w:r>
          </w:p>
        </w:tc>
      </w:tr>
      <w:tr>
        <w:tc>
          <w:tcPr>
            <w:tcW w:type="dxa" w:w="1134"/>
            <w:shd w:val="clear" w:color="auto" w:fill="F9FAFB"/>
          </w:tcPr>
          <w:p>
            <w:r>
              <w:rPr>
                <w:sz w:val="19"/>
              </w:rPr>
              <w:t>Appendix</w:t>
            </w:r>
          </w:p>
        </w:tc>
        <w:tc>
          <w:tcPr>
            <w:tcW w:type="dxa" w:w="8504"/>
            <w:shd w:val="clear" w:color="auto" w:fill="F9FAFB"/>
          </w:tcPr>
          <w:p>
            <w:r>
              <w:rPr>
                <w:sz w:val="19"/>
              </w:rPr>
              <w:t>Charter, user-guide outline</w:t>
            </w:r>
          </w:p>
        </w:tc>
      </w:tr>
    </w:tbl>
    <w:p>
      <w:r>
        <w:rPr>
          <w:i/>
          <w:color w:val="6B7280"/>
          <w:sz w:val="17"/>
        </w:rPr>
        <w:t>Section numbers are used for cross-references throughout the document set (e.g. 'SSD 4.2' = Solution Design Document, section 4.2).</w:t>
      </w:r>
    </w:p>
    <w:p>
      <w:r>
        <w:br w:type="page"/>
      </w:r>
    </w:p>
    <w:p>
      <w:pPr>
        <w:pStyle w:val="Heading1"/>
      </w:pPr>
      <w:r>
        <w:t>1. Introduction and design principles</w:t>
      </w:r>
    </w:p>
    <w:p>
      <w:r>
        <w:rPr>
          <w:b w:val="0"/>
          <w:i w:val="0"/>
        </w:rPr>
        <w:t>This document describes how Odoo (Odoo 19.0 (Enterprise edition assumed)) will be configured to meet the 75 requirements in the BRD for RedLine Medical Supplies &amp; Equipment Trading. It covers architecture, structure, security, workflows, accounting integration, reporting and migration.</w:t>
      </w:r>
    </w:p>
    <w:p>
      <w:pPr>
        <w:pStyle w:val="Heading2"/>
      </w:pPr>
      <w:r>
        <w:t>1.1 Project charter (summary)</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928"/>
        <w:gridCol w:w="7710"/>
      </w:tblGrid>
      <w:tr>
        <w:trPr>
          <w:tblHeader w:val="true"/>
        </w:trPr>
        <w:tc>
          <w:tcPr>
            <w:tcW w:type="dxa" w:w="1928"/>
            <w:shd w:val="clear" w:color="auto" w:fill="C8102E"/>
          </w:tcPr>
          <w:p>
            <w:r/>
            <w:r>
              <w:rPr>
                <w:b/>
                <w:color w:val="FFFFFF"/>
                <w:sz w:val="17"/>
              </w:rPr>
              <w:t>Item</w:t>
            </w:r>
          </w:p>
        </w:tc>
        <w:tc>
          <w:tcPr>
            <w:tcW w:type="dxa" w:w="7710"/>
            <w:shd w:val="clear" w:color="auto" w:fill="C8102E"/>
          </w:tcPr>
          <w:p>
            <w:r/>
            <w:r>
              <w:rPr>
                <w:b/>
                <w:color w:val="FFFFFF"/>
                <w:sz w:val="17"/>
              </w:rPr>
              <w:t>Statement</w:t>
            </w:r>
          </w:p>
        </w:tc>
      </w:tr>
      <w:tr>
        <w:trPr>
          <w:cantSplit w:val="true"/>
        </w:trPr>
        <w:tc>
          <w:tcPr>
            <w:tcW w:type="dxa" w:w="1928"/>
          </w:tcPr>
          <w:p>
            <w:pPr>
              <w:spacing w:after="0"/>
            </w:pPr>
            <w:r/>
            <w:r>
              <w:rPr>
                <w:b w:val="0"/>
                <w:i w:val="0"/>
                <w:sz w:val="17"/>
              </w:rPr>
              <w:t>Objective</w:t>
            </w:r>
          </w:p>
        </w:tc>
        <w:tc>
          <w:tcPr>
            <w:tcW w:type="dxa" w:w="7710"/>
          </w:tcPr>
          <w:p>
            <w:pPr>
              <w:spacing w:after="0"/>
            </w:pPr>
            <w:r/>
            <w:r>
              <w:rPr>
                <w:b w:val="0"/>
                <w:i w:val="0"/>
                <w:sz w:val="17"/>
              </w:rPr>
              <w:t>Implement an integrated ERP for trading medical equipment, consumables and spare parts with full lot/serial/expiry traceability and reconciled accounting</w:t>
            </w:r>
          </w:p>
        </w:tc>
      </w:tr>
      <w:tr>
        <w:trPr>
          <w:cantSplit w:val="true"/>
        </w:trPr>
        <w:tc>
          <w:tcPr>
            <w:tcW w:type="dxa" w:w="1928"/>
            <w:shd w:val="clear" w:color="auto" w:fill="F9FAFB"/>
          </w:tcPr>
          <w:p>
            <w:pPr>
              <w:spacing w:after="0"/>
            </w:pPr>
            <w:r/>
            <w:r>
              <w:rPr>
                <w:b w:val="0"/>
                <w:i w:val="0"/>
                <w:sz w:val="17"/>
              </w:rPr>
              <w:t>Scope</w:t>
            </w:r>
          </w:p>
        </w:tc>
        <w:tc>
          <w:tcPr>
            <w:tcW w:type="dxa" w:w="7710"/>
            <w:shd w:val="clear" w:color="auto" w:fill="F9FAFB"/>
          </w:tcPr>
          <w:p>
            <w:pPr>
              <w:spacing w:after="0"/>
            </w:pPr>
            <w:r/>
            <w:r>
              <w:rPr>
                <w:b w:val="0"/>
                <w:i w:val="0"/>
                <w:sz w:val="17"/>
              </w:rPr>
              <w:t>Contacts, Sales, CRM, Purchase, Inventory, Accounting, basic reporting/dashboards, data migration templates, UAT, training material</w:t>
            </w:r>
          </w:p>
        </w:tc>
      </w:tr>
      <w:tr>
        <w:trPr>
          <w:cantSplit w:val="true"/>
        </w:trPr>
        <w:tc>
          <w:tcPr>
            <w:tcW w:type="dxa" w:w="1928"/>
          </w:tcPr>
          <w:p>
            <w:pPr>
              <w:spacing w:after="0"/>
            </w:pPr>
            <w:r/>
            <w:r>
              <w:rPr>
                <w:b w:val="0"/>
                <w:i w:val="0"/>
                <w:sz w:val="17"/>
              </w:rPr>
              <w:t>Out of scope</w:t>
            </w:r>
          </w:p>
        </w:tc>
        <w:tc>
          <w:tcPr>
            <w:tcW w:type="dxa" w:w="7710"/>
          </w:tcPr>
          <w:p>
            <w:pPr>
              <w:spacing w:after="0"/>
            </w:pPr>
            <w:r/>
            <w:r>
              <w:rPr>
                <w:b w:val="0"/>
                <w:i w:val="0"/>
                <w:sz w:val="17"/>
              </w:rPr>
              <w:t>Manufacturing, HR/payroll, e-commerce, point-of-sale hardware, live server installation (documented only), statutory tax filing</w:t>
            </w:r>
          </w:p>
        </w:tc>
      </w:tr>
      <w:tr>
        <w:trPr>
          <w:cantSplit w:val="true"/>
        </w:trPr>
        <w:tc>
          <w:tcPr>
            <w:tcW w:type="dxa" w:w="1928"/>
            <w:shd w:val="clear" w:color="auto" w:fill="F9FAFB"/>
          </w:tcPr>
          <w:p>
            <w:pPr>
              <w:spacing w:after="0"/>
            </w:pPr>
            <w:r/>
            <w:r>
              <w:rPr>
                <w:b w:val="0"/>
                <w:i w:val="0"/>
                <w:sz w:val="17"/>
              </w:rPr>
              <w:t>Team</w:t>
            </w:r>
          </w:p>
        </w:tc>
        <w:tc>
          <w:tcPr>
            <w:tcW w:type="dxa" w:w="7710"/>
            <w:shd w:val="clear" w:color="auto" w:fill="F9FAFB"/>
          </w:tcPr>
          <w:p>
            <w:pPr>
              <w:spacing w:after="0"/>
            </w:pPr>
            <w:r/>
            <w:r>
              <w:rPr>
                <w:b w:val="0"/>
                <w:i w:val="0"/>
                <w:sz w:val="17"/>
              </w:rPr>
              <w:t>Mohamed Mahmoud Abdel Bary (Team Leader - Apps, Settings, Permissions &amp; Design); Mohamed Essam El-Din Youssef (Sales &amp; CRM); Ahmed Mahmoud Mohamed (Inventory &amp; Data Upload); Fathy Adel Fathy (Purchase, Quality &amp; Testing); Omnia Haitham (Accounting &amp; Finance)</w:t>
            </w:r>
          </w:p>
        </w:tc>
      </w:tr>
      <w:tr>
        <w:trPr>
          <w:cantSplit w:val="true"/>
        </w:trPr>
        <w:tc>
          <w:tcPr>
            <w:tcW w:type="dxa" w:w="1928"/>
          </w:tcPr>
          <w:p>
            <w:pPr>
              <w:spacing w:after="0"/>
            </w:pPr>
            <w:r/>
            <w:r>
              <w:rPr>
                <w:b w:val="0"/>
                <w:i w:val="0"/>
                <w:sz w:val="17"/>
              </w:rPr>
              <w:t>Governance</w:t>
            </w:r>
          </w:p>
        </w:tc>
        <w:tc>
          <w:tcPr>
            <w:tcW w:type="dxa" w:w="7710"/>
          </w:tcPr>
          <w:p>
            <w:pPr>
              <w:spacing w:after="0"/>
            </w:pPr>
            <w:r/>
            <w:r>
              <w:rPr>
                <w:b w:val="0"/>
                <w:i w:val="0"/>
                <w:sz w:val="17"/>
              </w:rPr>
              <w:t>Team leader approves design and deliverables; changes recorded in the RTM; weekly review</w:t>
            </w:r>
          </w:p>
        </w:tc>
      </w:tr>
      <w:tr>
        <w:trPr>
          <w:cantSplit w:val="true"/>
        </w:trPr>
        <w:tc>
          <w:tcPr>
            <w:tcW w:type="dxa" w:w="1928"/>
            <w:shd w:val="clear" w:color="auto" w:fill="F9FAFB"/>
          </w:tcPr>
          <w:p>
            <w:pPr>
              <w:spacing w:after="0"/>
            </w:pPr>
            <w:r/>
            <w:r>
              <w:rPr>
                <w:b w:val="0"/>
                <w:i w:val="0"/>
                <w:sz w:val="17"/>
              </w:rPr>
              <w:t>Success criteria</w:t>
            </w:r>
          </w:p>
        </w:tc>
        <w:tc>
          <w:tcPr>
            <w:tcW w:type="dxa" w:w="7710"/>
            <w:shd w:val="clear" w:color="auto" w:fill="F9FAFB"/>
          </w:tcPr>
          <w:p>
            <w:pPr>
              <w:spacing w:after="0"/>
            </w:pPr>
            <w:r/>
            <w:r>
              <w:rPr>
                <w:b w:val="0"/>
                <w:i w:val="0"/>
                <w:sz w:val="17"/>
              </w:rPr>
              <w:t>All deliverables complete and consistent; every requirement traced to a test; validation report clean</w:t>
            </w:r>
          </w:p>
        </w:tc>
      </w:tr>
    </w:tbl>
    <w:p>
      <w:pPr>
        <w:spacing w:after="40"/>
      </w:pPr>
    </w:p>
    <w:p>
      <w:pPr>
        <w:pStyle w:val="Heading2"/>
      </w:pPr>
      <w:r>
        <w:t>1.2 Design principles</w:t>
      </w:r>
    </w:p>
    <w:p>
      <w:pPr>
        <w:pStyle w:val="ListNumber"/>
        <w:spacing w:after="40"/>
      </w:pPr>
      <w:r>
        <w:rPr>
          <w:b w:val="0"/>
          <w:i w:val="0"/>
        </w:rPr>
        <w:t>Standard first: use standard features and configuration before customization.</w:t>
      </w:r>
    </w:p>
    <w:p>
      <w:pPr>
        <w:pStyle w:val="ListNumber"/>
        <w:spacing w:after="40"/>
      </w:pPr>
      <w:r>
        <w:rPr>
          <w:b w:val="0"/>
          <w:i w:val="0"/>
        </w:rPr>
        <w:t>One legal company, many analytic dimensions: branches are reporting/security units, not separate books.</w:t>
      </w:r>
    </w:p>
    <w:p>
      <w:pPr>
        <w:pStyle w:val="ListNumber"/>
        <w:spacing w:after="40"/>
      </w:pPr>
      <w:r>
        <w:rPr>
          <w:b w:val="0"/>
          <w:i w:val="0"/>
        </w:rPr>
        <w:t>Traceability by default: every stock move carries lot or serial.</w:t>
      </w:r>
    </w:p>
    <w:p>
      <w:pPr>
        <w:pStyle w:val="ListNumber"/>
        <w:spacing w:after="40"/>
      </w:pPr>
      <w:r>
        <w:rPr>
          <w:b w:val="0"/>
          <w:i w:val="0"/>
        </w:rPr>
        <w:t>Quarantine is a place, not a flag: failed, returned, damaged and near-expiry stock physically moves to the QRT warehouse.</w:t>
      </w:r>
    </w:p>
    <w:p>
      <w:pPr>
        <w:pStyle w:val="ListNumber"/>
        <w:spacing w:after="40"/>
      </w:pPr>
      <w:r>
        <w:rPr>
          <w:b w:val="0"/>
          <w:i w:val="0"/>
        </w:rPr>
        <w:t>Reconcile always: valuation to ledger, subledgers to control accounts.</w:t>
      </w:r>
    </w:p>
    <w:p>
      <w:pPr>
        <w:pStyle w:val="ListNumber"/>
        <w:spacing w:after="40"/>
      </w:pPr>
      <w:r>
        <w:rPr>
          <w:b w:val="0"/>
          <w:i w:val="0"/>
        </w:rPr>
        <w:t>Be honest about limits: customizations and Enterprise features are labelled as proposed/unverified.</w:t>
      </w:r>
    </w:p>
    <w:p>
      <w:pPr>
        <w:pStyle w:val="Heading1"/>
      </w:pPr>
      <w:r>
        <w:t>2. Solution architecture and modules</w:t>
      </w:r>
    </w:p>
    <w:p>
      <w:pPr>
        <w:spacing w:after="60"/>
      </w:pPr>
      <w:r>
        <w:rPr>
          <w:b w:val="0"/>
          <w:i/>
          <w:color w:val="6B7280"/>
          <w:sz w:val="18"/>
        </w:rPr>
        <w:t>Section owner: Mohamed Mahmoud Abdel Bary</w:t>
      </w:r>
    </w:p>
    <w:p>
      <w:pPr>
        <w:jc w:val="center"/>
      </w:pPr>
      <w:r>
        <w:drawing>
          <wp:inline xmlns:a="http://schemas.openxmlformats.org/drawingml/2006/main" xmlns:pic="http://schemas.openxmlformats.org/drawingml/2006/picture">
            <wp:extent cx="6120000" cy="310707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0000" cy="3107077"/>
                    </a:xfrm>
                    <a:prstGeom prst="rect"/>
                  </pic:spPr>
                </pic:pic>
              </a:graphicData>
            </a:graphic>
          </wp:inline>
        </w:drawing>
      </w:r>
    </w:p>
    <w:p>
      <w:pPr>
        <w:jc w:val="center"/>
      </w:pPr>
      <w:r>
        <w:rPr>
          <w:i/>
          <w:color w:val="6B7280"/>
          <w:sz w:val="17"/>
        </w:rPr>
        <w:t>Figure 1 - Logical architecture</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474"/>
        <w:gridCol w:w="1701"/>
        <w:gridCol w:w="1361"/>
        <w:gridCol w:w="3402"/>
        <w:gridCol w:w="1701"/>
      </w:tblGrid>
      <w:tr>
        <w:trPr>
          <w:tblHeader w:val="true"/>
        </w:trPr>
        <w:tc>
          <w:tcPr>
            <w:tcW w:type="dxa" w:w="1474"/>
            <w:shd w:val="clear" w:color="auto" w:fill="C8102E"/>
          </w:tcPr>
          <w:p>
            <w:r/>
            <w:r>
              <w:rPr>
                <w:b/>
                <w:color w:val="FFFFFF"/>
                <w:sz w:val="16"/>
              </w:rPr>
              <w:t>Module</w:t>
            </w:r>
          </w:p>
        </w:tc>
        <w:tc>
          <w:tcPr>
            <w:tcW w:type="dxa" w:w="1701"/>
            <w:shd w:val="clear" w:color="auto" w:fill="C8102E"/>
          </w:tcPr>
          <w:p>
            <w:r/>
            <w:r>
              <w:rPr>
                <w:b/>
                <w:color w:val="FFFFFF"/>
                <w:sz w:val="16"/>
              </w:rPr>
              <w:t>Technical name</w:t>
            </w:r>
          </w:p>
        </w:tc>
        <w:tc>
          <w:tcPr>
            <w:tcW w:type="dxa" w:w="1361"/>
            <w:shd w:val="clear" w:color="auto" w:fill="C8102E"/>
          </w:tcPr>
          <w:p>
            <w:r/>
            <w:r>
              <w:rPr>
                <w:b/>
                <w:color w:val="FFFFFF"/>
                <w:sz w:val="16"/>
              </w:rPr>
              <w:t>Edition</w:t>
            </w:r>
          </w:p>
        </w:tc>
        <w:tc>
          <w:tcPr>
            <w:tcW w:type="dxa" w:w="3402"/>
            <w:shd w:val="clear" w:color="auto" w:fill="C8102E"/>
          </w:tcPr>
          <w:p>
            <w:r/>
            <w:r>
              <w:rPr>
                <w:b/>
                <w:color w:val="FFFFFF"/>
                <w:sz w:val="16"/>
              </w:rPr>
              <w:t>Use in RedLine</w:t>
            </w:r>
          </w:p>
        </w:tc>
        <w:tc>
          <w:tcPr>
            <w:tcW w:type="dxa" w:w="1701"/>
            <w:shd w:val="clear" w:color="auto" w:fill="C8102E"/>
          </w:tcPr>
          <w:p>
            <w:r/>
            <w:r>
              <w:rPr>
                <w:b/>
                <w:color w:val="FFFFFF"/>
                <w:sz w:val="16"/>
              </w:rPr>
              <w:t>Class</w:t>
            </w:r>
          </w:p>
        </w:tc>
      </w:tr>
      <w:tr>
        <w:trPr>
          <w:cantSplit w:val="true"/>
        </w:trPr>
        <w:tc>
          <w:tcPr>
            <w:tcW w:type="dxa" w:w="1474"/>
          </w:tcPr>
          <w:p>
            <w:pPr>
              <w:spacing w:after="0"/>
            </w:pPr>
            <w:r/>
            <w:r>
              <w:rPr>
                <w:b w:val="0"/>
                <w:i w:val="0"/>
                <w:sz w:val="16"/>
              </w:rPr>
              <w:t>Contacts</w:t>
            </w:r>
          </w:p>
        </w:tc>
        <w:tc>
          <w:tcPr>
            <w:tcW w:type="dxa" w:w="1701"/>
          </w:tcPr>
          <w:p>
            <w:pPr>
              <w:spacing w:after="0"/>
            </w:pPr>
            <w:r/>
            <w:r>
              <w:rPr>
                <w:b w:val="0"/>
                <w:i w:val="0"/>
                <w:sz w:val="16"/>
              </w:rPr>
              <w:t>contacts / base</w:t>
            </w:r>
          </w:p>
        </w:tc>
        <w:tc>
          <w:tcPr>
            <w:tcW w:type="dxa" w:w="1361"/>
          </w:tcPr>
          <w:p>
            <w:pPr>
              <w:spacing w:after="0"/>
            </w:pPr>
            <w:r/>
            <w:r>
              <w:rPr>
                <w:b w:val="0"/>
                <w:i w:val="0"/>
                <w:sz w:val="16"/>
              </w:rPr>
              <w:t>Community+</w:t>
            </w:r>
          </w:p>
        </w:tc>
        <w:tc>
          <w:tcPr>
            <w:tcW w:type="dxa" w:w="3402"/>
          </w:tcPr>
          <w:p>
            <w:pPr>
              <w:spacing w:after="0"/>
            </w:pPr>
            <w:r/>
            <w:r>
              <w:rPr>
                <w:b w:val="0"/>
                <w:i w:val="0"/>
                <w:sz w:val="16"/>
              </w:rPr>
              <w:t>Customers, vendors, bilingual names, terms, credit limit</w:t>
            </w:r>
          </w:p>
        </w:tc>
        <w:tc>
          <w:tcPr>
            <w:tcW w:type="dxa" w:w="1701"/>
          </w:tcPr>
          <w:p>
            <w:pPr>
              <w:spacing w:after="0"/>
            </w:pPr>
            <w:r/>
            <w:r>
              <w:rPr>
                <w:b w:val="0"/>
                <w:i w:val="0"/>
                <w:sz w:val="16"/>
              </w:rPr>
              <w:t>Standard</w:t>
            </w:r>
          </w:p>
        </w:tc>
      </w:tr>
      <w:tr>
        <w:trPr>
          <w:cantSplit w:val="true"/>
        </w:trPr>
        <w:tc>
          <w:tcPr>
            <w:tcW w:type="dxa" w:w="1474"/>
            <w:shd w:val="clear" w:color="auto" w:fill="F9FAFB"/>
          </w:tcPr>
          <w:p>
            <w:pPr>
              <w:spacing w:after="0"/>
            </w:pPr>
            <w:r/>
            <w:r>
              <w:rPr>
                <w:b w:val="0"/>
                <w:i w:val="0"/>
                <w:sz w:val="16"/>
              </w:rPr>
              <w:t>Sales</w:t>
            </w:r>
          </w:p>
        </w:tc>
        <w:tc>
          <w:tcPr>
            <w:tcW w:type="dxa" w:w="1701"/>
            <w:shd w:val="clear" w:color="auto" w:fill="F9FAFB"/>
          </w:tcPr>
          <w:p>
            <w:pPr>
              <w:spacing w:after="0"/>
            </w:pPr>
            <w:r/>
            <w:r>
              <w:rPr>
                <w:b w:val="0"/>
                <w:i w:val="0"/>
                <w:sz w:val="16"/>
              </w:rPr>
              <w:t>sale_management</w:t>
            </w:r>
          </w:p>
        </w:tc>
        <w:tc>
          <w:tcPr>
            <w:tcW w:type="dxa" w:w="1361"/>
            <w:shd w:val="clear" w:color="auto" w:fill="F9FAFB"/>
          </w:tcPr>
          <w:p>
            <w:pPr>
              <w:spacing w:after="0"/>
            </w:pPr>
            <w:r/>
            <w:r>
              <w:rPr>
                <w:b w:val="0"/>
                <w:i w:val="0"/>
                <w:sz w:val="16"/>
              </w:rPr>
              <w:t>Community+</w:t>
            </w:r>
          </w:p>
        </w:tc>
        <w:tc>
          <w:tcPr>
            <w:tcW w:type="dxa" w:w="3402"/>
            <w:shd w:val="clear" w:color="auto" w:fill="F9FAFB"/>
          </w:tcPr>
          <w:p>
            <w:pPr>
              <w:spacing w:after="0"/>
            </w:pPr>
            <w:r/>
            <w:r>
              <w:rPr>
                <w:b w:val="0"/>
                <w:i w:val="0"/>
                <w:sz w:val="16"/>
              </w:rPr>
              <w:t>Quotations, pricelists, orders, delivery link</w:t>
            </w:r>
          </w:p>
        </w:tc>
        <w:tc>
          <w:tcPr>
            <w:tcW w:type="dxa" w:w="1701"/>
            <w:shd w:val="clear" w:color="auto" w:fill="F9FAFB"/>
          </w:tcPr>
          <w:p>
            <w:pPr>
              <w:spacing w:after="0"/>
            </w:pPr>
            <w:r/>
            <w:r>
              <w:rPr>
                <w:b w:val="0"/>
                <w:i w:val="0"/>
                <w:sz w:val="16"/>
              </w:rPr>
              <w:t>Standard</w:t>
            </w:r>
          </w:p>
        </w:tc>
      </w:tr>
      <w:tr>
        <w:trPr>
          <w:cantSplit w:val="true"/>
        </w:trPr>
        <w:tc>
          <w:tcPr>
            <w:tcW w:type="dxa" w:w="1474"/>
          </w:tcPr>
          <w:p>
            <w:pPr>
              <w:spacing w:after="0"/>
            </w:pPr>
            <w:r/>
            <w:r>
              <w:rPr>
                <w:b w:val="0"/>
                <w:i w:val="0"/>
                <w:sz w:val="16"/>
              </w:rPr>
              <w:t>CRM</w:t>
            </w:r>
          </w:p>
        </w:tc>
        <w:tc>
          <w:tcPr>
            <w:tcW w:type="dxa" w:w="1701"/>
          </w:tcPr>
          <w:p>
            <w:pPr>
              <w:spacing w:after="0"/>
            </w:pPr>
            <w:r/>
            <w:r>
              <w:rPr>
                <w:b w:val="0"/>
                <w:i w:val="0"/>
                <w:sz w:val="16"/>
              </w:rPr>
              <w:t>crm</w:t>
            </w:r>
          </w:p>
        </w:tc>
        <w:tc>
          <w:tcPr>
            <w:tcW w:type="dxa" w:w="1361"/>
          </w:tcPr>
          <w:p>
            <w:pPr>
              <w:spacing w:after="0"/>
            </w:pPr>
            <w:r/>
            <w:r>
              <w:rPr>
                <w:b w:val="0"/>
                <w:i w:val="0"/>
                <w:sz w:val="16"/>
              </w:rPr>
              <w:t>Community+</w:t>
            </w:r>
          </w:p>
        </w:tc>
        <w:tc>
          <w:tcPr>
            <w:tcW w:type="dxa" w:w="3402"/>
          </w:tcPr>
          <w:p>
            <w:pPr>
              <w:spacing w:after="0"/>
            </w:pPr>
            <w:r/>
            <w:r>
              <w:rPr>
                <w:b w:val="0"/>
                <w:i w:val="0"/>
                <w:sz w:val="16"/>
              </w:rPr>
              <w:t>Leads, opportunity pipeline, sales teams per branch, activities, forecast</w:t>
            </w:r>
          </w:p>
        </w:tc>
        <w:tc>
          <w:tcPr>
            <w:tcW w:type="dxa" w:w="1701"/>
          </w:tcPr>
          <w:p>
            <w:pPr>
              <w:spacing w:after="0"/>
            </w:pPr>
            <w:r/>
            <w:r>
              <w:rPr>
                <w:b w:val="0"/>
                <w:i w:val="0"/>
                <w:sz w:val="16"/>
              </w:rPr>
              <w:t>Standard (config)</w:t>
            </w:r>
          </w:p>
        </w:tc>
      </w:tr>
      <w:tr>
        <w:trPr>
          <w:cantSplit w:val="true"/>
        </w:trPr>
        <w:tc>
          <w:tcPr>
            <w:tcW w:type="dxa" w:w="1474"/>
            <w:shd w:val="clear" w:color="auto" w:fill="F9FAFB"/>
          </w:tcPr>
          <w:p>
            <w:pPr>
              <w:spacing w:after="0"/>
            </w:pPr>
            <w:r/>
            <w:r>
              <w:rPr>
                <w:b w:val="0"/>
                <w:i w:val="0"/>
                <w:sz w:val="16"/>
              </w:rPr>
              <w:t>Purchase</w:t>
            </w:r>
          </w:p>
        </w:tc>
        <w:tc>
          <w:tcPr>
            <w:tcW w:type="dxa" w:w="1701"/>
            <w:shd w:val="clear" w:color="auto" w:fill="F9FAFB"/>
          </w:tcPr>
          <w:p>
            <w:pPr>
              <w:spacing w:after="0"/>
            </w:pPr>
            <w:r/>
            <w:r>
              <w:rPr>
                <w:b w:val="0"/>
                <w:i w:val="0"/>
                <w:sz w:val="16"/>
              </w:rPr>
              <w:t>purchase</w:t>
            </w:r>
          </w:p>
        </w:tc>
        <w:tc>
          <w:tcPr>
            <w:tcW w:type="dxa" w:w="1361"/>
            <w:shd w:val="clear" w:color="auto" w:fill="F9FAFB"/>
          </w:tcPr>
          <w:p>
            <w:pPr>
              <w:spacing w:after="0"/>
            </w:pPr>
            <w:r/>
            <w:r>
              <w:rPr>
                <w:b w:val="0"/>
                <w:i w:val="0"/>
                <w:sz w:val="16"/>
              </w:rPr>
              <w:t>Community+</w:t>
            </w:r>
          </w:p>
        </w:tc>
        <w:tc>
          <w:tcPr>
            <w:tcW w:type="dxa" w:w="3402"/>
            <w:shd w:val="clear" w:color="auto" w:fill="F9FAFB"/>
          </w:tcPr>
          <w:p>
            <w:pPr>
              <w:spacing w:after="0"/>
            </w:pPr>
            <w:r/>
            <w:r>
              <w:rPr>
                <w:b w:val="0"/>
                <w:i w:val="0"/>
                <w:sz w:val="16"/>
              </w:rPr>
              <w:t>RFQ, PO approval, three-way match, replenishment</w:t>
            </w:r>
          </w:p>
        </w:tc>
        <w:tc>
          <w:tcPr>
            <w:tcW w:type="dxa" w:w="1701"/>
            <w:shd w:val="clear" w:color="auto" w:fill="F9FAFB"/>
          </w:tcPr>
          <w:p>
            <w:pPr>
              <w:spacing w:after="0"/>
            </w:pPr>
            <w:r/>
            <w:r>
              <w:rPr>
                <w:b w:val="0"/>
                <w:i w:val="0"/>
                <w:sz w:val="16"/>
              </w:rPr>
              <w:t>Standard</w:t>
            </w:r>
          </w:p>
        </w:tc>
      </w:tr>
      <w:tr>
        <w:trPr>
          <w:cantSplit w:val="true"/>
        </w:trPr>
        <w:tc>
          <w:tcPr>
            <w:tcW w:type="dxa" w:w="1474"/>
          </w:tcPr>
          <w:p>
            <w:pPr>
              <w:spacing w:after="0"/>
            </w:pPr>
            <w:r/>
            <w:r>
              <w:rPr>
                <w:b w:val="0"/>
                <w:i w:val="0"/>
                <w:sz w:val="16"/>
              </w:rPr>
              <w:t>Inventory</w:t>
            </w:r>
          </w:p>
        </w:tc>
        <w:tc>
          <w:tcPr>
            <w:tcW w:type="dxa" w:w="1701"/>
          </w:tcPr>
          <w:p>
            <w:pPr>
              <w:spacing w:after="0"/>
            </w:pPr>
            <w:r/>
            <w:r>
              <w:rPr>
                <w:b w:val="0"/>
                <w:i w:val="0"/>
                <w:sz w:val="16"/>
              </w:rPr>
              <w:t>stock</w:t>
            </w:r>
          </w:p>
        </w:tc>
        <w:tc>
          <w:tcPr>
            <w:tcW w:type="dxa" w:w="1361"/>
          </w:tcPr>
          <w:p>
            <w:pPr>
              <w:spacing w:after="0"/>
            </w:pPr>
            <w:r/>
            <w:r>
              <w:rPr>
                <w:b w:val="0"/>
                <w:i w:val="0"/>
                <w:sz w:val="16"/>
              </w:rPr>
              <w:t>Community+</w:t>
            </w:r>
          </w:p>
        </w:tc>
        <w:tc>
          <w:tcPr>
            <w:tcW w:type="dxa" w:w="3402"/>
          </w:tcPr>
          <w:p>
            <w:pPr>
              <w:spacing w:after="0"/>
            </w:pPr>
            <w:r/>
            <w:r>
              <w:rPr>
                <w:b w:val="0"/>
                <w:i w:val="0"/>
                <w:sz w:val="16"/>
              </w:rPr>
              <w:t>Warehouses, routes, lots/serials, expiry, FEFO, quarantine, adjustments</w:t>
            </w:r>
          </w:p>
        </w:tc>
        <w:tc>
          <w:tcPr>
            <w:tcW w:type="dxa" w:w="1701"/>
          </w:tcPr>
          <w:p>
            <w:pPr>
              <w:spacing w:after="0"/>
            </w:pPr>
            <w:r/>
            <w:r>
              <w:rPr>
                <w:b w:val="0"/>
                <w:i w:val="0"/>
                <w:sz w:val="16"/>
              </w:rPr>
              <w:t>Standard (config)</w:t>
            </w:r>
          </w:p>
        </w:tc>
      </w:tr>
      <w:tr>
        <w:trPr>
          <w:cantSplit w:val="true"/>
        </w:trPr>
        <w:tc>
          <w:tcPr>
            <w:tcW w:type="dxa" w:w="1474"/>
            <w:shd w:val="clear" w:color="auto" w:fill="F9FAFB"/>
          </w:tcPr>
          <w:p>
            <w:pPr>
              <w:spacing w:after="0"/>
            </w:pPr>
            <w:r/>
            <w:r>
              <w:rPr>
                <w:b w:val="0"/>
                <w:i w:val="0"/>
                <w:sz w:val="16"/>
              </w:rPr>
              <w:t>Product Expiry</w:t>
            </w:r>
          </w:p>
        </w:tc>
        <w:tc>
          <w:tcPr>
            <w:tcW w:type="dxa" w:w="1701"/>
            <w:shd w:val="clear" w:color="auto" w:fill="F9FAFB"/>
          </w:tcPr>
          <w:p>
            <w:pPr>
              <w:spacing w:after="0"/>
            </w:pPr>
            <w:r/>
            <w:r>
              <w:rPr>
                <w:b w:val="0"/>
                <w:i w:val="0"/>
                <w:sz w:val="16"/>
              </w:rPr>
              <w:t>product_expiry</w:t>
            </w:r>
          </w:p>
        </w:tc>
        <w:tc>
          <w:tcPr>
            <w:tcW w:type="dxa" w:w="1361"/>
            <w:shd w:val="clear" w:color="auto" w:fill="F9FAFB"/>
          </w:tcPr>
          <w:p>
            <w:pPr>
              <w:spacing w:after="0"/>
            </w:pPr>
            <w:r/>
            <w:r>
              <w:rPr>
                <w:b w:val="0"/>
                <w:i w:val="0"/>
                <w:sz w:val="16"/>
              </w:rPr>
              <w:t>Community+</w:t>
            </w:r>
          </w:p>
        </w:tc>
        <w:tc>
          <w:tcPr>
            <w:tcW w:type="dxa" w:w="3402"/>
            <w:shd w:val="clear" w:color="auto" w:fill="F9FAFB"/>
          </w:tcPr>
          <w:p>
            <w:pPr>
              <w:spacing w:after="0"/>
            </w:pPr>
            <w:r/>
            <w:r>
              <w:rPr>
                <w:b w:val="0"/>
                <w:i w:val="0"/>
                <w:sz w:val="16"/>
              </w:rPr>
              <w:t>Expiration dates, alerts, FEFO</w:t>
            </w:r>
          </w:p>
        </w:tc>
        <w:tc>
          <w:tcPr>
            <w:tcW w:type="dxa" w:w="1701"/>
            <w:shd w:val="clear" w:color="auto" w:fill="F9FAFB"/>
          </w:tcPr>
          <w:p>
            <w:pPr>
              <w:spacing w:after="0"/>
            </w:pPr>
            <w:r/>
            <w:r>
              <w:rPr>
                <w:b w:val="0"/>
                <w:i w:val="0"/>
                <w:sz w:val="16"/>
              </w:rPr>
              <w:t>Standard (config)</w:t>
            </w:r>
          </w:p>
        </w:tc>
      </w:tr>
      <w:tr>
        <w:trPr>
          <w:cantSplit w:val="true"/>
        </w:trPr>
        <w:tc>
          <w:tcPr>
            <w:tcW w:type="dxa" w:w="1474"/>
          </w:tcPr>
          <w:p>
            <w:pPr>
              <w:spacing w:after="0"/>
            </w:pPr>
            <w:r/>
            <w:r>
              <w:rPr>
                <w:b w:val="0"/>
                <w:i w:val="0"/>
                <w:sz w:val="16"/>
              </w:rPr>
              <w:t>Accounting</w:t>
            </w:r>
          </w:p>
        </w:tc>
        <w:tc>
          <w:tcPr>
            <w:tcW w:type="dxa" w:w="1701"/>
          </w:tcPr>
          <w:p>
            <w:pPr>
              <w:spacing w:after="0"/>
            </w:pPr>
            <w:r/>
            <w:r>
              <w:rPr>
                <w:b w:val="0"/>
                <w:i w:val="0"/>
                <w:sz w:val="16"/>
              </w:rPr>
              <w:t>account</w:t>
            </w:r>
          </w:p>
        </w:tc>
        <w:tc>
          <w:tcPr>
            <w:tcW w:type="dxa" w:w="1361"/>
          </w:tcPr>
          <w:p>
            <w:pPr>
              <w:spacing w:after="0"/>
            </w:pPr>
            <w:r/>
            <w:r>
              <w:rPr>
                <w:b w:val="0"/>
                <w:i w:val="0"/>
                <w:sz w:val="16"/>
              </w:rPr>
              <w:t>Enterprise (full UI)</w:t>
            </w:r>
          </w:p>
        </w:tc>
        <w:tc>
          <w:tcPr>
            <w:tcW w:type="dxa" w:w="3402"/>
          </w:tcPr>
          <w:p>
            <w:pPr>
              <w:spacing w:after="0"/>
            </w:pPr>
            <w:r/>
            <w:r>
              <w:rPr>
                <w:b w:val="0"/>
                <w:i w:val="0"/>
                <w:sz w:val="16"/>
              </w:rPr>
              <w:t>Invoices, bills, payments, valuation, VAT, reports</w:t>
            </w:r>
          </w:p>
        </w:tc>
        <w:tc>
          <w:tcPr>
            <w:tcW w:type="dxa" w:w="1701"/>
          </w:tcPr>
          <w:p>
            <w:pPr>
              <w:spacing w:after="0"/>
            </w:pPr>
            <w:r/>
            <w:r>
              <w:rPr>
                <w:b w:val="0"/>
                <w:i w:val="0"/>
                <w:sz w:val="16"/>
              </w:rPr>
              <w:t>Standard / Enterprise</w:t>
            </w:r>
          </w:p>
        </w:tc>
      </w:tr>
      <w:tr>
        <w:trPr>
          <w:cantSplit w:val="true"/>
        </w:trPr>
        <w:tc>
          <w:tcPr>
            <w:tcW w:type="dxa" w:w="1474"/>
            <w:shd w:val="clear" w:color="auto" w:fill="F9FAFB"/>
          </w:tcPr>
          <w:p>
            <w:pPr>
              <w:spacing w:after="0"/>
            </w:pPr>
            <w:r/>
            <w:r>
              <w:rPr>
                <w:b w:val="0"/>
                <w:i w:val="0"/>
                <w:sz w:val="16"/>
              </w:rPr>
              <w:t>Stock Accounting</w:t>
            </w:r>
          </w:p>
        </w:tc>
        <w:tc>
          <w:tcPr>
            <w:tcW w:type="dxa" w:w="1701"/>
            <w:shd w:val="clear" w:color="auto" w:fill="F9FAFB"/>
          </w:tcPr>
          <w:p>
            <w:pPr>
              <w:spacing w:after="0"/>
            </w:pPr>
            <w:r/>
            <w:r>
              <w:rPr>
                <w:b w:val="0"/>
                <w:i w:val="0"/>
                <w:sz w:val="16"/>
              </w:rPr>
              <w:t>stock_account</w:t>
            </w:r>
          </w:p>
        </w:tc>
        <w:tc>
          <w:tcPr>
            <w:tcW w:type="dxa" w:w="1361"/>
            <w:shd w:val="clear" w:color="auto" w:fill="F9FAFB"/>
          </w:tcPr>
          <w:p>
            <w:pPr>
              <w:spacing w:after="0"/>
            </w:pPr>
            <w:r/>
            <w:r>
              <w:rPr>
                <w:b w:val="0"/>
                <w:i w:val="0"/>
                <w:sz w:val="16"/>
              </w:rPr>
              <w:t>Community+</w:t>
            </w:r>
          </w:p>
        </w:tc>
        <w:tc>
          <w:tcPr>
            <w:tcW w:type="dxa" w:w="3402"/>
            <w:shd w:val="clear" w:color="auto" w:fill="F9FAFB"/>
          </w:tcPr>
          <w:p>
            <w:pPr>
              <w:spacing w:after="0"/>
            </w:pPr>
            <w:r/>
            <w:r>
              <w:rPr>
                <w:b w:val="0"/>
                <w:i w:val="0"/>
                <w:sz w:val="16"/>
              </w:rPr>
              <w:t>Automated valuation, Anglo-Saxon</w:t>
            </w:r>
          </w:p>
        </w:tc>
        <w:tc>
          <w:tcPr>
            <w:tcW w:type="dxa" w:w="1701"/>
            <w:shd w:val="clear" w:color="auto" w:fill="F9FAFB"/>
          </w:tcPr>
          <w:p>
            <w:pPr>
              <w:spacing w:after="0"/>
            </w:pPr>
            <w:r/>
            <w:r>
              <w:rPr>
                <w:b w:val="0"/>
                <w:i w:val="0"/>
                <w:sz w:val="16"/>
              </w:rPr>
              <w:t>Standard</w:t>
            </w:r>
          </w:p>
        </w:tc>
      </w:tr>
      <w:tr>
        <w:trPr>
          <w:cantSplit w:val="true"/>
        </w:trPr>
        <w:tc>
          <w:tcPr>
            <w:tcW w:type="dxa" w:w="1474"/>
          </w:tcPr>
          <w:p>
            <w:pPr>
              <w:spacing w:after="0"/>
            </w:pPr>
            <w:r/>
            <w:r>
              <w:rPr>
                <w:b w:val="0"/>
                <w:i w:val="0"/>
                <w:sz w:val="16"/>
              </w:rPr>
              <w:t>Quality</w:t>
            </w:r>
          </w:p>
        </w:tc>
        <w:tc>
          <w:tcPr>
            <w:tcW w:type="dxa" w:w="1701"/>
          </w:tcPr>
          <w:p>
            <w:pPr>
              <w:spacing w:after="0"/>
            </w:pPr>
            <w:r/>
            <w:r>
              <w:rPr>
                <w:b w:val="0"/>
                <w:i w:val="0"/>
                <w:sz w:val="16"/>
              </w:rPr>
              <w:t>quality_control</w:t>
            </w:r>
          </w:p>
        </w:tc>
        <w:tc>
          <w:tcPr>
            <w:tcW w:type="dxa" w:w="1361"/>
          </w:tcPr>
          <w:p>
            <w:pPr>
              <w:spacing w:after="0"/>
            </w:pPr>
            <w:r/>
            <w:r>
              <w:rPr>
                <w:b w:val="0"/>
                <w:i w:val="0"/>
                <w:sz w:val="16"/>
              </w:rPr>
              <w:t>Enterprise</w:t>
            </w:r>
          </w:p>
        </w:tc>
        <w:tc>
          <w:tcPr>
            <w:tcW w:type="dxa" w:w="3402"/>
          </w:tcPr>
          <w:p>
            <w:pPr>
              <w:spacing w:after="0"/>
            </w:pPr>
            <w:r/>
            <w:r>
              <w:rPr>
                <w:b w:val="0"/>
                <w:i w:val="0"/>
                <w:sz w:val="16"/>
              </w:rPr>
              <w:t>Receipt inspection and failure routing</w:t>
            </w:r>
          </w:p>
        </w:tc>
        <w:tc>
          <w:tcPr>
            <w:tcW w:type="dxa" w:w="1701"/>
          </w:tcPr>
          <w:p>
            <w:pPr>
              <w:spacing w:after="0"/>
            </w:pPr>
            <w:r/>
            <w:r>
              <w:rPr>
                <w:b w:val="0"/>
                <w:i w:val="0"/>
                <w:sz w:val="16"/>
              </w:rPr>
              <w:t>Enterprise</w:t>
            </w:r>
          </w:p>
        </w:tc>
      </w:tr>
      <w:tr>
        <w:trPr>
          <w:cantSplit w:val="true"/>
        </w:trPr>
        <w:tc>
          <w:tcPr>
            <w:tcW w:type="dxa" w:w="1474"/>
            <w:shd w:val="clear" w:color="auto" w:fill="F9FAFB"/>
          </w:tcPr>
          <w:p>
            <w:pPr>
              <w:spacing w:after="0"/>
            </w:pPr>
            <w:r/>
            <w:r>
              <w:rPr>
                <w:b w:val="0"/>
                <w:i w:val="0"/>
                <w:sz w:val="16"/>
              </w:rPr>
              <w:t>Barcode</w:t>
            </w:r>
          </w:p>
        </w:tc>
        <w:tc>
          <w:tcPr>
            <w:tcW w:type="dxa" w:w="1701"/>
            <w:shd w:val="clear" w:color="auto" w:fill="F9FAFB"/>
          </w:tcPr>
          <w:p>
            <w:pPr>
              <w:spacing w:after="0"/>
            </w:pPr>
            <w:r/>
            <w:r>
              <w:rPr>
                <w:b w:val="0"/>
                <w:i w:val="0"/>
                <w:sz w:val="16"/>
              </w:rPr>
              <w:t>stock_barcode</w:t>
            </w:r>
          </w:p>
        </w:tc>
        <w:tc>
          <w:tcPr>
            <w:tcW w:type="dxa" w:w="1361"/>
            <w:shd w:val="clear" w:color="auto" w:fill="F9FAFB"/>
          </w:tcPr>
          <w:p>
            <w:pPr>
              <w:spacing w:after="0"/>
            </w:pPr>
            <w:r/>
            <w:r>
              <w:rPr>
                <w:b w:val="0"/>
                <w:i w:val="0"/>
                <w:sz w:val="16"/>
              </w:rPr>
              <w:t>Enterprise</w:t>
            </w:r>
          </w:p>
        </w:tc>
        <w:tc>
          <w:tcPr>
            <w:tcW w:type="dxa" w:w="3402"/>
            <w:shd w:val="clear" w:color="auto" w:fill="F9FAFB"/>
          </w:tcPr>
          <w:p>
            <w:pPr>
              <w:spacing w:after="0"/>
            </w:pPr>
            <w:r/>
            <w:r>
              <w:rPr>
                <w:b w:val="0"/>
                <w:i w:val="0"/>
                <w:sz w:val="16"/>
              </w:rPr>
              <w:t>Scanning on receipts, picks, counts</w:t>
            </w:r>
          </w:p>
        </w:tc>
        <w:tc>
          <w:tcPr>
            <w:tcW w:type="dxa" w:w="1701"/>
            <w:shd w:val="clear" w:color="auto" w:fill="F9FAFB"/>
          </w:tcPr>
          <w:p>
            <w:pPr>
              <w:spacing w:after="0"/>
            </w:pPr>
            <w:r/>
            <w:r>
              <w:rPr>
                <w:b w:val="0"/>
                <w:i w:val="0"/>
                <w:sz w:val="16"/>
              </w:rPr>
              <w:t>Optional</w:t>
            </w:r>
          </w:p>
        </w:tc>
      </w:tr>
      <w:tr>
        <w:trPr>
          <w:cantSplit w:val="true"/>
        </w:trPr>
        <w:tc>
          <w:tcPr>
            <w:tcW w:type="dxa" w:w="1474"/>
          </w:tcPr>
          <w:p>
            <w:pPr>
              <w:spacing w:after="0"/>
            </w:pPr>
            <w:r/>
            <w:r>
              <w:rPr>
                <w:b w:val="0"/>
                <w:i w:val="0"/>
                <w:sz w:val="16"/>
              </w:rPr>
              <w:t>Studio</w:t>
            </w:r>
          </w:p>
        </w:tc>
        <w:tc>
          <w:tcPr>
            <w:tcW w:type="dxa" w:w="1701"/>
          </w:tcPr>
          <w:p>
            <w:pPr>
              <w:spacing w:after="0"/>
            </w:pPr>
            <w:r/>
            <w:r>
              <w:rPr>
                <w:b w:val="0"/>
                <w:i w:val="0"/>
                <w:sz w:val="16"/>
              </w:rPr>
              <w:t>web_studio</w:t>
            </w:r>
          </w:p>
        </w:tc>
        <w:tc>
          <w:tcPr>
            <w:tcW w:type="dxa" w:w="1361"/>
          </w:tcPr>
          <w:p>
            <w:pPr>
              <w:spacing w:after="0"/>
            </w:pPr>
            <w:r/>
            <w:r>
              <w:rPr>
                <w:b w:val="0"/>
                <w:i w:val="0"/>
                <w:sz w:val="16"/>
              </w:rPr>
              <w:t>Enterprise</w:t>
            </w:r>
          </w:p>
        </w:tc>
        <w:tc>
          <w:tcPr>
            <w:tcW w:type="dxa" w:w="3402"/>
          </w:tcPr>
          <w:p>
            <w:pPr>
              <w:spacing w:after="0"/>
            </w:pPr>
            <w:r/>
            <w:r>
              <w:rPr>
                <w:b w:val="0"/>
                <w:i w:val="0"/>
                <w:sz w:val="16"/>
              </w:rPr>
              <w:t>Custom fields/approvals (warranty, credit, approval chain)</w:t>
            </w:r>
          </w:p>
        </w:tc>
        <w:tc>
          <w:tcPr>
            <w:tcW w:type="dxa" w:w="1701"/>
          </w:tcPr>
          <w:p>
            <w:pPr>
              <w:spacing w:after="0"/>
            </w:pPr>
            <w:r/>
            <w:r>
              <w:rPr>
                <w:b w:val="0"/>
                <w:i w:val="0"/>
                <w:sz w:val="16"/>
              </w:rPr>
              <w:t>Optional / customization</w:t>
            </w:r>
          </w:p>
        </w:tc>
      </w:tr>
      <w:tr>
        <w:trPr>
          <w:cantSplit w:val="true"/>
        </w:trPr>
        <w:tc>
          <w:tcPr>
            <w:tcW w:type="dxa" w:w="1474"/>
            <w:shd w:val="clear" w:color="auto" w:fill="F9FAFB"/>
          </w:tcPr>
          <w:p>
            <w:pPr>
              <w:spacing w:after="0"/>
            </w:pPr>
            <w:r/>
            <w:r>
              <w:rPr>
                <w:b w:val="0"/>
                <w:i w:val="0"/>
                <w:sz w:val="16"/>
              </w:rPr>
              <w:t>Dashboards/Spreadsheet</w:t>
            </w:r>
          </w:p>
        </w:tc>
        <w:tc>
          <w:tcPr>
            <w:tcW w:type="dxa" w:w="1701"/>
            <w:shd w:val="clear" w:color="auto" w:fill="F9FAFB"/>
          </w:tcPr>
          <w:p>
            <w:pPr>
              <w:spacing w:after="0"/>
            </w:pPr>
            <w:r/>
            <w:r>
              <w:rPr>
                <w:b w:val="0"/>
                <w:i w:val="0"/>
                <w:sz w:val="16"/>
              </w:rPr>
              <w:t>spreadsheet_dashboard</w:t>
            </w:r>
          </w:p>
        </w:tc>
        <w:tc>
          <w:tcPr>
            <w:tcW w:type="dxa" w:w="1361"/>
            <w:shd w:val="clear" w:color="auto" w:fill="F9FAFB"/>
          </w:tcPr>
          <w:p>
            <w:pPr>
              <w:spacing w:after="0"/>
            </w:pPr>
            <w:r/>
            <w:r>
              <w:rPr>
                <w:b w:val="0"/>
                <w:i w:val="0"/>
                <w:sz w:val="16"/>
              </w:rPr>
              <w:t>Enterprise</w:t>
            </w:r>
          </w:p>
        </w:tc>
        <w:tc>
          <w:tcPr>
            <w:tcW w:type="dxa" w:w="3402"/>
            <w:shd w:val="clear" w:color="auto" w:fill="F9FAFB"/>
          </w:tcPr>
          <w:p>
            <w:pPr>
              <w:spacing w:after="0"/>
            </w:pPr>
            <w:r/>
            <w:r>
              <w:rPr>
                <w:b w:val="0"/>
                <w:i w:val="0"/>
                <w:sz w:val="16"/>
              </w:rPr>
              <w:t>KPI dashboard</w:t>
            </w:r>
          </w:p>
        </w:tc>
        <w:tc>
          <w:tcPr>
            <w:tcW w:type="dxa" w:w="1701"/>
            <w:shd w:val="clear" w:color="auto" w:fill="F9FAFB"/>
          </w:tcPr>
          <w:p>
            <w:pPr>
              <w:spacing w:after="0"/>
            </w:pPr>
            <w:r/>
            <w:r>
              <w:rPr>
                <w:b w:val="0"/>
                <w:i w:val="0"/>
                <w:sz w:val="16"/>
              </w:rPr>
              <w:t>Optional</w:t>
            </w:r>
          </w:p>
        </w:tc>
      </w:tr>
    </w:tbl>
    <w:p>
      <w:pPr>
        <w:spacing w:after="40"/>
      </w:pPr>
    </w:p>
    <w:p>
      <w:r>
        <w:rPr>
          <w:b w:val="0"/>
          <w:i/>
          <w:sz w:val="18"/>
        </w:rPr>
        <w:t>Edition and technical names are indicative and must be verified on the installed build.</w:t>
      </w:r>
    </w:p>
    <w:p>
      <w:pPr>
        <w:pStyle w:val="Heading2"/>
      </w:pPr>
      <w:r>
        <w:t>2.1 CRM pipeline design</w:t>
      </w:r>
    </w:p>
    <w:p>
      <w:pPr>
        <w:spacing w:after="60"/>
      </w:pPr>
      <w:r>
        <w:rPr>
          <w:b w:val="0"/>
          <w:i/>
          <w:color w:val="6B7280"/>
          <w:sz w:val="18"/>
        </w:rPr>
        <w:t>Section owner: Mohamed Essam El-Din Youssef</w:t>
      </w:r>
    </w:p>
    <w:p>
      <w:r>
        <w:rPr>
          <w:b w:val="0"/>
          <w:i w:val="0"/>
        </w:rPr>
        <w:t>The CRM app manages the path from lead to won order. Stages: New (10%), Qualified (25%), Quotation Sent (50%), Negotiation (75%), Won (100%), Lost (0%, lost reason mandatory). One sales team per branch (Nasr City, Maadi, Mohandeseen); quotations are created from the opportunity so that sales order, delivery and invoice stay linked. Retail counter sales do not use the pipeline. Tender tracking (reference, deadline, bid bond) uses tags and activities as standard and custom fields as a proposed customization.</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928"/>
        <w:gridCol w:w="6009"/>
        <w:gridCol w:w="1701"/>
      </w:tblGrid>
      <w:tr>
        <w:trPr>
          <w:tblHeader w:val="true"/>
        </w:trPr>
        <w:tc>
          <w:tcPr>
            <w:tcW w:type="dxa" w:w="1928"/>
            <w:shd w:val="clear" w:color="auto" w:fill="C8102E"/>
          </w:tcPr>
          <w:p>
            <w:r/>
            <w:r>
              <w:rPr>
                <w:b/>
                <w:color w:val="FFFFFF"/>
                <w:sz w:val="17"/>
              </w:rPr>
              <w:t>Element</w:t>
            </w:r>
          </w:p>
        </w:tc>
        <w:tc>
          <w:tcPr>
            <w:tcW w:type="dxa" w:w="6009"/>
            <w:shd w:val="clear" w:color="auto" w:fill="C8102E"/>
          </w:tcPr>
          <w:p>
            <w:r/>
            <w:r>
              <w:rPr>
                <w:b/>
                <w:color w:val="FFFFFF"/>
                <w:sz w:val="17"/>
              </w:rPr>
              <w:t>Design</w:t>
            </w:r>
          </w:p>
        </w:tc>
        <w:tc>
          <w:tcPr>
            <w:tcW w:type="dxa" w:w="1701"/>
            <w:shd w:val="clear" w:color="auto" w:fill="C8102E"/>
          </w:tcPr>
          <w:p>
            <w:r/>
            <w:r>
              <w:rPr>
                <w:b/>
                <w:color w:val="FFFFFF"/>
                <w:sz w:val="17"/>
              </w:rPr>
              <w:t>Requirement</w:t>
            </w:r>
          </w:p>
        </w:tc>
      </w:tr>
      <w:tr>
        <w:trPr>
          <w:cantSplit w:val="true"/>
        </w:trPr>
        <w:tc>
          <w:tcPr>
            <w:tcW w:type="dxa" w:w="1928"/>
          </w:tcPr>
          <w:p>
            <w:pPr>
              <w:spacing w:after="0"/>
            </w:pPr>
            <w:r/>
            <w:r>
              <w:rPr>
                <w:b w:val="0"/>
                <w:i w:val="0"/>
                <w:sz w:val="17"/>
              </w:rPr>
              <w:t>Lead sources</w:t>
            </w:r>
          </w:p>
        </w:tc>
        <w:tc>
          <w:tcPr>
            <w:tcW w:type="dxa" w:w="6009"/>
          </w:tcPr>
          <w:p>
            <w:pPr>
              <w:spacing w:after="0"/>
            </w:pPr>
            <w:r/>
            <w:r>
              <w:rPr>
                <w:b w:val="0"/>
                <w:i w:val="0"/>
                <w:sz w:val="17"/>
              </w:rPr>
              <w:t>Hospital tender, referral, exhibition, website, email, existing customer</w:t>
            </w:r>
          </w:p>
        </w:tc>
        <w:tc>
          <w:tcPr>
            <w:tcW w:type="dxa" w:w="1701"/>
          </w:tcPr>
          <w:p>
            <w:pPr>
              <w:spacing w:after="0"/>
            </w:pPr>
            <w:r/>
            <w:r>
              <w:rPr>
                <w:b w:val="0"/>
                <w:i w:val="0"/>
                <w:sz w:val="17"/>
              </w:rPr>
              <w:t>CRM-001</w:t>
            </w:r>
          </w:p>
        </w:tc>
      </w:tr>
      <w:tr>
        <w:trPr>
          <w:cantSplit w:val="true"/>
        </w:trPr>
        <w:tc>
          <w:tcPr>
            <w:tcW w:type="dxa" w:w="1928"/>
            <w:shd w:val="clear" w:color="auto" w:fill="F9FAFB"/>
          </w:tcPr>
          <w:p>
            <w:pPr>
              <w:spacing w:after="0"/>
            </w:pPr>
            <w:r/>
            <w:r>
              <w:rPr>
                <w:b w:val="0"/>
                <w:i w:val="0"/>
                <w:sz w:val="17"/>
              </w:rPr>
              <w:t>Stages and probability</w:t>
            </w:r>
          </w:p>
        </w:tc>
        <w:tc>
          <w:tcPr>
            <w:tcW w:type="dxa" w:w="6009"/>
            <w:shd w:val="clear" w:color="auto" w:fill="F9FAFB"/>
          </w:tcPr>
          <w:p>
            <w:pPr>
              <w:spacing w:after="0"/>
            </w:pPr>
            <w:r/>
            <w:r>
              <w:rPr>
                <w:b w:val="0"/>
                <w:i w:val="0"/>
                <w:sz w:val="17"/>
              </w:rPr>
              <w:t>New 10, Qualified 25, Quotation Sent 50, Negotiation 75, Won 100, Lost 0</w:t>
            </w:r>
          </w:p>
        </w:tc>
        <w:tc>
          <w:tcPr>
            <w:tcW w:type="dxa" w:w="1701"/>
            <w:shd w:val="clear" w:color="auto" w:fill="F9FAFB"/>
          </w:tcPr>
          <w:p>
            <w:pPr>
              <w:spacing w:after="0"/>
            </w:pPr>
            <w:r/>
            <w:r>
              <w:rPr>
                <w:b w:val="0"/>
                <w:i w:val="0"/>
                <w:sz w:val="17"/>
              </w:rPr>
              <w:t>CRM-002</w:t>
            </w:r>
          </w:p>
        </w:tc>
      </w:tr>
      <w:tr>
        <w:trPr>
          <w:cantSplit w:val="true"/>
        </w:trPr>
        <w:tc>
          <w:tcPr>
            <w:tcW w:type="dxa" w:w="1928"/>
          </w:tcPr>
          <w:p>
            <w:pPr>
              <w:spacing w:after="0"/>
            </w:pPr>
            <w:r/>
            <w:r>
              <w:rPr>
                <w:b w:val="0"/>
                <w:i w:val="0"/>
                <w:sz w:val="17"/>
              </w:rPr>
              <w:t>Quotation link</w:t>
            </w:r>
          </w:p>
        </w:tc>
        <w:tc>
          <w:tcPr>
            <w:tcW w:type="dxa" w:w="6009"/>
          </w:tcPr>
          <w:p>
            <w:pPr>
              <w:spacing w:after="0"/>
            </w:pPr>
            <w:r/>
            <w:r>
              <w:rPr>
                <w:b w:val="0"/>
                <w:i w:val="0"/>
                <w:sz w:val="17"/>
              </w:rPr>
              <w:t>Create quotation from opportunity; confirmed order marks Won</w:t>
            </w:r>
          </w:p>
        </w:tc>
        <w:tc>
          <w:tcPr>
            <w:tcW w:type="dxa" w:w="1701"/>
          </w:tcPr>
          <w:p>
            <w:pPr>
              <w:spacing w:after="0"/>
            </w:pPr>
            <w:r/>
            <w:r>
              <w:rPr>
                <w:b w:val="0"/>
                <w:i w:val="0"/>
                <w:sz w:val="17"/>
              </w:rPr>
              <w:t>CRM-003</w:t>
            </w:r>
          </w:p>
        </w:tc>
      </w:tr>
      <w:tr>
        <w:trPr>
          <w:cantSplit w:val="true"/>
        </w:trPr>
        <w:tc>
          <w:tcPr>
            <w:tcW w:type="dxa" w:w="1928"/>
            <w:shd w:val="clear" w:color="auto" w:fill="F9FAFB"/>
          </w:tcPr>
          <w:p>
            <w:pPr>
              <w:spacing w:after="0"/>
            </w:pPr>
            <w:r/>
            <w:r>
              <w:rPr>
                <w:b w:val="0"/>
                <w:i w:val="0"/>
                <w:sz w:val="17"/>
              </w:rPr>
              <w:t>Sales teams</w:t>
            </w:r>
          </w:p>
        </w:tc>
        <w:tc>
          <w:tcPr>
            <w:tcW w:type="dxa" w:w="6009"/>
            <w:shd w:val="clear" w:color="auto" w:fill="F9FAFB"/>
          </w:tcPr>
          <w:p>
            <w:pPr>
              <w:spacing w:after="0"/>
            </w:pPr>
            <w:r/>
            <w:r>
              <w:rPr>
                <w:b w:val="0"/>
                <w:i w:val="0"/>
                <w:sz w:val="17"/>
              </w:rPr>
              <w:t>Nasr City, Maadi, Mohandeseen teams with placeholder salespeople</w:t>
            </w:r>
          </w:p>
        </w:tc>
        <w:tc>
          <w:tcPr>
            <w:tcW w:type="dxa" w:w="1701"/>
            <w:shd w:val="clear" w:color="auto" w:fill="F9FAFB"/>
          </w:tcPr>
          <w:p>
            <w:pPr>
              <w:spacing w:after="0"/>
            </w:pPr>
            <w:r/>
            <w:r>
              <w:rPr>
                <w:b w:val="0"/>
                <w:i w:val="0"/>
                <w:sz w:val="17"/>
              </w:rPr>
              <w:t>CRM-004</w:t>
            </w:r>
          </w:p>
        </w:tc>
      </w:tr>
      <w:tr>
        <w:trPr>
          <w:cantSplit w:val="true"/>
        </w:trPr>
        <w:tc>
          <w:tcPr>
            <w:tcW w:type="dxa" w:w="1928"/>
          </w:tcPr>
          <w:p>
            <w:pPr>
              <w:spacing w:after="0"/>
            </w:pPr>
            <w:r/>
            <w:r>
              <w:rPr>
                <w:b w:val="0"/>
                <w:i w:val="0"/>
                <w:sz w:val="17"/>
              </w:rPr>
              <w:t>Activities</w:t>
            </w:r>
          </w:p>
        </w:tc>
        <w:tc>
          <w:tcPr>
            <w:tcW w:type="dxa" w:w="6009"/>
          </w:tcPr>
          <w:p>
            <w:pPr>
              <w:spacing w:after="0"/>
            </w:pPr>
            <w:r/>
            <w:r>
              <w:rPr>
                <w:b w:val="0"/>
                <w:i w:val="0"/>
                <w:sz w:val="17"/>
              </w:rPr>
              <w:t>Calls, visits, demos with reminders</w:t>
            </w:r>
          </w:p>
        </w:tc>
        <w:tc>
          <w:tcPr>
            <w:tcW w:type="dxa" w:w="1701"/>
          </w:tcPr>
          <w:p>
            <w:pPr>
              <w:spacing w:after="0"/>
            </w:pPr>
            <w:r/>
            <w:r>
              <w:rPr>
                <w:b w:val="0"/>
                <w:i w:val="0"/>
                <w:sz w:val="17"/>
              </w:rPr>
              <w:t>CRM-005</w:t>
            </w:r>
          </w:p>
        </w:tc>
      </w:tr>
      <w:tr>
        <w:trPr>
          <w:cantSplit w:val="true"/>
        </w:trPr>
        <w:tc>
          <w:tcPr>
            <w:tcW w:type="dxa" w:w="1928"/>
            <w:shd w:val="clear" w:color="auto" w:fill="F9FAFB"/>
          </w:tcPr>
          <w:p>
            <w:pPr>
              <w:spacing w:after="0"/>
            </w:pPr>
            <w:r/>
            <w:r>
              <w:rPr>
                <w:b w:val="0"/>
                <w:i w:val="0"/>
                <w:sz w:val="17"/>
              </w:rPr>
              <w:t>Reports</w:t>
            </w:r>
          </w:p>
        </w:tc>
        <w:tc>
          <w:tcPr>
            <w:tcW w:type="dxa" w:w="6009"/>
            <w:shd w:val="clear" w:color="auto" w:fill="F9FAFB"/>
          </w:tcPr>
          <w:p>
            <w:pPr>
              <w:spacing w:after="0"/>
            </w:pPr>
            <w:r/>
            <w:r>
              <w:rPr>
                <w:b w:val="0"/>
                <w:i w:val="0"/>
                <w:sz w:val="17"/>
              </w:rPr>
              <w:t>Forecast, weighted revenue, win rate, lost reasons by branch</w:t>
            </w:r>
          </w:p>
        </w:tc>
        <w:tc>
          <w:tcPr>
            <w:tcW w:type="dxa" w:w="1701"/>
            <w:shd w:val="clear" w:color="auto" w:fill="F9FAFB"/>
          </w:tcPr>
          <w:p>
            <w:pPr>
              <w:spacing w:after="0"/>
            </w:pPr>
            <w:r/>
            <w:r>
              <w:rPr>
                <w:b w:val="0"/>
                <w:i w:val="0"/>
                <w:sz w:val="17"/>
              </w:rPr>
              <w:t>CRM-006, CRM-007</w:t>
            </w:r>
          </w:p>
        </w:tc>
      </w:tr>
      <w:tr>
        <w:trPr>
          <w:cantSplit w:val="true"/>
        </w:trPr>
        <w:tc>
          <w:tcPr>
            <w:tcW w:type="dxa" w:w="1928"/>
          </w:tcPr>
          <w:p>
            <w:pPr>
              <w:spacing w:after="0"/>
            </w:pPr>
            <w:r/>
            <w:r>
              <w:rPr>
                <w:b w:val="0"/>
                <w:i w:val="0"/>
                <w:sz w:val="17"/>
              </w:rPr>
              <w:t>Tender tracking</w:t>
            </w:r>
          </w:p>
        </w:tc>
        <w:tc>
          <w:tcPr>
            <w:tcW w:type="dxa" w:w="6009"/>
          </w:tcPr>
          <w:p>
            <w:pPr>
              <w:spacing w:after="0"/>
            </w:pPr>
            <w:r/>
            <w:r>
              <w:rPr>
                <w:b w:val="0"/>
                <w:i w:val="0"/>
                <w:sz w:val="17"/>
              </w:rPr>
              <w:t>Tags and activities; custom fields proposed</w:t>
            </w:r>
          </w:p>
        </w:tc>
        <w:tc>
          <w:tcPr>
            <w:tcW w:type="dxa" w:w="1701"/>
          </w:tcPr>
          <w:p>
            <w:pPr>
              <w:spacing w:after="0"/>
            </w:pPr>
            <w:r/>
            <w:r>
              <w:rPr>
                <w:b w:val="0"/>
                <w:i w:val="0"/>
                <w:sz w:val="17"/>
              </w:rPr>
              <w:t>CRM-008</w:t>
            </w:r>
          </w:p>
        </w:tc>
      </w:tr>
    </w:tbl>
    <w:p>
      <w:pPr>
        <w:spacing w:after="40"/>
      </w:pPr>
    </w:p>
    <w:p>
      <w:pPr>
        <w:pStyle w:val="Heading1"/>
      </w:pPr>
      <w:r>
        <w:t>3. Module relationships and dependencies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701"/>
        <w:gridCol w:w="1701"/>
        <w:gridCol w:w="6236"/>
      </w:tblGrid>
      <w:tr>
        <w:trPr>
          <w:tblHeader w:val="true"/>
        </w:trPr>
        <w:tc>
          <w:tcPr>
            <w:tcW w:type="dxa" w:w="1701"/>
            <w:shd w:val="clear" w:color="auto" w:fill="C8102E"/>
          </w:tcPr>
          <w:p>
            <w:r/>
            <w:r>
              <w:rPr>
                <w:b/>
                <w:color w:val="FFFFFF"/>
                <w:sz w:val="17"/>
              </w:rPr>
              <w:t>From</w:t>
            </w:r>
          </w:p>
        </w:tc>
        <w:tc>
          <w:tcPr>
            <w:tcW w:type="dxa" w:w="1701"/>
            <w:shd w:val="clear" w:color="auto" w:fill="C8102E"/>
          </w:tcPr>
          <w:p>
            <w:r/>
            <w:r>
              <w:rPr>
                <w:b/>
                <w:color w:val="FFFFFF"/>
                <w:sz w:val="17"/>
              </w:rPr>
              <w:t>To</w:t>
            </w:r>
          </w:p>
        </w:tc>
        <w:tc>
          <w:tcPr>
            <w:tcW w:type="dxa" w:w="6236"/>
            <w:shd w:val="clear" w:color="auto" w:fill="C8102E"/>
          </w:tcPr>
          <w:p>
            <w:r/>
            <w:r>
              <w:rPr>
                <w:b/>
                <w:color w:val="FFFFFF"/>
                <w:sz w:val="17"/>
              </w:rPr>
              <w:t>Relationship</w:t>
            </w:r>
          </w:p>
        </w:tc>
      </w:tr>
      <w:tr>
        <w:trPr>
          <w:cantSplit w:val="true"/>
        </w:trPr>
        <w:tc>
          <w:tcPr>
            <w:tcW w:type="dxa" w:w="1701"/>
          </w:tcPr>
          <w:p>
            <w:pPr>
              <w:spacing w:after="0"/>
            </w:pPr>
            <w:r/>
            <w:r>
              <w:rPr>
                <w:b w:val="0"/>
                <w:i w:val="0"/>
                <w:sz w:val="17"/>
              </w:rPr>
              <w:t>Sales</w:t>
            </w:r>
          </w:p>
        </w:tc>
        <w:tc>
          <w:tcPr>
            <w:tcW w:type="dxa" w:w="1701"/>
          </w:tcPr>
          <w:p>
            <w:pPr>
              <w:spacing w:after="0"/>
            </w:pPr>
            <w:r/>
            <w:r>
              <w:rPr>
                <w:b w:val="0"/>
                <w:i w:val="0"/>
                <w:sz w:val="17"/>
              </w:rPr>
              <w:t>Inventory</w:t>
            </w:r>
          </w:p>
        </w:tc>
        <w:tc>
          <w:tcPr>
            <w:tcW w:type="dxa" w:w="6236"/>
          </w:tcPr>
          <w:p>
            <w:pPr>
              <w:spacing w:after="0"/>
            </w:pPr>
            <w:r/>
            <w:r>
              <w:rPr>
                <w:b w:val="0"/>
                <w:i w:val="0"/>
                <w:sz w:val="17"/>
              </w:rPr>
              <w:t>Confirmed order creates delivery orders per source warehouse; reservation by lot/serial</w:t>
            </w:r>
          </w:p>
        </w:tc>
      </w:tr>
      <w:tr>
        <w:trPr>
          <w:cantSplit w:val="true"/>
        </w:trPr>
        <w:tc>
          <w:tcPr>
            <w:tcW w:type="dxa" w:w="1701"/>
            <w:shd w:val="clear" w:color="auto" w:fill="F9FAFB"/>
          </w:tcPr>
          <w:p>
            <w:pPr>
              <w:spacing w:after="0"/>
            </w:pPr>
            <w:r/>
            <w:r>
              <w:rPr>
                <w:b w:val="0"/>
                <w:i w:val="0"/>
                <w:sz w:val="17"/>
              </w:rPr>
              <w:t>Purchase</w:t>
            </w:r>
          </w:p>
        </w:tc>
        <w:tc>
          <w:tcPr>
            <w:tcW w:type="dxa" w:w="1701"/>
            <w:shd w:val="clear" w:color="auto" w:fill="F9FAFB"/>
          </w:tcPr>
          <w:p>
            <w:pPr>
              <w:spacing w:after="0"/>
            </w:pPr>
            <w:r/>
            <w:r>
              <w:rPr>
                <w:b w:val="0"/>
                <w:i w:val="0"/>
                <w:sz w:val="17"/>
              </w:rPr>
              <w:t>Inventory</w:t>
            </w:r>
          </w:p>
        </w:tc>
        <w:tc>
          <w:tcPr>
            <w:tcW w:type="dxa" w:w="6236"/>
            <w:shd w:val="clear" w:color="auto" w:fill="F9FAFB"/>
          </w:tcPr>
          <w:p>
            <w:pPr>
              <w:spacing w:after="0"/>
            </w:pPr>
            <w:r/>
            <w:r>
              <w:rPr>
                <w:b w:val="0"/>
                <w:i w:val="0"/>
                <w:sz w:val="17"/>
              </w:rPr>
              <w:t>Confirmed PO creates receipt; reordering rules create RFQs</w:t>
            </w:r>
          </w:p>
        </w:tc>
      </w:tr>
      <w:tr>
        <w:trPr>
          <w:cantSplit w:val="true"/>
        </w:trPr>
        <w:tc>
          <w:tcPr>
            <w:tcW w:type="dxa" w:w="1701"/>
          </w:tcPr>
          <w:p>
            <w:pPr>
              <w:spacing w:after="0"/>
            </w:pPr>
            <w:r/>
            <w:r>
              <w:rPr>
                <w:b w:val="0"/>
                <w:i w:val="0"/>
                <w:sz w:val="17"/>
              </w:rPr>
              <w:t>Inventory</w:t>
            </w:r>
          </w:p>
        </w:tc>
        <w:tc>
          <w:tcPr>
            <w:tcW w:type="dxa" w:w="1701"/>
          </w:tcPr>
          <w:p>
            <w:pPr>
              <w:spacing w:after="0"/>
            </w:pPr>
            <w:r/>
            <w:r>
              <w:rPr>
                <w:b w:val="0"/>
                <w:i w:val="0"/>
                <w:sz w:val="17"/>
              </w:rPr>
              <w:t>Accounting</w:t>
            </w:r>
          </w:p>
        </w:tc>
        <w:tc>
          <w:tcPr>
            <w:tcW w:type="dxa" w:w="6236"/>
          </w:tcPr>
          <w:p>
            <w:pPr>
              <w:spacing w:after="0"/>
            </w:pPr>
            <w:r/>
            <w:r>
              <w:rPr>
                <w:b w:val="0"/>
                <w:i w:val="0"/>
                <w:sz w:val="17"/>
              </w:rPr>
              <w:t>Stock valuation entries (Dr/Cr inventory, GRNI, stock interim delivered) at each move</w:t>
            </w:r>
          </w:p>
        </w:tc>
      </w:tr>
      <w:tr>
        <w:trPr>
          <w:cantSplit w:val="true"/>
        </w:trPr>
        <w:tc>
          <w:tcPr>
            <w:tcW w:type="dxa" w:w="1701"/>
            <w:shd w:val="clear" w:color="auto" w:fill="F9FAFB"/>
          </w:tcPr>
          <w:p>
            <w:pPr>
              <w:spacing w:after="0"/>
            </w:pPr>
            <w:r/>
            <w:r>
              <w:rPr>
                <w:b w:val="0"/>
                <w:i w:val="0"/>
                <w:sz w:val="17"/>
              </w:rPr>
              <w:t>Sales</w:t>
            </w:r>
          </w:p>
        </w:tc>
        <w:tc>
          <w:tcPr>
            <w:tcW w:type="dxa" w:w="1701"/>
            <w:shd w:val="clear" w:color="auto" w:fill="F9FAFB"/>
          </w:tcPr>
          <w:p>
            <w:pPr>
              <w:spacing w:after="0"/>
            </w:pPr>
            <w:r/>
            <w:r>
              <w:rPr>
                <w:b w:val="0"/>
                <w:i w:val="0"/>
                <w:sz w:val="17"/>
              </w:rPr>
              <w:t>Accounting</w:t>
            </w:r>
          </w:p>
        </w:tc>
        <w:tc>
          <w:tcPr>
            <w:tcW w:type="dxa" w:w="6236"/>
            <w:shd w:val="clear" w:color="auto" w:fill="F9FAFB"/>
          </w:tcPr>
          <w:p>
            <w:pPr>
              <w:spacing w:after="0"/>
            </w:pPr>
            <w:r/>
            <w:r>
              <w:rPr>
                <w:b w:val="0"/>
                <w:i w:val="0"/>
                <w:sz w:val="17"/>
              </w:rPr>
              <w:t>Invoice from delivered quantity; revenue, VAT, COGS recognition</w:t>
            </w:r>
          </w:p>
        </w:tc>
      </w:tr>
      <w:tr>
        <w:trPr>
          <w:cantSplit w:val="true"/>
        </w:trPr>
        <w:tc>
          <w:tcPr>
            <w:tcW w:type="dxa" w:w="1701"/>
          </w:tcPr>
          <w:p>
            <w:pPr>
              <w:spacing w:after="0"/>
            </w:pPr>
            <w:r/>
            <w:r>
              <w:rPr>
                <w:b w:val="0"/>
                <w:i w:val="0"/>
                <w:sz w:val="17"/>
              </w:rPr>
              <w:t>Purchase</w:t>
            </w:r>
          </w:p>
        </w:tc>
        <w:tc>
          <w:tcPr>
            <w:tcW w:type="dxa" w:w="1701"/>
          </w:tcPr>
          <w:p>
            <w:pPr>
              <w:spacing w:after="0"/>
            </w:pPr>
            <w:r/>
            <w:r>
              <w:rPr>
                <w:b w:val="0"/>
                <w:i w:val="0"/>
                <w:sz w:val="17"/>
              </w:rPr>
              <w:t>Accounting</w:t>
            </w:r>
          </w:p>
        </w:tc>
        <w:tc>
          <w:tcPr>
            <w:tcW w:type="dxa" w:w="6236"/>
          </w:tcPr>
          <w:p>
            <w:pPr>
              <w:spacing w:after="0"/>
            </w:pPr>
            <w:r/>
            <w:r>
              <w:rPr>
                <w:b w:val="0"/>
                <w:i w:val="0"/>
                <w:sz w:val="17"/>
              </w:rPr>
              <w:t>Vendor bill matched to receipts; input VAT</w:t>
            </w:r>
          </w:p>
        </w:tc>
      </w:tr>
      <w:tr>
        <w:trPr>
          <w:cantSplit w:val="true"/>
        </w:trPr>
        <w:tc>
          <w:tcPr>
            <w:tcW w:type="dxa" w:w="1701"/>
            <w:shd w:val="clear" w:color="auto" w:fill="F9FAFB"/>
          </w:tcPr>
          <w:p>
            <w:pPr>
              <w:spacing w:after="0"/>
            </w:pPr>
            <w:r/>
            <w:r>
              <w:rPr>
                <w:b w:val="0"/>
                <w:i w:val="0"/>
                <w:sz w:val="17"/>
              </w:rPr>
              <w:t>Contacts</w:t>
            </w:r>
          </w:p>
        </w:tc>
        <w:tc>
          <w:tcPr>
            <w:tcW w:type="dxa" w:w="1701"/>
            <w:shd w:val="clear" w:color="auto" w:fill="F9FAFB"/>
          </w:tcPr>
          <w:p>
            <w:pPr>
              <w:spacing w:after="0"/>
            </w:pPr>
            <w:r/>
            <w:r>
              <w:rPr>
                <w:b w:val="0"/>
                <w:i w:val="0"/>
                <w:sz w:val="17"/>
              </w:rPr>
              <w:t>All</w:t>
            </w:r>
          </w:p>
        </w:tc>
        <w:tc>
          <w:tcPr>
            <w:tcW w:type="dxa" w:w="6236"/>
            <w:shd w:val="clear" w:color="auto" w:fill="F9FAFB"/>
          </w:tcPr>
          <w:p>
            <w:pPr>
              <w:spacing w:after="0"/>
            </w:pPr>
            <w:r/>
            <w:r>
              <w:rPr>
                <w:b w:val="0"/>
                <w:i w:val="0"/>
                <w:sz w:val="17"/>
              </w:rPr>
              <w:t>Partner terms, credit limit, tax, branch; analytic default</w:t>
            </w:r>
          </w:p>
        </w:tc>
      </w:tr>
      <w:tr>
        <w:trPr>
          <w:cantSplit w:val="true"/>
        </w:trPr>
        <w:tc>
          <w:tcPr>
            <w:tcW w:type="dxa" w:w="1701"/>
          </w:tcPr>
          <w:p>
            <w:pPr>
              <w:spacing w:after="0"/>
            </w:pPr>
            <w:r/>
            <w:r>
              <w:rPr>
                <w:b w:val="0"/>
                <w:i w:val="0"/>
                <w:sz w:val="17"/>
              </w:rPr>
              <w:t>Quality</w:t>
            </w:r>
          </w:p>
        </w:tc>
        <w:tc>
          <w:tcPr>
            <w:tcW w:type="dxa" w:w="1701"/>
          </w:tcPr>
          <w:p>
            <w:pPr>
              <w:spacing w:after="0"/>
            </w:pPr>
            <w:r/>
            <w:r>
              <w:rPr>
                <w:b w:val="0"/>
                <w:i w:val="0"/>
                <w:sz w:val="17"/>
              </w:rPr>
              <w:t>Inventory</w:t>
            </w:r>
          </w:p>
        </w:tc>
        <w:tc>
          <w:tcPr>
            <w:tcW w:type="dxa" w:w="6236"/>
          </w:tcPr>
          <w:p>
            <w:pPr>
              <w:spacing w:after="0"/>
            </w:pPr>
            <w:r/>
            <w:r>
              <w:rPr>
                <w:b w:val="0"/>
                <w:i w:val="0"/>
                <w:sz w:val="17"/>
              </w:rPr>
              <w:t>Failed check blocks putaway and triggers quarantine transfer</w:t>
            </w:r>
          </w:p>
        </w:tc>
      </w:tr>
      <w:tr>
        <w:trPr>
          <w:cantSplit w:val="true"/>
        </w:trPr>
        <w:tc>
          <w:tcPr>
            <w:tcW w:type="dxa" w:w="1701"/>
            <w:shd w:val="clear" w:color="auto" w:fill="F9FAFB"/>
          </w:tcPr>
          <w:p>
            <w:pPr>
              <w:spacing w:after="0"/>
            </w:pPr>
            <w:r/>
            <w:r>
              <w:rPr>
                <w:b w:val="0"/>
                <w:i w:val="0"/>
                <w:sz w:val="17"/>
              </w:rPr>
              <w:t>Accounting</w:t>
            </w:r>
          </w:p>
        </w:tc>
        <w:tc>
          <w:tcPr>
            <w:tcW w:type="dxa" w:w="1701"/>
            <w:shd w:val="clear" w:color="auto" w:fill="F9FAFB"/>
          </w:tcPr>
          <w:p>
            <w:pPr>
              <w:spacing w:after="0"/>
            </w:pPr>
            <w:r/>
            <w:r>
              <w:rPr>
                <w:b w:val="0"/>
                <w:i w:val="0"/>
                <w:sz w:val="17"/>
              </w:rPr>
              <w:t>Reporting</w:t>
            </w:r>
          </w:p>
        </w:tc>
        <w:tc>
          <w:tcPr>
            <w:tcW w:type="dxa" w:w="6236"/>
            <w:shd w:val="clear" w:color="auto" w:fill="F9FAFB"/>
          </w:tcPr>
          <w:p>
            <w:pPr>
              <w:spacing w:after="0"/>
            </w:pPr>
            <w:r/>
            <w:r>
              <w:rPr>
                <w:b w:val="0"/>
                <w:i w:val="0"/>
                <w:sz w:val="17"/>
              </w:rPr>
              <w:t>Ledgers, aged reports, KPI dashboards by branch (analytic)</w:t>
            </w:r>
          </w:p>
        </w:tc>
      </w:tr>
    </w:tbl>
    <w:p>
      <w:pPr>
        <w:spacing w:after="40"/>
      </w:pPr>
    </w:p>
    <w:p>
      <w:pPr>
        <w:pStyle w:val="Heading1"/>
      </w:pPr>
      <w:r>
        <w:t>4. Organizational structure and master-data design</w:t>
      </w:r>
    </w:p>
    <w:p>
      <w:r>
        <w:rPr>
          <w:b w:val="0"/>
          <w:i w:val="0"/>
        </w:rPr>
        <w:t>The organizational chart (11 units) and role matrix are in Organization_and_Accounting_Charts.xlsx. Master data design:</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928"/>
        <w:gridCol w:w="4082"/>
        <w:gridCol w:w="1814"/>
        <w:gridCol w:w="1814"/>
      </w:tblGrid>
      <w:tr>
        <w:trPr>
          <w:tblHeader w:val="true"/>
        </w:trPr>
        <w:tc>
          <w:tcPr>
            <w:tcW w:type="dxa" w:w="1928"/>
            <w:shd w:val="clear" w:color="auto" w:fill="C8102E"/>
          </w:tcPr>
          <w:p>
            <w:r/>
            <w:r>
              <w:rPr>
                <w:b/>
                <w:color w:val="FFFFFF"/>
                <w:sz w:val="16"/>
              </w:rPr>
              <w:t>Master data</w:t>
            </w:r>
          </w:p>
        </w:tc>
        <w:tc>
          <w:tcPr>
            <w:tcW w:type="dxa" w:w="4082"/>
            <w:shd w:val="clear" w:color="auto" w:fill="C8102E"/>
          </w:tcPr>
          <w:p>
            <w:r/>
            <w:r>
              <w:rPr>
                <w:b/>
                <w:color w:val="FFFFFF"/>
                <w:sz w:val="16"/>
              </w:rPr>
              <w:t>Key design</w:t>
            </w:r>
          </w:p>
        </w:tc>
        <w:tc>
          <w:tcPr>
            <w:tcW w:type="dxa" w:w="1814"/>
            <w:shd w:val="clear" w:color="auto" w:fill="C8102E"/>
          </w:tcPr>
          <w:p>
            <w:r/>
            <w:r>
              <w:rPr>
                <w:b/>
                <w:color w:val="FFFFFF"/>
                <w:sz w:val="16"/>
              </w:rPr>
              <w:t>Volume (simulation)</w:t>
            </w:r>
          </w:p>
        </w:tc>
        <w:tc>
          <w:tcPr>
            <w:tcW w:type="dxa" w:w="1814"/>
            <w:shd w:val="clear" w:color="auto" w:fill="C8102E"/>
          </w:tcPr>
          <w:p>
            <w:r/>
            <w:r>
              <w:rPr>
                <w:b/>
                <w:color w:val="FFFFFF"/>
                <w:sz w:val="16"/>
              </w:rPr>
              <w:t>Source</w:t>
            </w:r>
          </w:p>
        </w:tc>
      </w:tr>
      <w:tr>
        <w:trPr>
          <w:cantSplit w:val="true"/>
        </w:trPr>
        <w:tc>
          <w:tcPr>
            <w:tcW w:type="dxa" w:w="1928"/>
          </w:tcPr>
          <w:p>
            <w:pPr>
              <w:spacing w:after="0"/>
            </w:pPr>
            <w:r/>
            <w:r>
              <w:rPr>
                <w:b w:val="0"/>
                <w:i w:val="0"/>
                <w:sz w:val="16"/>
              </w:rPr>
              <w:t>Company / branches</w:t>
            </w:r>
          </w:p>
        </w:tc>
        <w:tc>
          <w:tcPr>
            <w:tcW w:type="dxa" w:w="4082"/>
          </w:tcPr>
          <w:p>
            <w:pPr>
              <w:spacing w:after="0"/>
            </w:pPr>
            <w:r/>
            <w:r>
              <w:rPr>
                <w:b w:val="0"/>
                <w:i w:val="0"/>
                <w:sz w:val="16"/>
              </w:rPr>
              <w:t>1 company, 3 branches (BR-NSC, BR-MAA, BR-MOH)</w:t>
            </w:r>
          </w:p>
        </w:tc>
        <w:tc>
          <w:tcPr>
            <w:tcW w:type="dxa" w:w="1814"/>
          </w:tcPr>
          <w:p>
            <w:pPr>
              <w:spacing w:after="0"/>
            </w:pPr>
            <w:r/>
            <w:r>
              <w:rPr>
                <w:b w:val="0"/>
                <w:i w:val="0"/>
                <w:sz w:val="16"/>
              </w:rPr>
              <w:t>1 + 3</w:t>
            </w:r>
          </w:p>
        </w:tc>
        <w:tc>
          <w:tcPr>
            <w:tcW w:type="dxa" w:w="1814"/>
          </w:tcPr>
          <w:p>
            <w:pPr>
              <w:spacing w:after="0"/>
            </w:pPr>
            <w:r/>
            <w:r>
              <w:rPr>
                <w:b w:val="0"/>
                <w:i w:val="0"/>
                <w:sz w:val="16"/>
              </w:rPr>
              <w:t>01_company_branches.csv</w:t>
            </w:r>
          </w:p>
        </w:tc>
      </w:tr>
      <w:tr>
        <w:trPr>
          <w:cantSplit w:val="true"/>
        </w:trPr>
        <w:tc>
          <w:tcPr>
            <w:tcW w:type="dxa" w:w="1928"/>
            <w:shd w:val="clear" w:color="auto" w:fill="F9FAFB"/>
          </w:tcPr>
          <w:p>
            <w:pPr>
              <w:spacing w:after="0"/>
            </w:pPr>
            <w:r/>
            <w:r>
              <w:rPr>
                <w:b w:val="0"/>
                <w:i w:val="0"/>
                <w:sz w:val="16"/>
              </w:rPr>
              <w:t>Warehouses / locations</w:t>
            </w:r>
          </w:p>
        </w:tc>
        <w:tc>
          <w:tcPr>
            <w:tcW w:type="dxa" w:w="4082"/>
            <w:shd w:val="clear" w:color="auto" w:fill="F9FAFB"/>
          </w:tcPr>
          <w:p>
            <w:pPr>
              <w:spacing w:after="0"/>
            </w:pPr>
            <w:r/>
            <w:r>
              <w:rPr>
                <w:b w:val="0"/>
                <w:i w:val="0"/>
                <w:sz w:val="16"/>
              </w:rPr>
              <w:t>4 warehouses; Input/Output for EQP and CON; QRT/Quarantine</w:t>
            </w:r>
          </w:p>
        </w:tc>
        <w:tc>
          <w:tcPr>
            <w:tcW w:type="dxa" w:w="1814"/>
            <w:shd w:val="clear" w:color="auto" w:fill="F9FAFB"/>
          </w:tcPr>
          <w:p>
            <w:pPr>
              <w:spacing w:after="0"/>
            </w:pPr>
            <w:r/>
            <w:r>
              <w:rPr>
                <w:b w:val="0"/>
                <w:i w:val="0"/>
                <w:sz w:val="16"/>
              </w:rPr>
              <w:t>4 / 8</w:t>
            </w:r>
          </w:p>
        </w:tc>
        <w:tc>
          <w:tcPr>
            <w:tcW w:type="dxa" w:w="1814"/>
            <w:shd w:val="clear" w:color="auto" w:fill="F9FAFB"/>
          </w:tcPr>
          <w:p>
            <w:pPr>
              <w:spacing w:after="0"/>
            </w:pPr>
            <w:r/>
            <w:r>
              <w:rPr>
                <w:b w:val="0"/>
                <w:i w:val="0"/>
                <w:sz w:val="16"/>
              </w:rPr>
              <w:t>02, 03</w:t>
            </w:r>
          </w:p>
        </w:tc>
      </w:tr>
      <w:tr>
        <w:trPr>
          <w:cantSplit w:val="true"/>
        </w:trPr>
        <w:tc>
          <w:tcPr>
            <w:tcW w:type="dxa" w:w="1928"/>
          </w:tcPr>
          <w:p>
            <w:pPr>
              <w:spacing w:after="0"/>
            </w:pPr>
            <w:r/>
            <w:r>
              <w:rPr>
                <w:b w:val="0"/>
                <w:i w:val="0"/>
                <w:sz w:val="16"/>
              </w:rPr>
              <w:t>Product categories</w:t>
            </w:r>
          </w:p>
        </w:tc>
        <w:tc>
          <w:tcPr>
            <w:tcW w:type="dxa" w:w="4082"/>
          </w:tcPr>
          <w:p>
            <w:pPr>
              <w:spacing w:after="0"/>
            </w:pPr>
            <w:r/>
            <w:r>
              <w:rPr>
                <w:b w:val="0"/>
                <w:i w:val="0"/>
                <w:sz w:val="16"/>
              </w:rPr>
              <w:t>3 roots, 10 categories; valuation/income/COGS accounts per category</w:t>
            </w:r>
          </w:p>
        </w:tc>
        <w:tc>
          <w:tcPr>
            <w:tcW w:type="dxa" w:w="1814"/>
          </w:tcPr>
          <w:p>
            <w:pPr>
              <w:spacing w:after="0"/>
            </w:pPr>
            <w:r/>
            <w:r>
              <w:rPr>
                <w:b w:val="0"/>
                <w:i w:val="0"/>
                <w:sz w:val="16"/>
              </w:rPr>
              <w:t>10</w:t>
            </w:r>
          </w:p>
        </w:tc>
        <w:tc>
          <w:tcPr>
            <w:tcW w:type="dxa" w:w="1814"/>
          </w:tcPr>
          <w:p>
            <w:pPr>
              <w:spacing w:after="0"/>
            </w:pPr>
            <w:r/>
            <w:r>
              <w:rPr>
                <w:b w:val="0"/>
                <w:i w:val="0"/>
                <w:sz w:val="16"/>
              </w:rPr>
              <w:t>04, 10</w:t>
            </w:r>
          </w:p>
        </w:tc>
      </w:tr>
      <w:tr>
        <w:trPr>
          <w:cantSplit w:val="true"/>
        </w:trPr>
        <w:tc>
          <w:tcPr>
            <w:tcW w:type="dxa" w:w="1928"/>
            <w:shd w:val="clear" w:color="auto" w:fill="F9FAFB"/>
          </w:tcPr>
          <w:p>
            <w:pPr>
              <w:spacing w:after="0"/>
            </w:pPr>
            <w:r/>
            <w:r>
              <w:rPr>
                <w:b w:val="0"/>
                <w:i w:val="0"/>
                <w:sz w:val="16"/>
              </w:rPr>
              <w:t>Products</w:t>
            </w:r>
          </w:p>
        </w:tc>
        <w:tc>
          <w:tcPr>
            <w:tcW w:type="dxa" w:w="4082"/>
            <w:shd w:val="clear" w:color="auto" w:fill="F9FAFB"/>
          </w:tcPr>
          <w:p>
            <w:pPr>
              <w:spacing w:after="0"/>
            </w:pPr>
            <w:r/>
            <w:r>
              <w:rPr>
                <w:b w:val="0"/>
                <w:i w:val="0"/>
                <w:sz w:val="16"/>
              </w:rPr>
              <w:t>Internal ref, Arabic/English names, EAN-13 barcode, tracking, expiry, reorder rules</w:t>
            </w:r>
          </w:p>
        </w:tc>
        <w:tc>
          <w:tcPr>
            <w:tcW w:type="dxa" w:w="1814"/>
            <w:shd w:val="clear" w:color="auto" w:fill="F9FAFB"/>
          </w:tcPr>
          <w:p>
            <w:pPr>
              <w:spacing w:after="0"/>
            </w:pPr>
            <w:r/>
            <w:r>
              <w:rPr>
                <w:b w:val="0"/>
                <w:i w:val="0"/>
                <w:sz w:val="16"/>
              </w:rPr>
              <w:t>24</w:t>
            </w:r>
          </w:p>
        </w:tc>
        <w:tc>
          <w:tcPr>
            <w:tcW w:type="dxa" w:w="1814"/>
            <w:shd w:val="clear" w:color="auto" w:fill="F9FAFB"/>
          </w:tcPr>
          <w:p>
            <w:pPr>
              <w:spacing w:after="0"/>
            </w:pPr>
            <w:r/>
            <w:r>
              <w:rPr>
                <w:b w:val="0"/>
                <w:i w:val="0"/>
                <w:sz w:val="16"/>
              </w:rPr>
              <w:t>05, 13</w:t>
            </w:r>
          </w:p>
        </w:tc>
      </w:tr>
      <w:tr>
        <w:trPr>
          <w:cantSplit w:val="true"/>
        </w:trPr>
        <w:tc>
          <w:tcPr>
            <w:tcW w:type="dxa" w:w="1928"/>
          </w:tcPr>
          <w:p>
            <w:pPr>
              <w:spacing w:after="0"/>
            </w:pPr>
            <w:r/>
            <w:r>
              <w:rPr>
                <w:b w:val="0"/>
                <w:i w:val="0"/>
                <w:sz w:val="16"/>
              </w:rPr>
              <w:t>Partners</w:t>
            </w:r>
          </w:p>
        </w:tc>
        <w:tc>
          <w:tcPr>
            <w:tcW w:type="dxa" w:w="4082"/>
          </w:tcPr>
          <w:p>
            <w:pPr>
              <w:spacing w:after="0"/>
            </w:pPr>
            <w:r/>
            <w:r>
              <w:rPr>
                <w:b w:val="0"/>
                <w:i w:val="0"/>
                <w:sz w:val="16"/>
              </w:rPr>
              <w:t>13 customers, 6 vendors; terms, credit limit, tax ID placeholder, branch</w:t>
            </w:r>
          </w:p>
        </w:tc>
        <w:tc>
          <w:tcPr>
            <w:tcW w:type="dxa" w:w="1814"/>
          </w:tcPr>
          <w:p>
            <w:pPr>
              <w:spacing w:after="0"/>
            </w:pPr>
            <w:r/>
            <w:r>
              <w:rPr>
                <w:b w:val="0"/>
                <w:i w:val="0"/>
                <w:sz w:val="16"/>
              </w:rPr>
              <w:t>13 / 6</w:t>
            </w:r>
          </w:p>
        </w:tc>
        <w:tc>
          <w:tcPr>
            <w:tcW w:type="dxa" w:w="1814"/>
          </w:tcPr>
          <w:p>
            <w:pPr>
              <w:spacing w:after="0"/>
            </w:pPr>
            <w:r/>
            <w:r>
              <w:rPr>
                <w:b w:val="0"/>
                <w:i w:val="0"/>
                <w:sz w:val="16"/>
              </w:rPr>
              <w:t>06, 07</w:t>
            </w:r>
          </w:p>
        </w:tc>
      </w:tr>
      <w:tr>
        <w:trPr>
          <w:cantSplit w:val="true"/>
        </w:trPr>
        <w:tc>
          <w:tcPr>
            <w:tcW w:type="dxa" w:w="1928"/>
            <w:shd w:val="clear" w:color="auto" w:fill="F9FAFB"/>
          </w:tcPr>
          <w:p>
            <w:pPr>
              <w:spacing w:after="0"/>
            </w:pPr>
            <w:r/>
            <w:r>
              <w:rPr>
                <w:b w:val="0"/>
                <w:i w:val="0"/>
                <w:sz w:val="16"/>
              </w:rPr>
              <w:t>Lots and serials</w:t>
            </w:r>
          </w:p>
        </w:tc>
        <w:tc>
          <w:tcPr>
            <w:tcW w:type="dxa" w:w="4082"/>
            <w:shd w:val="clear" w:color="auto" w:fill="F9FAFB"/>
          </w:tcPr>
          <w:p>
            <w:pPr>
              <w:spacing w:after="0"/>
            </w:pPr>
            <w:r/>
            <w:r>
              <w:rPr>
                <w:b w:val="0"/>
                <w:i w:val="0"/>
                <w:sz w:val="16"/>
              </w:rPr>
              <w:t>Lot per receipt/expiry; serial per unit</w:t>
            </w:r>
          </w:p>
        </w:tc>
        <w:tc>
          <w:tcPr>
            <w:tcW w:type="dxa" w:w="1814"/>
            <w:shd w:val="clear" w:color="auto" w:fill="F9FAFB"/>
          </w:tcPr>
          <w:p>
            <w:pPr>
              <w:spacing w:after="0"/>
            </w:pPr>
            <w:r/>
            <w:r>
              <w:rPr>
                <w:b w:val="0"/>
                <w:i w:val="0"/>
                <w:sz w:val="16"/>
              </w:rPr>
              <w:t>42 lots, 186 serials</w:t>
            </w:r>
          </w:p>
        </w:tc>
        <w:tc>
          <w:tcPr>
            <w:tcW w:type="dxa" w:w="1814"/>
            <w:shd w:val="clear" w:color="auto" w:fill="F9FAFB"/>
          </w:tcPr>
          <w:p>
            <w:pPr>
              <w:spacing w:after="0"/>
            </w:pPr>
            <w:r/>
            <w:r>
              <w:rPr>
                <w:b w:val="0"/>
                <w:i w:val="0"/>
                <w:sz w:val="16"/>
              </w:rPr>
              <w:t>11</w:t>
            </w:r>
          </w:p>
        </w:tc>
      </w:tr>
      <w:tr>
        <w:trPr>
          <w:cantSplit w:val="true"/>
        </w:trPr>
        <w:tc>
          <w:tcPr>
            <w:tcW w:type="dxa" w:w="1928"/>
          </w:tcPr>
          <w:p>
            <w:pPr>
              <w:spacing w:after="0"/>
            </w:pPr>
            <w:r/>
            <w:r>
              <w:rPr>
                <w:b w:val="0"/>
                <w:i w:val="0"/>
                <w:sz w:val="16"/>
              </w:rPr>
              <w:t>Chart of accounts</w:t>
            </w:r>
          </w:p>
        </w:tc>
        <w:tc>
          <w:tcPr>
            <w:tcW w:type="dxa" w:w="4082"/>
          </w:tcPr>
          <w:p>
            <w:pPr>
              <w:spacing w:after="0"/>
            </w:pPr>
            <w:r/>
            <w:r>
              <w:rPr>
                <w:b w:val="0"/>
                <w:i w:val="0"/>
                <w:sz w:val="16"/>
              </w:rPr>
              <w:t>101 accounts, 6 digits, hierarchical groups</w:t>
            </w:r>
          </w:p>
        </w:tc>
        <w:tc>
          <w:tcPr>
            <w:tcW w:type="dxa" w:w="1814"/>
          </w:tcPr>
          <w:p>
            <w:pPr>
              <w:spacing w:after="0"/>
            </w:pPr>
            <w:r/>
            <w:r>
              <w:rPr>
                <w:b w:val="0"/>
                <w:i w:val="0"/>
                <w:sz w:val="16"/>
              </w:rPr>
              <w:t>101</w:t>
            </w:r>
          </w:p>
        </w:tc>
        <w:tc>
          <w:tcPr>
            <w:tcW w:type="dxa" w:w="1814"/>
          </w:tcPr>
          <w:p>
            <w:pPr>
              <w:spacing w:after="0"/>
            </w:pPr>
            <w:r/>
            <w:r>
              <w:rPr>
                <w:b w:val="0"/>
                <w:i w:val="0"/>
                <w:sz w:val="16"/>
              </w:rPr>
              <w:t>08</w:t>
            </w:r>
          </w:p>
        </w:tc>
      </w:tr>
    </w:tbl>
    <w:p>
      <w:pPr>
        <w:spacing w:after="40"/>
      </w:pPr>
    </w:p>
    <w:p>
      <w:r>
        <w:rPr>
          <w:b w:val="0"/>
          <w:i w:val="0"/>
        </w:rPr>
        <w:t>Naming and numbering conventions: customers CUS-###, vendors VEN-###; product references EQ-/CN-/SP-; serials SN-&lt;ABBR&gt;-&lt;YYMM&gt;-####; lots LOT-&lt;ABBR&gt;-&lt;YYMM&gt;&lt;n&gt;; documents PO/2026/####, SO/2026/####, &lt;WH&gt;/IN/#####, &lt;WH&gt;/OUT/#####, INV/2026/#####, BILL/2026/#####.</w:t>
      </w:r>
    </w:p>
    <w:p>
      <w:pPr>
        <w:pStyle w:val="Heading1"/>
      </w:pPr>
      <w:r>
        <w:t>5. Branches and warehouses in a single-company model</w:t>
      </w:r>
    </w:p>
    <w:p>
      <w:pPr>
        <w:spacing w:after="60"/>
      </w:pPr>
      <w:r>
        <w:rPr>
          <w:b w:val="0"/>
          <w:i/>
          <w:color w:val="6B7280"/>
          <w:sz w:val="18"/>
        </w:rPr>
        <w:t>Section owner: Mohamed Mahmoud Abdel Bary</w:t>
      </w:r>
    </w:p>
    <w:p>
      <w:pPr>
        <w:jc w:val="center"/>
      </w:pPr>
      <w:r>
        <w:drawing>
          <wp:inline xmlns:a="http://schemas.openxmlformats.org/drawingml/2006/main" xmlns:pic="http://schemas.openxmlformats.org/drawingml/2006/picture">
            <wp:extent cx="6120000" cy="3012923"/>
            <wp:docPr id="2" name="Picture 2"/>
            <wp:cNvGraphicFramePr>
              <a:graphicFrameLocks noChangeAspect="1"/>
            </wp:cNvGraphicFramePr>
            <a:graphic>
              <a:graphicData uri="http://schemas.openxmlformats.org/drawingml/2006/picture">
                <pic:pic>
                  <pic:nvPicPr>
                    <pic:cNvPr id="0" name="structure.png"/>
                    <pic:cNvPicPr/>
                  </pic:nvPicPr>
                  <pic:blipFill>
                    <a:blip r:embed="rId12"/>
                    <a:stretch>
                      <a:fillRect/>
                    </a:stretch>
                  </pic:blipFill>
                  <pic:spPr>
                    <a:xfrm>
                      <a:off x="0" y="0"/>
                      <a:ext cx="6120000" cy="3012923"/>
                    </a:xfrm>
                    <a:prstGeom prst="rect"/>
                  </pic:spPr>
                </pic:pic>
              </a:graphicData>
            </a:graphic>
          </wp:inline>
        </w:drawing>
      </w:r>
    </w:p>
    <w:p>
      <w:pPr>
        <w:jc w:val="center"/>
      </w:pPr>
      <w:r>
        <w:rPr>
          <w:i/>
          <w:color w:val="6B7280"/>
          <w:sz w:val="17"/>
        </w:rPr>
        <w:t>Figure 2 - Single legal company, three branches, four warehouses</w:t>
      </w:r>
    </w:p>
    <w:p>
      <w:pPr>
        <w:pStyle w:val="Heading2"/>
      </w:pPr>
      <w:r>
        <w:t>5.1 Mapping</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835"/>
        <w:gridCol w:w="2494"/>
        <w:gridCol w:w="4309"/>
      </w:tblGrid>
      <w:tr>
        <w:trPr>
          <w:tblHeader w:val="true"/>
        </w:trPr>
        <w:tc>
          <w:tcPr>
            <w:tcW w:type="dxa" w:w="2835"/>
            <w:shd w:val="clear" w:color="auto" w:fill="C8102E"/>
          </w:tcPr>
          <w:p>
            <w:r/>
            <w:r>
              <w:rPr>
                <w:b/>
                <w:color w:val="FFFFFF"/>
                <w:sz w:val="17"/>
              </w:rPr>
              <w:t>Branch</w:t>
            </w:r>
          </w:p>
        </w:tc>
        <w:tc>
          <w:tcPr>
            <w:tcW w:type="dxa" w:w="2494"/>
            <w:shd w:val="clear" w:color="auto" w:fill="C8102E"/>
          </w:tcPr>
          <w:p>
            <w:r/>
            <w:r>
              <w:rPr>
                <w:b/>
                <w:color w:val="FFFFFF"/>
                <w:sz w:val="17"/>
              </w:rPr>
              <w:t>Primary warehouse</w:t>
            </w:r>
          </w:p>
        </w:tc>
        <w:tc>
          <w:tcPr>
            <w:tcW w:type="dxa" w:w="4309"/>
            <w:shd w:val="clear" w:color="auto" w:fill="C8102E"/>
          </w:tcPr>
          <w:p>
            <w:r/>
            <w:r>
              <w:rPr>
                <w:b/>
                <w:color w:val="FFFFFF"/>
                <w:sz w:val="17"/>
              </w:rPr>
              <w:t>Responsibilities</w:t>
            </w:r>
          </w:p>
        </w:tc>
      </w:tr>
      <w:tr>
        <w:trPr>
          <w:cantSplit w:val="true"/>
        </w:trPr>
        <w:tc>
          <w:tcPr>
            <w:tcW w:type="dxa" w:w="2835"/>
          </w:tcPr>
          <w:p>
            <w:pPr>
              <w:spacing w:after="0"/>
            </w:pPr>
            <w:r/>
            <w:r>
              <w:rPr>
                <w:b w:val="0"/>
                <w:i w:val="0"/>
                <w:sz w:val="17"/>
              </w:rPr>
              <w:t>Nasr City (BR-NSC) - HQ</w:t>
            </w:r>
          </w:p>
        </w:tc>
        <w:tc>
          <w:tcPr>
            <w:tcW w:type="dxa" w:w="2494"/>
          </w:tcPr>
          <w:p>
            <w:pPr>
              <w:spacing w:after="0"/>
            </w:pPr>
            <w:r/>
            <w:r>
              <w:rPr>
                <w:b w:val="0"/>
                <w:i w:val="0"/>
                <w:sz w:val="17"/>
              </w:rPr>
              <w:t>EQP (also administers QRT)</w:t>
            </w:r>
          </w:p>
        </w:tc>
        <w:tc>
          <w:tcPr>
            <w:tcW w:type="dxa" w:w="4309"/>
          </w:tcPr>
          <w:p>
            <w:pPr>
              <w:spacing w:after="0"/>
            </w:pPr>
            <w:r/>
            <w:r>
              <w:rPr>
                <w:b w:val="0"/>
                <w:i w:val="0"/>
                <w:sz w:val="17"/>
              </w:rPr>
              <w:t>Administration, capital-equipment sales and stock</w:t>
            </w:r>
          </w:p>
        </w:tc>
      </w:tr>
      <w:tr>
        <w:trPr>
          <w:cantSplit w:val="true"/>
        </w:trPr>
        <w:tc>
          <w:tcPr>
            <w:tcW w:type="dxa" w:w="2835"/>
            <w:shd w:val="clear" w:color="auto" w:fill="F9FAFB"/>
          </w:tcPr>
          <w:p>
            <w:pPr>
              <w:spacing w:after="0"/>
            </w:pPr>
            <w:r/>
            <w:r>
              <w:rPr>
                <w:b w:val="0"/>
                <w:i w:val="0"/>
                <w:sz w:val="17"/>
              </w:rPr>
              <w:t>Maadi (BR-MAA) - Retail &amp; Distribution</w:t>
            </w:r>
          </w:p>
        </w:tc>
        <w:tc>
          <w:tcPr>
            <w:tcW w:type="dxa" w:w="2494"/>
            <w:shd w:val="clear" w:color="auto" w:fill="F9FAFB"/>
          </w:tcPr>
          <w:p>
            <w:pPr>
              <w:spacing w:after="0"/>
            </w:pPr>
            <w:r/>
            <w:r>
              <w:rPr>
                <w:b w:val="0"/>
                <w:i w:val="0"/>
                <w:sz w:val="17"/>
              </w:rPr>
              <w:t>CON</w:t>
            </w:r>
          </w:p>
        </w:tc>
        <w:tc>
          <w:tcPr>
            <w:tcW w:type="dxa" w:w="4309"/>
            <w:shd w:val="clear" w:color="auto" w:fill="F9FAFB"/>
          </w:tcPr>
          <w:p>
            <w:pPr>
              <w:spacing w:after="0"/>
            </w:pPr>
            <w:r/>
            <w:r>
              <w:rPr>
                <w:b w:val="0"/>
                <w:i w:val="0"/>
                <w:sz w:val="17"/>
              </w:rPr>
              <w:t>Consumables distribution, retail counter, cash safe CSH2</w:t>
            </w:r>
          </w:p>
        </w:tc>
      </w:tr>
      <w:tr>
        <w:trPr>
          <w:cantSplit w:val="true"/>
        </w:trPr>
        <w:tc>
          <w:tcPr>
            <w:tcW w:type="dxa" w:w="2835"/>
          </w:tcPr>
          <w:p>
            <w:pPr>
              <w:spacing w:after="0"/>
            </w:pPr>
            <w:r/>
            <w:r>
              <w:rPr>
                <w:b w:val="0"/>
                <w:i w:val="0"/>
                <w:sz w:val="17"/>
              </w:rPr>
              <w:t>Mohandeseen (BR-MOH) - Sales Office</w:t>
            </w:r>
          </w:p>
        </w:tc>
        <w:tc>
          <w:tcPr>
            <w:tcW w:type="dxa" w:w="2494"/>
          </w:tcPr>
          <w:p>
            <w:pPr>
              <w:spacing w:after="0"/>
            </w:pPr>
            <w:r/>
            <w:r>
              <w:rPr>
                <w:b w:val="0"/>
                <w:i w:val="0"/>
                <w:sz w:val="17"/>
              </w:rPr>
              <w:t>SPR</w:t>
            </w:r>
          </w:p>
        </w:tc>
        <w:tc>
          <w:tcPr>
            <w:tcW w:type="dxa" w:w="4309"/>
          </w:tcPr>
          <w:p>
            <w:pPr>
              <w:spacing w:after="0"/>
            </w:pPr>
            <w:r/>
            <w:r>
              <w:rPr>
                <w:b w:val="0"/>
                <w:i w:val="0"/>
                <w:sz w:val="17"/>
              </w:rPr>
              <w:t>Key-account sales office, spare parts, service</w:t>
            </w:r>
          </w:p>
        </w:tc>
      </w:tr>
    </w:tbl>
    <w:p>
      <w:pPr>
        <w:spacing w:after="40"/>
      </w:pPr>
    </w:p>
    <w:p>
      <w:pPr>
        <w:pStyle w:val="Heading2"/>
      </w:pPr>
      <w:r>
        <w:t>5.2 How operations work</w:t>
      </w:r>
    </w:p>
    <w:p>
      <w:pPr>
        <w:pStyle w:val="ListBullet"/>
        <w:spacing w:after="40"/>
      </w:pPr>
      <w:r>
        <w:rPr>
          <w:b w:val="0"/>
          <w:i w:val="0"/>
        </w:rPr>
        <w:t xml:space="preserve">Every sales order and invoice carries the responsible </w:t>
      </w:r>
      <w:r>
        <w:rPr>
          <w:b/>
          <w:i w:val="0"/>
        </w:rPr>
        <w:t>branch</w:t>
      </w:r>
      <w:r>
        <w:rPr>
          <w:b w:val="0"/>
          <w:i w:val="0"/>
        </w:rPr>
        <w:t xml:space="preserve"> (analytic plan); the delivery is made from the product's </w:t>
      </w:r>
      <w:r>
        <w:rPr>
          <w:b/>
          <w:i w:val="0"/>
        </w:rPr>
        <w:t>home warehouse</w:t>
      </w:r>
      <w:r>
        <w:rPr>
          <w:b w:val="0"/>
          <w:i w:val="0"/>
        </w:rPr>
        <w:t xml:space="preserve"> (EQP, CON, SPR), so a Mohandeseen sale of consumables is shipped from CON.</w:t>
      </w:r>
    </w:p>
    <w:p>
      <w:pPr>
        <w:pStyle w:val="ListBullet"/>
        <w:spacing w:after="40"/>
      </w:pPr>
      <w:r>
        <w:rPr>
          <w:b w:val="0"/>
          <w:i w:val="0"/>
        </w:rPr>
        <w:t>Stock moves between warehouses are internal transfers: they change location, not company-wide quantity or valuation.</w:t>
      </w:r>
    </w:p>
    <w:p>
      <w:pPr>
        <w:pStyle w:val="ListBullet"/>
        <w:spacing w:after="40"/>
      </w:pPr>
      <w:r>
        <w:rPr>
          <w:b w:val="0"/>
          <w:i w:val="0"/>
        </w:rPr>
        <w:t>Retail cash receipts go to the branch cash safe journal (CSH1-3); bank receipts to CIB1/NBE1.</w:t>
      </w:r>
    </w:p>
    <w:p>
      <w:pPr>
        <w:pStyle w:val="ListBullet"/>
        <w:spacing w:after="40"/>
      </w:pPr>
      <w:r>
        <w:rPr>
          <w:b w:val="0"/>
          <w:i w:val="0"/>
        </w:rPr>
        <w:t>The Quarantine &amp; Returns warehouse (QRT) receives from all branches.</w:t>
      </w:r>
    </w:p>
    <w:p>
      <w:pPr>
        <w:pStyle w:val="Heading2"/>
      </w:pPr>
      <w:r>
        <w:t>5.3 Limitations of standard branch handling</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474"/>
        <w:gridCol w:w="3742"/>
        <w:gridCol w:w="3061"/>
        <w:gridCol w:w="1361"/>
      </w:tblGrid>
      <w:tr>
        <w:trPr>
          <w:tblHeader w:val="true"/>
        </w:trPr>
        <w:tc>
          <w:tcPr>
            <w:tcW w:type="dxa" w:w="1474"/>
            <w:shd w:val="clear" w:color="auto" w:fill="C8102E"/>
          </w:tcPr>
          <w:p>
            <w:r/>
            <w:r>
              <w:rPr>
                <w:b/>
                <w:color w:val="FFFFFF"/>
                <w:sz w:val="16"/>
              </w:rPr>
              <w:t>Topic</w:t>
            </w:r>
          </w:p>
        </w:tc>
        <w:tc>
          <w:tcPr>
            <w:tcW w:type="dxa" w:w="3742"/>
            <w:shd w:val="clear" w:color="auto" w:fill="C8102E"/>
          </w:tcPr>
          <w:p>
            <w:r/>
            <w:r>
              <w:rPr>
                <w:b/>
                <w:color w:val="FFFFFF"/>
                <w:sz w:val="16"/>
              </w:rPr>
              <w:t>Standard behaviour / limit</w:t>
            </w:r>
          </w:p>
        </w:tc>
        <w:tc>
          <w:tcPr>
            <w:tcW w:type="dxa" w:w="3061"/>
            <w:shd w:val="clear" w:color="auto" w:fill="C8102E"/>
          </w:tcPr>
          <w:p>
            <w:r/>
            <w:r>
              <w:rPr>
                <w:b/>
                <w:color w:val="FFFFFF"/>
                <w:sz w:val="16"/>
              </w:rPr>
              <w:t>Proposed handling</w:t>
            </w:r>
          </w:p>
        </w:tc>
        <w:tc>
          <w:tcPr>
            <w:tcW w:type="dxa" w:w="1361"/>
            <w:shd w:val="clear" w:color="auto" w:fill="C8102E"/>
          </w:tcPr>
          <w:p>
            <w:r/>
            <w:r>
              <w:rPr>
                <w:b/>
                <w:color w:val="FFFFFF"/>
                <w:sz w:val="16"/>
              </w:rPr>
              <w:t>Status</w:t>
            </w:r>
          </w:p>
        </w:tc>
      </w:tr>
      <w:tr>
        <w:trPr>
          <w:cantSplit w:val="true"/>
        </w:trPr>
        <w:tc>
          <w:tcPr>
            <w:tcW w:type="dxa" w:w="1474"/>
          </w:tcPr>
          <w:p>
            <w:pPr>
              <w:spacing w:after="0"/>
            </w:pPr>
            <w:r/>
            <w:r>
              <w:rPr>
                <w:b w:val="0"/>
                <w:i w:val="0"/>
                <w:sz w:val="16"/>
              </w:rPr>
              <w:t>Branch records</w:t>
            </w:r>
          </w:p>
        </w:tc>
        <w:tc>
          <w:tcPr>
            <w:tcW w:type="dxa" w:w="3742"/>
          </w:tcPr>
          <w:p>
            <w:pPr>
              <w:spacing w:after="0"/>
            </w:pPr>
            <w:r/>
            <w:r>
              <w:rPr>
                <w:b w:val="0"/>
                <w:i w:val="0"/>
                <w:sz w:val="16"/>
              </w:rPr>
              <w:t>Branch (child company) management exists in recent Odoo versions and is described as part of multi-company functionality; availability and plan/edition must be confirmed. Parent chart of accounts, currency and taxes are shared; journals can be branch-specific.</w:t>
            </w:r>
          </w:p>
        </w:tc>
        <w:tc>
          <w:tcPr>
            <w:tcW w:type="dxa" w:w="3061"/>
          </w:tcPr>
          <w:p>
            <w:pPr>
              <w:spacing w:after="0"/>
            </w:pPr>
            <w:r/>
            <w:r>
              <w:rPr>
                <w:b w:val="0"/>
                <w:i w:val="0"/>
                <w:sz w:val="16"/>
              </w:rPr>
              <w:t>If available: three branches under the parent. Otherwise analytic plan 'Branch' on lines.</w:t>
            </w:r>
          </w:p>
        </w:tc>
        <w:tc>
          <w:tcPr>
            <w:tcW w:type="dxa" w:w="1361"/>
          </w:tcPr>
          <w:p>
            <w:pPr>
              <w:spacing w:after="0"/>
            </w:pPr>
            <w:r/>
            <w:r>
              <w:rPr>
                <w:b w:val="0"/>
                <w:i w:val="0"/>
                <w:sz w:val="16"/>
              </w:rPr>
              <w:t>Verify</w:t>
            </w:r>
          </w:p>
        </w:tc>
      </w:tr>
      <w:tr>
        <w:trPr>
          <w:cantSplit w:val="true"/>
        </w:trPr>
        <w:tc>
          <w:tcPr>
            <w:tcW w:type="dxa" w:w="1474"/>
            <w:shd w:val="clear" w:color="auto" w:fill="F9FAFB"/>
          </w:tcPr>
          <w:p>
            <w:pPr>
              <w:spacing w:after="0"/>
            </w:pPr>
            <w:r/>
            <w:r>
              <w:rPr>
                <w:b w:val="0"/>
                <w:i w:val="0"/>
                <w:sz w:val="16"/>
              </w:rPr>
              <w:t>Branch P&amp;L</w:t>
            </w:r>
          </w:p>
        </w:tc>
        <w:tc>
          <w:tcPr>
            <w:tcW w:type="dxa" w:w="3742"/>
            <w:shd w:val="clear" w:color="auto" w:fill="F9FAFB"/>
          </w:tcPr>
          <w:p>
            <w:pPr>
              <w:spacing w:after="0"/>
            </w:pPr>
            <w:r/>
            <w:r>
              <w:rPr>
                <w:b w:val="0"/>
                <w:i w:val="0"/>
                <w:sz w:val="16"/>
              </w:rPr>
              <w:t>Analytic reporting filters by plan; balance sheet by branch is not natively separated when branches are analytic only</w:t>
            </w:r>
          </w:p>
        </w:tc>
        <w:tc>
          <w:tcPr>
            <w:tcW w:type="dxa" w:w="3061"/>
            <w:shd w:val="clear" w:color="auto" w:fill="F9FAFB"/>
          </w:tcPr>
          <w:p>
            <w:pPr>
              <w:spacing w:after="0"/>
            </w:pPr>
            <w:r/>
            <w:r>
              <w:rPr>
                <w:b w:val="0"/>
                <w:i w:val="0"/>
                <w:sz w:val="16"/>
              </w:rPr>
              <w:t>Management P&amp;L by branch via analytic; balance sheet at company level</w:t>
            </w:r>
          </w:p>
        </w:tc>
        <w:tc>
          <w:tcPr>
            <w:tcW w:type="dxa" w:w="1361"/>
            <w:shd w:val="clear" w:color="auto" w:fill="F9FAFB"/>
          </w:tcPr>
          <w:p>
            <w:pPr>
              <w:spacing w:after="0"/>
            </w:pPr>
            <w:r/>
            <w:r>
              <w:rPr>
                <w:b w:val="0"/>
                <w:i w:val="0"/>
                <w:sz w:val="16"/>
              </w:rPr>
              <w:t>Limitation documented</w:t>
            </w:r>
          </w:p>
        </w:tc>
      </w:tr>
      <w:tr>
        <w:trPr>
          <w:cantSplit w:val="true"/>
        </w:trPr>
        <w:tc>
          <w:tcPr>
            <w:tcW w:type="dxa" w:w="1474"/>
          </w:tcPr>
          <w:p>
            <w:pPr>
              <w:spacing w:after="0"/>
            </w:pPr>
            <w:r/>
            <w:r>
              <w:rPr>
                <w:b w:val="0"/>
                <w:i w:val="0"/>
                <w:sz w:val="16"/>
              </w:rPr>
              <w:t>Access control</w:t>
            </w:r>
          </w:p>
        </w:tc>
        <w:tc>
          <w:tcPr>
            <w:tcW w:type="dxa" w:w="3742"/>
          </w:tcPr>
          <w:p>
            <w:pPr>
              <w:spacing w:after="0"/>
            </w:pPr>
            <w:r/>
            <w:r>
              <w:rPr>
                <w:b w:val="0"/>
                <w:i w:val="0"/>
                <w:sz w:val="16"/>
              </w:rPr>
              <w:t>Record rules by company/branch exist; by warehouse or analytic branch require custom rules/groups</w:t>
            </w:r>
          </w:p>
        </w:tc>
        <w:tc>
          <w:tcPr>
            <w:tcW w:type="dxa" w:w="3061"/>
          </w:tcPr>
          <w:p>
            <w:pPr>
              <w:spacing w:after="0"/>
            </w:pPr>
            <w:r/>
            <w:r>
              <w:rPr>
                <w:b w:val="0"/>
                <w:i w:val="0"/>
                <w:sz w:val="16"/>
              </w:rPr>
              <w:t>Groups per warehouse; custom record rules (SEC-002)</w:t>
            </w:r>
          </w:p>
        </w:tc>
        <w:tc>
          <w:tcPr>
            <w:tcW w:type="dxa" w:w="1361"/>
          </w:tcPr>
          <w:p>
            <w:pPr>
              <w:spacing w:after="0"/>
            </w:pPr>
            <w:r/>
            <w:r>
              <w:rPr>
                <w:b w:val="0"/>
                <w:i w:val="0"/>
                <w:sz w:val="16"/>
              </w:rPr>
              <w:t>Customization (proposed)</w:t>
            </w:r>
          </w:p>
        </w:tc>
      </w:tr>
      <w:tr>
        <w:trPr>
          <w:cantSplit w:val="true"/>
        </w:trPr>
        <w:tc>
          <w:tcPr>
            <w:tcW w:type="dxa" w:w="1474"/>
            <w:shd w:val="clear" w:color="auto" w:fill="F9FAFB"/>
          </w:tcPr>
          <w:p>
            <w:pPr>
              <w:spacing w:after="0"/>
            </w:pPr>
            <w:r/>
            <w:r>
              <w:rPr>
                <w:b w:val="0"/>
                <w:i w:val="0"/>
                <w:sz w:val="16"/>
              </w:rPr>
              <w:t>Inter-branch stock</w:t>
            </w:r>
          </w:p>
        </w:tc>
        <w:tc>
          <w:tcPr>
            <w:tcW w:type="dxa" w:w="3742"/>
            <w:shd w:val="clear" w:color="auto" w:fill="F9FAFB"/>
          </w:tcPr>
          <w:p>
            <w:pPr>
              <w:spacing w:after="0"/>
            </w:pPr>
            <w:r/>
            <w:r>
              <w:rPr>
                <w:b w:val="0"/>
                <w:i w:val="0"/>
                <w:sz w:val="16"/>
              </w:rPr>
              <w:t>Warehouses belong to one company; transfers are internal</w:t>
            </w:r>
          </w:p>
        </w:tc>
        <w:tc>
          <w:tcPr>
            <w:tcW w:type="dxa" w:w="3061"/>
            <w:shd w:val="clear" w:color="auto" w:fill="F9FAFB"/>
          </w:tcPr>
          <w:p>
            <w:pPr>
              <w:spacing w:after="0"/>
            </w:pPr>
            <w:r/>
            <w:r>
              <w:rPr>
                <w:b w:val="0"/>
                <w:i w:val="0"/>
                <w:sz w:val="16"/>
              </w:rPr>
              <w:t>No inter-company invoices needed</w:t>
            </w:r>
          </w:p>
        </w:tc>
        <w:tc>
          <w:tcPr>
            <w:tcW w:type="dxa" w:w="1361"/>
            <w:shd w:val="clear" w:color="auto" w:fill="F9FAFB"/>
          </w:tcPr>
          <w:p>
            <w:pPr>
              <w:spacing w:after="0"/>
            </w:pPr>
            <w:r/>
            <w:r>
              <w:rPr>
                <w:b w:val="0"/>
                <w:i w:val="0"/>
                <w:sz w:val="16"/>
              </w:rPr>
              <w:t>Standard</w:t>
            </w:r>
          </w:p>
        </w:tc>
      </w:tr>
      <w:tr>
        <w:trPr>
          <w:cantSplit w:val="true"/>
        </w:trPr>
        <w:tc>
          <w:tcPr>
            <w:tcW w:type="dxa" w:w="1474"/>
          </w:tcPr>
          <w:p>
            <w:pPr>
              <w:spacing w:after="0"/>
            </w:pPr>
            <w:r/>
            <w:r>
              <w:rPr>
                <w:b w:val="0"/>
                <w:i w:val="0"/>
                <w:sz w:val="16"/>
              </w:rPr>
              <w:t>Branch numbering</w:t>
            </w:r>
          </w:p>
        </w:tc>
        <w:tc>
          <w:tcPr>
            <w:tcW w:type="dxa" w:w="3742"/>
          </w:tcPr>
          <w:p>
            <w:pPr>
              <w:spacing w:after="0"/>
            </w:pPr>
            <w:r/>
            <w:r>
              <w:rPr>
                <w:b w:val="0"/>
                <w:i w:val="0"/>
                <w:sz w:val="16"/>
              </w:rPr>
              <w:t>Sequences are per journal/company, not per branch</w:t>
            </w:r>
          </w:p>
        </w:tc>
        <w:tc>
          <w:tcPr>
            <w:tcW w:type="dxa" w:w="3061"/>
          </w:tcPr>
          <w:p>
            <w:pPr>
              <w:spacing w:after="0"/>
            </w:pPr>
            <w:r/>
            <w:r>
              <w:rPr>
                <w:b w:val="0"/>
                <w:i w:val="0"/>
                <w:sz w:val="16"/>
              </w:rPr>
              <w:t>Use branch-specific journals if required or accept shared sequence</w:t>
            </w:r>
          </w:p>
        </w:tc>
        <w:tc>
          <w:tcPr>
            <w:tcW w:type="dxa" w:w="1361"/>
          </w:tcPr>
          <w:p>
            <w:pPr>
              <w:spacing w:after="0"/>
            </w:pPr>
            <w:r/>
            <w:r>
              <w:rPr>
                <w:b w:val="0"/>
                <w:i w:val="0"/>
                <w:sz w:val="16"/>
              </w:rPr>
              <w:t>Decision pending</w:t>
            </w:r>
          </w:p>
        </w:tc>
      </w:tr>
      <w:tr>
        <w:trPr>
          <w:cantSplit w:val="true"/>
        </w:trPr>
        <w:tc>
          <w:tcPr>
            <w:tcW w:type="dxa" w:w="1474"/>
            <w:shd w:val="clear" w:color="auto" w:fill="F9FAFB"/>
          </w:tcPr>
          <w:p>
            <w:pPr>
              <w:spacing w:after="0"/>
            </w:pPr>
            <w:r/>
            <w:r>
              <w:rPr>
                <w:b w:val="0"/>
                <w:i w:val="0"/>
                <w:sz w:val="16"/>
              </w:rPr>
              <w:t>VAT registration</w:t>
            </w:r>
          </w:p>
        </w:tc>
        <w:tc>
          <w:tcPr>
            <w:tcW w:type="dxa" w:w="3742"/>
            <w:shd w:val="clear" w:color="auto" w:fill="F9FAFB"/>
          </w:tcPr>
          <w:p>
            <w:pPr>
              <w:spacing w:after="0"/>
            </w:pPr>
            <w:r/>
            <w:r>
              <w:rPr>
                <w:b w:val="0"/>
                <w:i w:val="0"/>
                <w:sz w:val="16"/>
              </w:rPr>
              <w:t>Branches may share or have their own VAT number</w:t>
            </w:r>
          </w:p>
        </w:tc>
        <w:tc>
          <w:tcPr>
            <w:tcW w:type="dxa" w:w="3061"/>
            <w:shd w:val="clear" w:color="auto" w:fill="F9FAFB"/>
          </w:tcPr>
          <w:p>
            <w:pPr>
              <w:spacing w:after="0"/>
            </w:pPr>
            <w:r/>
            <w:r>
              <w:rPr>
                <w:b w:val="0"/>
                <w:i w:val="0"/>
                <w:sz w:val="16"/>
              </w:rPr>
              <w:t>Share the parent's registration (assumption)</w:t>
            </w:r>
          </w:p>
        </w:tc>
        <w:tc>
          <w:tcPr>
            <w:tcW w:type="dxa" w:w="1361"/>
            <w:shd w:val="clear" w:color="auto" w:fill="F9FAFB"/>
          </w:tcPr>
          <w:p>
            <w:pPr>
              <w:spacing w:after="0"/>
            </w:pPr>
            <w:r/>
            <w:r>
              <w:rPr>
                <w:b w:val="0"/>
                <w:i w:val="0"/>
                <w:sz w:val="16"/>
              </w:rPr>
              <w:t>Confirm with tax advisor</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FFF7ED"/>
          </w:tcPr>
          <w:p>
            <w:r/>
            <w:r>
              <w:rPr>
                <w:b/>
                <w:color w:val="C8102E"/>
                <w:sz w:val="19"/>
              </w:rPr>
              <w:t xml:space="preserve">Decision.  </w:t>
            </w:r>
            <w:r>
              <w:rPr>
                <w:b w:val="0"/>
                <w:i w:val="0"/>
                <w:sz w:val="19"/>
              </w:rPr>
              <w:t>Three independent legal companies are deliberately NOT created: they would split the chart of accounts, require inter-company flows and complicate consolidation without a legal reason.</w:t>
            </w:r>
          </w:p>
        </w:tc>
      </w:tr>
    </w:tbl>
    <w:p>
      <w:pPr>
        <w:spacing w:after="40"/>
      </w:pPr>
    </w:p>
    <w:p>
      <w:pPr>
        <w:pStyle w:val="Heading1"/>
      </w:pPr>
      <w:r>
        <w:t>6. Warehouse routes and inventory design</w:t>
      </w:r>
    </w:p>
    <w:p>
      <w:pPr>
        <w:spacing w:after="60"/>
      </w:pPr>
      <w:r>
        <w:rPr>
          <w:b w:val="0"/>
          <w:i/>
          <w:color w:val="6B7280"/>
          <w:sz w:val="18"/>
        </w:rPr>
        <w:t>Section owner: Ahmed Mahmoud Mohamed</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814"/>
        <w:gridCol w:w="5443"/>
        <w:gridCol w:w="2381"/>
      </w:tblGrid>
      <w:tr>
        <w:trPr>
          <w:tblHeader w:val="true"/>
        </w:trPr>
        <w:tc>
          <w:tcPr>
            <w:tcW w:type="dxa" w:w="1814"/>
            <w:shd w:val="clear" w:color="auto" w:fill="C8102E"/>
          </w:tcPr>
          <w:p>
            <w:r/>
            <w:r>
              <w:rPr>
                <w:b/>
                <w:color w:val="FFFFFF"/>
                <w:sz w:val="17"/>
              </w:rPr>
              <w:t>Route</w:t>
            </w:r>
          </w:p>
        </w:tc>
        <w:tc>
          <w:tcPr>
            <w:tcW w:type="dxa" w:w="5443"/>
            <w:shd w:val="clear" w:color="auto" w:fill="C8102E"/>
          </w:tcPr>
          <w:p>
            <w:r/>
            <w:r>
              <w:rPr>
                <w:b/>
                <w:color w:val="FFFFFF"/>
                <w:sz w:val="17"/>
              </w:rPr>
              <w:t>Flow</w:t>
            </w:r>
          </w:p>
        </w:tc>
        <w:tc>
          <w:tcPr>
            <w:tcW w:type="dxa" w:w="2381"/>
            <w:shd w:val="clear" w:color="auto" w:fill="C8102E"/>
          </w:tcPr>
          <w:p>
            <w:r/>
            <w:r>
              <w:rPr>
                <w:b/>
                <w:color w:val="FFFFFF"/>
                <w:sz w:val="17"/>
              </w:rPr>
              <w:t>Warehouses</w:t>
            </w:r>
          </w:p>
        </w:tc>
      </w:tr>
      <w:tr>
        <w:trPr>
          <w:cantSplit w:val="true"/>
        </w:trPr>
        <w:tc>
          <w:tcPr>
            <w:tcW w:type="dxa" w:w="1814"/>
          </w:tcPr>
          <w:p>
            <w:pPr>
              <w:spacing w:after="0"/>
            </w:pPr>
            <w:r/>
            <w:r>
              <w:rPr>
                <w:b w:val="0"/>
                <w:i w:val="0"/>
                <w:sz w:val="17"/>
              </w:rPr>
              <w:t>Buy (2-step)</w:t>
            </w:r>
          </w:p>
        </w:tc>
        <w:tc>
          <w:tcPr>
            <w:tcW w:type="dxa" w:w="5443"/>
          </w:tcPr>
          <w:p>
            <w:pPr>
              <w:spacing w:after="0"/>
            </w:pPr>
            <w:r/>
            <w:r>
              <w:rPr>
                <w:b w:val="0"/>
                <w:i w:val="0"/>
                <w:sz w:val="17"/>
              </w:rPr>
              <w:t>Vendor -&gt; Input -&gt; (quality check) -&gt; Stock</w:t>
            </w:r>
          </w:p>
        </w:tc>
        <w:tc>
          <w:tcPr>
            <w:tcW w:type="dxa" w:w="2381"/>
          </w:tcPr>
          <w:p>
            <w:pPr>
              <w:spacing w:after="0"/>
            </w:pPr>
            <w:r/>
            <w:r>
              <w:rPr>
                <w:b w:val="0"/>
                <w:i w:val="0"/>
                <w:sz w:val="17"/>
              </w:rPr>
              <w:t>EQP, CON</w:t>
            </w:r>
          </w:p>
        </w:tc>
      </w:tr>
      <w:tr>
        <w:trPr>
          <w:cantSplit w:val="true"/>
        </w:trPr>
        <w:tc>
          <w:tcPr>
            <w:tcW w:type="dxa" w:w="1814"/>
            <w:shd w:val="clear" w:color="auto" w:fill="F9FAFB"/>
          </w:tcPr>
          <w:p>
            <w:pPr>
              <w:spacing w:after="0"/>
            </w:pPr>
            <w:r/>
            <w:r>
              <w:rPr>
                <w:b w:val="0"/>
                <w:i w:val="0"/>
                <w:sz w:val="17"/>
              </w:rPr>
              <w:t>Buy (1-step)</w:t>
            </w:r>
          </w:p>
        </w:tc>
        <w:tc>
          <w:tcPr>
            <w:tcW w:type="dxa" w:w="5443"/>
            <w:shd w:val="clear" w:color="auto" w:fill="F9FAFB"/>
          </w:tcPr>
          <w:p>
            <w:pPr>
              <w:spacing w:after="0"/>
            </w:pPr>
            <w:r/>
            <w:r>
              <w:rPr>
                <w:b w:val="0"/>
                <w:i w:val="0"/>
                <w:sz w:val="17"/>
              </w:rPr>
              <w:t>Vendor -&gt; Stock</w:t>
            </w:r>
          </w:p>
        </w:tc>
        <w:tc>
          <w:tcPr>
            <w:tcW w:type="dxa" w:w="2381"/>
            <w:shd w:val="clear" w:color="auto" w:fill="F9FAFB"/>
          </w:tcPr>
          <w:p>
            <w:pPr>
              <w:spacing w:after="0"/>
            </w:pPr>
            <w:r/>
            <w:r>
              <w:rPr>
                <w:b w:val="0"/>
                <w:i w:val="0"/>
                <w:sz w:val="17"/>
              </w:rPr>
              <w:t>SPR</w:t>
            </w:r>
          </w:p>
        </w:tc>
      </w:tr>
      <w:tr>
        <w:trPr>
          <w:cantSplit w:val="true"/>
        </w:trPr>
        <w:tc>
          <w:tcPr>
            <w:tcW w:type="dxa" w:w="1814"/>
          </w:tcPr>
          <w:p>
            <w:pPr>
              <w:spacing w:after="0"/>
            </w:pPr>
            <w:r/>
            <w:r>
              <w:rPr>
                <w:b w:val="0"/>
                <w:i w:val="0"/>
                <w:sz w:val="17"/>
              </w:rPr>
              <w:t>Deliver (2-step)</w:t>
            </w:r>
          </w:p>
        </w:tc>
        <w:tc>
          <w:tcPr>
            <w:tcW w:type="dxa" w:w="5443"/>
          </w:tcPr>
          <w:p>
            <w:pPr>
              <w:spacing w:after="0"/>
            </w:pPr>
            <w:r/>
            <w:r>
              <w:rPr>
                <w:b w:val="0"/>
                <w:i w:val="0"/>
                <w:sz w:val="17"/>
              </w:rPr>
              <w:t>Stock -&gt; Output (pick) -&gt; Customer (ship)</w:t>
            </w:r>
          </w:p>
        </w:tc>
        <w:tc>
          <w:tcPr>
            <w:tcW w:type="dxa" w:w="2381"/>
          </w:tcPr>
          <w:p>
            <w:pPr>
              <w:spacing w:after="0"/>
            </w:pPr>
            <w:r/>
            <w:r>
              <w:rPr>
                <w:b w:val="0"/>
                <w:i w:val="0"/>
                <w:sz w:val="17"/>
              </w:rPr>
              <w:t>EQP, CON</w:t>
            </w:r>
          </w:p>
        </w:tc>
      </w:tr>
      <w:tr>
        <w:trPr>
          <w:cantSplit w:val="true"/>
        </w:trPr>
        <w:tc>
          <w:tcPr>
            <w:tcW w:type="dxa" w:w="1814"/>
            <w:shd w:val="clear" w:color="auto" w:fill="F9FAFB"/>
          </w:tcPr>
          <w:p>
            <w:pPr>
              <w:spacing w:after="0"/>
            </w:pPr>
            <w:r/>
            <w:r>
              <w:rPr>
                <w:b w:val="0"/>
                <w:i w:val="0"/>
                <w:sz w:val="17"/>
              </w:rPr>
              <w:t>Deliver (1-step)</w:t>
            </w:r>
          </w:p>
        </w:tc>
        <w:tc>
          <w:tcPr>
            <w:tcW w:type="dxa" w:w="5443"/>
            <w:shd w:val="clear" w:color="auto" w:fill="F9FAFB"/>
          </w:tcPr>
          <w:p>
            <w:pPr>
              <w:spacing w:after="0"/>
            </w:pPr>
            <w:r/>
            <w:r>
              <w:rPr>
                <w:b w:val="0"/>
                <w:i w:val="0"/>
                <w:sz w:val="17"/>
              </w:rPr>
              <w:t>Stock -&gt; Customer</w:t>
            </w:r>
          </w:p>
        </w:tc>
        <w:tc>
          <w:tcPr>
            <w:tcW w:type="dxa" w:w="2381"/>
            <w:shd w:val="clear" w:color="auto" w:fill="F9FAFB"/>
          </w:tcPr>
          <w:p>
            <w:pPr>
              <w:spacing w:after="0"/>
            </w:pPr>
            <w:r/>
            <w:r>
              <w:rPr>
                <w:b w:val="0"/>
                <w:i w:val="0"/>
                <w:sz w:val="17"/>
              </w:rPr>
              <w:t>SPR</w:t>
            </w:r>
          </w:p>
        </w:tc>
      </w:tr>
      <w:tr>
        <w:trPr>
          <w:cantSplit w:val="true"/>
        </w:trPr>
        <w:tc>
          <w:tcPr>
            <w:tcW w:type="dxa" w:w="1814"/>
          </w:tcPr>
          <w:p>
            <w:pPr>
              <w:spacing w:after="0"/>
            </w:pPr>
            <w:r/>
            <w:r>
              <w:rPr>
                <w:b w:val="0"/>
                <w:i w:val="0"/>
                <w:sz w:val="17"/>
              </w:rPr>
              <w:t>Quarantine in</w:t>
            </w:r>
          </w:p>
        </w:tc>
        <w:tc>
          <w:tcPr>
            <w:tcW w:type="dxa" w:w="5443"/>
          </w:tcPr>
          <w:p>
            <w:pPr>
              <w:spacing w:after="0"/>
            </w:pPr>
            <w:r/>
            <w:r>
              <w:rPr>
                <w:b w:val="0"/>
                <w:i w:val="0"/>
                <w:sz w:val="17"/>
              </w:rPr>
              <w:t>Any warehouse Stock -&gt; QRT/Quarantine (internal transfer)</w:t>
            </w:r>
          </w:p>
        </w:tc>
        <w:tc>
          <w:tcPr>
            <w:tcW w:type="dxa" w:w="2381"/>
          </w:tcPr>
          <w:p>
            <w:pPr>
              <w:spacing w:after="0"/>
            </w:pPr>
            <w:r/>
            <w:r>
              <w:rPr>
                <w:b w:val="0"/>
                <w:i w:val="0"/>
                <w:sz w:val="17"/>
              </w:rPr>
              <w:t>All -&gt; QRT</w:t>
            </w:r>
          </w:p>
        </w:tc>
      </w:tr>
      <w:tr>
        <w:trPr>
          <w:cantSplit w:val="true"/>
        </w:trPr>
        <w:tc>
          <w:tcPr>
            <w:tcW w:type="dxa" w:w="1814"/>
            <w:shd w:val="clear" w:color="auto" w:fill="F9FAFB"/>
          </w:tcPr>
          <w:p>
            <w:pPr>
              <w:spacing w:after="0"/>
            </w:pPr>
            <w:r/>
            <w:r>
              <w:rPr>
                <w:b w:val="0"/>
                <w:i w:val="0"/>
                <w:sz w:val="17"/>
              </w:rPr>
              <w:t>Restock</w:t>
            </w:r>
          </w:p>
        </w:tc>
        <w:tc>
          <w:tcPr>
            <w:tcW w:type="dxa" w:w="5443"/>
            <w:shd w:val="clear" w:color="auto" w:fill="F9FAFB"/>
          </w:tcPr>
          <w:p>
            <w:pPr>
              <w:spacing w:after="0"/>
            </w:pPr>
            <w:r/>
            <w:r>
              <w:rPr>
                <w:b w:val="0"/>
                <w:i w:val="0"/>
                <w:sz w:val="17"/>
              </w:rPr>
              <w:t>QRT/Quarantine -&gt; home Stock (internal transfer)</w:t>
            </w:r>
          </w:p>
        </w:tc>
        <w:tc>
          <w:tcPr>
            <w:tcW w:type="dxa" w:w="2381"/>
            <w:shd w:val="clear" w:color="auto" w:fill="F9FAFB"/>
          </w:tcPr>
          <w:p>
            <w:pPr>
              <w:spacing w:after="0"/>
            </w:pPr>
            <w:r/>
            <w:r>
              <w:rPr>
                <w:b w:val="0"/>
                <w:i w:val="0"/>
                <w:sz w:val="17"/>
              </w:rPr>
              <w:t>QRT -&gt; EQP/CON/SPR</w:t>
            </w:r>
          </w:p>
        </w:tc>
      </w:tr>
      <w:tr>
        <w:trPr>
          <w:cantSplit w:val="true"/>
        </w:trPr>
        <w:tc>
          <w:tcPr>
            <w:tcW w:type="dxa" w:w="1814"/>
          </w:tcPr>
          <w:p>
            <w:pPr>
              <w:spacing w:after="0"/>
            </w:pPr>
            <w:r/>
            <w:r>
              <w:rPr>
                <w:b w:val="0"/>
                <w:i w:val="0"/>
                <w:sz w:val="17"/>
              </w:rPr>
              <w:t>Return to vendor</w:t>
            </w:r>
          </w:p>
        </w:tc>
        <w:tc>
          <w:tcPr>
            <w:tcW w:type="dxa" w:w="5443"/>
          </w:tcPr>
          <w:p>
            <w:pPr>
              <w:spacing w:after="0"/>
            </w:pPr>
            <w:r/>
            <w:r>
              <w:rPr>
                <w:b w:val="0"/>
                <w:i w:val="0"/>
                <w:sz w:val="17"/>
              </w:rPr>
              <w:t>QRT/Quarantine -&gt; Vendor</w:t>
            </w:r>
          </w:p>
        </w:tc>
        <w:tc>
          <w:tcPr>
            <w:tcW w:type="dxa" w:w="2381"/>
          </w:tcPr>
          <w:p>
            <w:pPr>
              <w:spacing w:after="0"/>
            </w:pPr>
            <w:r/>
            <w:r>
              <w:rPr>
                <w:b w:val="0"/>
                <w:i w:val="0"/>
                <w:sz w:val="17"/>
              </w:rPr>
              <w:t>QRT</w:t>
            </w:r>
          </w:p>
        </w:tc>
      </w:tr>
      <w:tr>
        <w:trPr>
          <w:cantSplit w:val="true"/>
        </w:trPr>
        <w:tc>
          <w:tcPr>
            <w:tcW w:type="dxa" w:w="1814"/>
            <w:shd w:val="clear" w:color="auto" w:fill="F9FAFB"/>
          </w:tcPr>
          <w:p>
            <w:pPr>
              <w:spacing w:after="0"/>
            </w:pPr>
            <w:r/>
            <w:r>
              <w:rPr>
                <w:b w:val="0"/>
                <w:i w:val="0"/>
                <w:sz w:val="17"/>
              </w:rPr>
              <w:t>Customer return</w:t>
            </w:r>
          </w:p>
        </w:tc>
        <w:tc>
          <w:tcPr>
            <w:tcW w:type="dxa" w:w="5443"/>
            <w:shd w:val="clear" w:color="auto" w:fill="F9FAFB"/>
          </w:tcPr>
          <w:p>
            <w:pPr>
              <w:spacing w:after="0"/>
            </w:pPr>
            <w:r/>
            <w:r>
              <w:rPr>
                <w:b w:val="0"/>
                <w:i w:val="0"/>
                <w:sz w:val="17"/>
              </w:rPr>
              <w:t>Customer -&gt; QRT/Quarantine</w:t>
            </w:r>
          </w:p>
        </w:tc>
        <w:tc>
          <w:tcPr>
            <w:tcW w:type="dxa" w:w="2381"/>
            <w:shd w:val="clear" w:color="auto" w:fill="F9FAFB"/>
          </w:tcPr>
          <w:p>
            <w:pPr>
              <w:spacing w:after="0"/>
            </w:pPr>
            <w:r/>
            <w:r>
              <w:rPr>
                <w:b w:val="0"/>
                <w:i w:val="0"/>
                <w:sz w:val="17"/>
              </w:rPr>
              <w:t>QRT</w:t>
            </w:r>
          </w:p>
        </w:tc>
      </w:tr>
      <w:tr>
        <w:trPr>
          <w:cantSplit w:val="true"/>
        </w:trPr>
        <w:tc>
          <w:tcPr>
            <w:tcW w:type="dxa" w:w="1814"/>
          </w:tcPr>
          <w:p>
            <w:pPr>
              <w:spacing w:after="0"/>
            </w:pPr>
            <w:r/>
            <w:r>
              <w:rPr>
                <w:b w:val="0"/>
                <w:i w:val="0"/>
                <w:sz w:val="17"/>
              </w:rPr>
              <w:t>Scrap</w:t>
            </w:r>
          </w:p>
        </w:tc>
        <w:tc>
          <w:tcPr>
            <w:tcW w:type="dxa" w:w="5443"/>
          </w:tcPr>
          <w:p>
            <w:pPr>
              <w:spacing w:after="0"/>
            </w:pPr>
            <w:r/>
            <w:r>
              <w:rPr>
                <w:b w:val="0"/>
                <w:i w:val="0"/>
                <w:sz w:val="17"/>
              </w:rPr>
              <w:t>QRT (or Stock) -&gt; Virtual/Scrap (reason)</w:t>
            </w:r>
          </w:p>
        </w:tc>
        <w:tc>
          <w:tcPr>
            <w:tcW w:type="dxa" w:w="2381"/>
          </w:tcPr>
          <w:p>
            <w:pPr>
              <w:spacing w:after="0"/>
            </w:pPr>
            <w:r/>
            <w:r>
              <w:rPr>
                <w:b w:val="0"/>
                <w:i w:val="0"/>
                <w:sz w:val="17"/>
              </w:rPr>
              <w:t>QRT</w:t>
            </w:r>
          </w:p>
        </w:tc>
      </w:tr>
    </w:tbl>
    <w:p>
      <w:pPr>
        <w:spacing w:after="40"/>
      </w:pPr>
    </w:p>
    <w:p>
      <w:pPr>
        <w:pStyle w:val="ListBullet"/>
        <w:spacing w:after="40"/>
      </w:pPr>
      <w:r>
        <w:rPr>
          <w:b/>
          <w:i w:val="0"/>
        </w:rPr>
        <w:t>Reordering rules:</w:t>
      </w:r>
      <w:r>
        <w:rPr>
          <w:b w:val="0"/>
          <w:i w:val="0"/>
        </w:rPr>
        <w:t xml:space="preserve"> min/max per product at its home warehouse; vendor lead times; scheduler daily (weekly in the simulation).</w:t>
      </w:r>
    </w:p>
    <w:p>
      <w:pPr>
        <w:pStyle w:val="ListBullet"/>
        <w:spacing w:after="40"/>
      </w:pPr>
      <w:r>
        <w:rPr>
          <w:b/>
          <w:i w:val="0"/>
        </w:rPr>
        <w:t>FEFO:</w:t>
      </w:r>
      <w:r>
        <w:rPr>
          <w:b w:val="0"/>
          <w:i w:val="0"/>
        </w:rPr>
        <w:t xml:space="preserve"> removal strategy on category 'Medical Consumables'; picking excludes lots under 60 days to expiry through quarantine isolation.</w:t>
      </w:r>
    </w:p>
    <w:p>
      <w:pPr>
        <w:pStyle w:val="ListBullet"/>
        <w:spacing w:after="40"/>
      </w:pPr>
      <w:r>
        <w:rPr>
          <w:b/>
          <w:i w:val="0"/>
        </w:rPr>
        <w:t>Putaway:</w:t>
      </w:r>
      <w:r>
        <w:rPr>
          <w:b w:val="0"/>
          <w:i w:val="0"/>
        </w:rPr>
        <w:t xml:space="preserve"> Input -&gt; Stock by category; serial products to EQP/Stock.</w:t>
      </w:r>
    </w:p>
    <w:p>
      <w:pPr>
        <w:pStyle w:val="ListBullet"/>
        <w:spacing w:after="40"/>
      </w:pPr>
      <w:r>
        <w:rPr>
          <w:b/>
          <w:i w:val="0"/>
        </w:rPr>
        <w:t>Inventory controls:</w:t>
      </w:r>
      <w:r>
        <w:rPr>
          <w:b w:val="0"/>
          <w:i w:val="0"/>
        </w:rPr>
        <w:t xml:space="preserve"> negative stock off; counts quarterly (ABC) with monthly cycle counts for consumables; adjustments through account 540100.</w:t>
      </w:r>
    </w:p>
    <w:p>
      <w:pPr>
        <w:pStyle w:val="Heading1"/>
      </w:pPr>
      <w:r>
        <w:t>7. Security model</w:t>
      </w:r>
    </w:p>
    <w:p>
      <w:pPr>
        <w:spacing w:after="60"/>
      </w:pPr>
      <w:r>
        <w:rPr>
          <w:b w:val="0"/>
          <w:i/>
          <w:color w:val="6B7280"/>
          <w:sz w:val="18"/>
        </w:rPr>
        <w:t>Section owner: Mohamed Mahmoud Abdel Bary</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814"/>
        <w:gridCol w:w="5896"/>
        <w:gridCol w:w="1928"/>
      </w:tblGrid>
      <w:tr>
        <w:trPr>
          <w:tblHeader w:val="true"/>
        </w:trPr>
        <w:tc>
          <w:tcPr>
            <w:tcW w:type="dxa" w:w="1814"/>
            <w:shd w:val="clear" w:color="auto" w:fill="C8102E"/>
          </w:tcPr>
          <w:p>
            <w:r/>
            <w:r>
              <w:rPr>
                <w:b/>
                <w:color w:val="FFFFFF"/>
                <w:sz w:val="17"/>
              </w:rPr>
              <w:t>Layer</w:t>
            </w:r>
          </w:p>
        </w:tc>
        <w:tc>
          <w:tcPr>
            <w:tcW w:type="dxa" w:w="5896"/>
            <w:shd w:val="clear" w:color="auto" w:fill="C8102E"/>
          </w:tcPr>
          <w:p>
            <w:r/>
            <w:r>
              <w:rPr>
                <w:b/>
                <w:color w:val="FFFFFF"/>
                <w:sz w:val="17"/>
              </w:rPr>
              <w:t>Design</w:t>
            </w:r>
          </w:p>
        </w:tc>
        <w:tc>
          <w:tcPr>
            <w:tcW w:type="dxa" w:w="1928"/>
            <w:shd w:val="clear" w:color="auto" w:fill="C8102E"/>
          </w:tcPr>
          <w:p>
            <w:r/>
            <w:r>
              <w:rPr>
                <w:b/>
                <w:color w:val="FFFFFF"/>
                <w:sz w:val="17"/>
              </w:rPr>
              <w:t>Class</w:t>
            </w:r>
          </w:p>
        </w:tc>
      </w:tr>
      <w:tr>
        <w:trPr>
          <w:cantSplit w:val="true"/>
        </w:trPr>
        <w:tc>
          <w:tcPr>
            <w:tcW w:type="dxa" w:w="1814"/>
          </w:tcPr>
          <w:p>
            <w:pPr>
              <w:spacing w:after="0"/>
            </w:pPr>
            <w:r/>
            <w:r>
              <w:rPr>
                <w:b w:val="0"/>
                <w:i w:val="0"/>
                <w:sz w:val="17"/>
              </w:rPr>
              <w:t>Authentication</w:t>
            </w:r>
          </w:p>
        </w:tc>
        <w:tc>
          <w:tcPr>
            <w:tcW w:type="dxa" w:w="5896"/>
          </w:tcPr>
          <w:p>
            <w:pPr>
              <w:spacing w:after="0"/>
            </w:pPr>
            <w:r/>
            <w:r>
              <w:rPr>
                <w:b w:val="0"/>
                <w:i w:val="0"/>
                <w:sz w:val="17"/>
              </w:rPr>
              <w:t>Named users, strong passwords, MFA for administrators; no shared accounts</w:t>
            </w:r>
          </w:p>
        </w:tc>
        <w:tc>
          <w:tcPr>
            <w:tcW w:type="dxa" w:w="1928"/>
          </w:tcPr>
          <w:p>
            <w:pPr>
              <w:spacing w:after="0"/>
            </w:pPr>
            <w:r/>
            <w:r>
              <w:rPr>
                <w:b w:val="0"/>
                <w:i w:val="0"/>
                <w:sz w:val="17"/>
              </w:rPr>
              <w:t>Standard</w:t>
            </w:r>
          </w:p>
        </w:tc>
      </w:tr>
      <w:tr>
        <w:trPr>
          <w:cantSplit w:val="true"/>
        </w:trPr>
        <w:tc>
          <w:tcPr>
            <w:tcW w:type="dxa" w:w="1814"/>
            <w:shd w:val="clear" w:color="auto" w:fill="F9FAFB"/>
          </w:tcPr>
          <w:p>
            <w:pPr>
              <w:spacing w:after="0"/>
            </w:pPr>
            <w:r/>
            <w:r>
              <w:rPr>
                <w:b w:val="0"/>
                <w:i w:val="0"/>
                <w:sz w:val="17"/>
              </w:rPr>
              <w:t>Groups</w:t>
            </w:r>
          </w:p>
        </w:tc>
        <w:tc>
          <w:tcPr>
            <w:tcW w:type="dxa" w:w="5896"/>
            <w:shd w:val="clear" w:color="auto" w:fill="F9FAFB"/>
          </w:tcPr>
          <w:p>
            <w:pPr>
              <w:spacing w:after="0"/>
            </w:pPr>
            <w:r/>
            <w:r>
              <w:rPr>
                <w:b w:val="0"/>
                <w:i w:val="0"/>
                <w:sz w:val="17"/>
              </w:rPr>
              <w:t>Sales, Purchase, Inventory, Quality (custom), Accounting, Administration; see BDC 6</w:t>
            </w:r>
          </w:p>
        </w:tc>
        <w:tc>
          <w:tcPr>
            <w:tcW w:type="dxa" w:w="1928"/>
            <w:shd w:val="clear" w:color="auto" w:fill="F9FAFB"/>
          </w:tcPr>
          <w:p>
            <w:pPr>
              <w:spacing w:after="0"/>
            </w:pPr>
            <w:r/>
            <w:r>
              <w:rPr>
                <w:b w:val="0"/>
                <w:i w:val="0"/>
                <w:sz w:val="17"/>
              </w:rPr>
              <w:t>Standard (config)</w:t>
            </w:r>
          </w:p>
        </w:tc>
      </w:tr>
      <w:tr>
        <w:trPr>
          <w:cantSplit w:val="true"/>
        </w:trPr>
        <w:tc>
          <w:tcPr>
            <w:tcW w:type="dxa" w:w="1814"/>
          </w:tcPr>
          <w:p>
            <w:pPr>
              <w:spacing w:after="0"/>
            </w:pPr>
            <w:r/>
            <w:r>
              <w:rPr>
                <w:b w:val="0"/>
                <w:i w:val="0"/>
                <w:sz w:val="17"/>
              </w:rPr>
              <w:t>Record rules</w:t>
            </w:r>
          </w:p>
        </w:tc>
        <w:tc>
          <w:tcPr>
            <w:tcW w:type="dxa" w:w="5896"/>
          </w:tcPr>
          <w:p>
            <w:pPr>
              <w:spacing w:after="0"/>
            </w:pPr>
            <w:r/>
            <w:r>
              <w:rPr>
                <w:b w:val="0"/>
                <w:i w:val="0"/>
                <w:sz w:val="17"/>
              </w:rPr>
              <w:t>Own-branch/own-warehouse visibility</w:t>
            </w:r>
          </w:p>
        </w:tc>
        <w:tc>
          <w:tcPr>
            <w:tcW w:type="dxa" w:w="1928"/>
          </w:tcPr>
          <w:p>
            <w:pPr>
              <w:spacing w:after="0"/>
            </w:pPr>
            <w:r/>
            <w:r>
              <w:rPr>
                <w:b w:val="0"/>
                <w:i w:val="0"/>
                <w:sz w:val="17"/>
              </w:rPr>
              <w:t>Customization (proposed)</w:t>
            </w:r>
          </w:p>
        </w:tc>
      </w:tr>
      <w:tr>
        <w:trPr>
          <w:cantSplit w:val="true"/>
        </w:trPr>
        <w:tc>
          <w:tcPr>
            <w:tcW w:type="dxa" w:w="1814"/>
            <w:shd w:val="clear" w:color="auto" w:fill="F9FAFB"/>
          </w:tcPr>
          <w:p>
            <w:pPr>
              <w:spacing w:after="0"/>
            </w:pPr>
            <w:r/>
            <w:r>
              <w:rPr>
                <w:b w:val="0"/>
                <w:i w:val="0"/>
                <w:sz w:val="17"/>
              </w:rPr>
              <w:t>Approvals</w:t>
            </w:r>
          </w:p>
        </w:tc>
        <w:tc>
          <w:tcPr>
            <w:tcW w:type="dxa" w:w="5896"/>
            <w:shd w:val="clear" w:color="auto" w:fill="F9FAFB"/>
          </w:tcPr>
          <w:p>
            <w:pPr>
              <w:spacing w:after="0"/>
            </w:pPr>
            <w:r/>
            <w:r>
              <w:rPr>
                <w:b w:val="0"/>
                <w:i w:val="0"/>
                <w:sz w:val="17"/>
              </w:rPr>
              <w:t>PO &gt; EGP 250k (double validation); quotation &gt; EGP 500k; payment approval by Finance Manager</w:t>
            </w:r>
          </w:p>
        </w:tc>
        <w:tc>
          <w:tcPr>
            <w:tcW w:type="dxa" w:w="1928"/>
            <w:shd w:val="clear" w:color="auto" w:fill="F9FAFB"/>
          </w:tcPr>
          <w:p>
            <w:pPr>
              <w:spacing w:after="0"/>
            </w:pPr>
            <w:r/>
            <w:r>
              <w:rPr>
                <w:b w:val="0"/>
                <w:i w:val="0"/>
                <w:sz w:val="17"/>
              </w:rPr>
              <w:t>Standard + Studio/custom</w:t>
            </w:r>
          </w:p>
        </w:tc>
      </w:tr>
      <w:tr>
        <w:trPr>
          <w:cantSplit w:val="true"/>
        </w:trPr>
        <w:tc>
          <w:tcPr>
            <w:tcW w:type="dxa" w:w="1814"/>
          </w:tcPr>
          <w:p>
            <w:pPr>
              <w:spacing w:after="0"/>
            </w:pPr>
            <w:r/>
            <w:r>
              <w:rPr>
                <w:b w:val="0"/>
                <w:i w:val="0"/>
                <w:sz w:val="17"/>
              </w:rPr>
              <w:t>Segregation of duties</w:t>
            </w:r>
          </w:p>
        </w:tc>
        <w:tc>
          <w:tcPr>
            <w:tcW w:type="dxa" w:w="5896"/>
          </w:tcPr>
          <w:p>
            <w:pPr>
              <w:spacing w:after="0"/>
            </w:pPr>
            <w:r/>
            <w:r>
              <w:rPr>
                <w:b w:val="0"/>
                <w:i w:val="0"/>
                <w:sz w:val="17"/>
              </w:rPr>
              <w:t>Different users create vendor, approve bill, release payment</w:t>
            </w:r>
          </w:p>
        </w:tc>
        <w:tc>
          <w:tcPr>
            <w:tcW w:type="dxa" w:w="1928"/>
          </w:tcPr>
          <w:p>
            <w:pPr>
              <w:spacing w:after="0"/>
            </w:pPr>
            <w:r/>
            <w:r>
              <w:rPr>
                <w:b w:val="0"/>
                <w:i w:val="0"/>
                <w:sz w:val="17"/>
              </w:rPr>
              <w:t>Custom rule (proposed)</w:t>
            </w:r>
          </w:p>
        </w:tc>
      </w:tr>
      <w:tr>
        <w:trPr>
          <w:cantSplit w:val="true"/>
        </w:trPr>
        <w:tc>
          <w:tcPr>
            <w:tcW w:type="dxa" w:w="1814"/>
            <w:shd w:val="clear" w:color="auto" w:fill="F9FAFB"/>
          </w:tcPr>
          <w:p>
            <w:pPr>
              <w:spacing w:after="0"/>
            </w:pPr>
            <w:r/>
            <w:r>
              <w:rPr>
                <w:b w:val="0"/>
                <w:i w:val="0"/>
                <w:sz w:val="17"/>
              </w:rPr>
              <w:t>Audit trail</w:t>
            </w:r>
          </w:p>
        </w:tc>
        <w:tc>
          <w:tcPr>
            <w:tcW w:type="dxa" w:w="5896"/>
            <w:shd w:val="clear" w:color="auto" w:fill="F9FAFB"/>
          </w:tcPr>
          <w:p>
            <w:pPr>
              <w:spacing w:after="0"/>
            </w:pPr>
            <w:r/>
            <w:r>
              <w:rPr>
                <w:b w:val="0"/>
                <w:i w:val="0"/>
                <w:sz w:val="17"/>
              </w:rPr>
              <w:t>Tracked fields (prices, credit limits, terms); chatter; access logs</w:t>
            </w:r>
          </w:p>
        </w:tc>
        <w:tc>
          <w:tcPr>
            <w:tcW w:type="dxa" w:w="1928"/>
            <w:shd w:val="clear" w:color="auto" w:fill="F9FAFB"/>
          </w:tcPr>
          <w:p>
            <w:pPr>
              <w:spacing w:after="0"/>
            </w:pPr>
            <w:r/>
            <w:r>
              <w:rPr>
                <w:b w:val="0"/>
                <w:i w:val="0"/>
                <w:sz w:val="17"/>
              </w:rPr>
              <w:t>Standard</w:t>
            </w:r>
          </w:p>
        </w:tc>
      </w:tr>
      <w:tr>
        <w:trPr>
          <w:cantSplit w:val="true"/>
        </w:trPr>
        <w:tc>
          <w:tcPr>
            <w:tcW w:type="dxa" w:w="1814"/>
          </w:tcPr>
          <w:p>
            <w:pPr>
              <w:spacing w:after="0"/>
            </w:pPr>
            <w:r/>
            <w:r>
              <w:rPr>
                <w:b w:val="0"/>
                <w:i w:val="0"/>
                <w:sz w:val="17"/>
              </w:rPr>
              <w:t>Data protection</w:t>
            </w:r>
          </w:p>
        </w:tc>
        <w:tc>
          <w:tcPr>
            <w:tcW w:type="dxa" w:w="5896"/>
          </w:tcPr>
          <w:p>
            <w:pPr>
              <w:spacing w:after="0"/>
            </w:pPr>
            <w:r/>
            <w:r>
              <w:rPr>
                <w:b w:val="0"/>
                <w:i w:val="0"/>
                <w:sz w:val="17"/>
              </w:rPr>
              <w:t>Backups encrypted; test data masked; no credentials in documents</w:t>
            </w:r>
          </w:p>
        </w:tc>
        <w:tc>
          <w:tcPr>
            <w:tcW w:type="dxa" w:w="1928"/>
          </w:tcPr>
          <w:p>
            <w:pPr>
              <w:spacing w:after="0"/>
            </w:pPr>
            <w:r/>
            <w:r>
              <w:rPr>
                <w:b w:val="0"/>
                <w:i w:val="0"/>
                <w:sz w:val="17"/>
              </w:rPr>
              <w:t>Manual procedure</w:t>
            </w:r>
          </w:p>
        </w:tc>
      </w:tr>
    </w:tbl>
    <w:p>
      <w:pPr>
        <w:spacing w:after="40"/>
      </w:pPr>
    </w:p>
    <w:p>
      <w:pPr>
        <w:pStyle w:val="Heading1"/>
      </w:pPr>
      <w:r>
        <w:t>8. Process designs (six workflow diagrams)</w:t>
      </w:r>
    </w:p>
    <w:p>
      <w:pPr>
        <w:spacing w:after="60"/>
      </w:pPr>
      <w:r>
        <w:rPr>
          <w:b w:val="0"/>
          <w:i/>
          <w:color w:val="6B7280"/>
          <w:sz w:val="18"/>
        </w:rPr>
        <w:t>Section owner: Mohamed Mahmoud Abdel Bary</w:t>
      </w:r>
    </w:p>
    <w:p>
      <w:pPr>
        <w:pStyle w:val="Heading2"/>
      </w:pPr>
      <w:r>
        <w:t>8.1 Procure-to-Pay</w:t>
      </w:r>
    </w:p>
    <w:p>
      <w:pPr>
        <w:jc w:val="center"/>
      </w:pPr>
      <w:r>
        <w:drawing>
          <wp:inline xmlns:a="http://schemas.openxmlformats.org/drawingml/2006/main" xmlns:pic="http://schemas.openxmlformats.org/drawingml/2006/picture">
            <wp:extent cx="6120000" cy="3813231"/>
            <wp:docPr id="3" name="Picture 3"/>
            <wp:cNvGraphicFramePr>
              <a:graphicFrameLocks noChangeAspect="1"/>
            </wp:cNvGraphicFramePr>
            <a:graphic>
              <a:graphicData uri="http://schemas.openxmlformats.org/drawingml/2006/picture">
                <pic:pic>
                  <pic:nvPicPr>
                    <pic:cNvPr id="0" name="p2p.png"/>
                    <pic:cNvPicPr/>
                  </pic:nvPicPr>
                  <pic:blipFill>
                    <a:blip r:embed="rId13"/>
                    <a:stretch>
                      <a:fillRect/>
                    </a:stretch>
                  </pic:blipFill>
                  <pic:spPr>
                    <a:xfrm>
                      <a:off x="0" y="0"/>
                      <a:ext cx="6120000" cy="3813231"/>
                    </a:xfrm>
                    <a:prstGeom prst="rect"/>
                  </pic:spPr>
                </pic:pic>
              </a:graphicData>
            </a:graphic>
          </wp:inline>
        </w:drawing>
      </w:r>
    </w:p>
    <w:p>
      <w:pPr>
        <w:jc w:val="center"/>
      </w:pPr>
      <w:r>
        <w:rPr>
          <w:i/>
          <w:color w:val="6B7280"/>
          <w:sz w:val="17"/>
        </w:rPr>
        <w:t>Figure 3 - Procure-to-Pay</w:t>
      </w:r>
    </w:p>
    <w:p>
      <w:r>
        <w:rPr>
          <w:b w:val="0"/>
          <w:i w:val="0"/>
        </w:rPr>
        <w:t>Replenishment starts from reordering rules or a manual request. Orders above EGP 250,000 need approval. Bills are matched to received quantities; failed receipts return to the vendor through quarantine with a debit note. Related: PUR-001..007, ACC-002, ACC-003.</w:t>
      </w:r>
    </w:p>
    <w:p>
      <w:pPr>
        <w:pStyle w:val="Heading2"/>
      </w:pPr>
      <w:r>
        <w:t>8.2 Order-to-Cash</w:t>
      </w:r>
    </w:p>
    <w:p>
      <w:pPr>
        <w:jc w:val="center"/>
      </w:pPr>
      <w:r>
        <w:drawing>
          <wp:inline xmlns:a="http://schemas.openxmlformats.org/drawingml/2006/main" xmlns:pic="http://schemas.openxmlformats.org/drawingml/2006/picture">
            <wp:extent cx="6120000" cy="3813231"/>
            <wp:docPr id="4" name="Picture 4"/>
            <wp:cNvGraphicFramePr>
              <a:graphicFrameLocks noChangeAspect="1"/>
            </wp:cNvGraphicFramePr>
            <a:graphic>
              <a:graphicData uri="http://schemas.openxmlformats.org/drawingml/2006/picture">
                <pic:pic>
                  <pic:nvPicPr>
                    <pic:cNvPr id="0" name="o2c.png"/>
                    <pic:cNvPicPr/>
                  </pic:nvPicPr>
                  <pic:blipFill>
                    <a:blip r:embed="rId14"/>
                    <a:stretch>
                      <a:fillRect/>
                    </a:stretch>
                  </pic:blipFill>
                  <pic:spPr>
                    <a:xfrm>
                      <a:off x="0" y="0"/>
                      <a:ext cx="6120000" cy="3813231"/>
                    </a:xfrm>
                    <a:prstGeom prst="rect"/>
                  </pic:spPr>
                </pic:pic>
              </a:graphicData>
            </a:graphic>
          </wp:inline>
        </w:drawing>
      </w:r>
    </w:p>
    <w:p>
      <w:pPr>
        <w:jc w:val="center"/>
      </w:pPr>
      <w:r>
        <w:rPr>
          <w:i/>
          <w:color w:val="6B7280"/>
          <w:sz w:val="17"/>
        </w:rPr>
        <w:t>Figure 4 - Order-to-Cash</w:t>
      </w:r>
    </w:p>
    <w:p>
      <w:r>
        <w:rPr>
          <w:b w:val="0"/>
          <w:i w:val="0"/>
        </w:rPr>
        <w:t>Credit exposure is checked at confirmation; delivery reserves FEFO lots or serials; the invoice posts revenue, VAT and COGS; returns are credited and inspected. Related: SAL-001..009, ACC-001, ACC-004.</w:t>
      </w:r>
    </w:p>
    <w:p>
      <w:pPr>
        <w:pStyle w:val="Heading2"/>
      </w:pPr>
      <w:r>
        <w:t>8.3 Inventory Receipt and Putaway</w:t>
      </w:r>
    </w:p>
    <w:p>
      <w:pPr>
        <w:jc w:val="center"/>
      </w:pPr>
      <w:r>
        <w:drawing>
          <wp:inline xmlns:a="http://schemas.openxmlformats.org/drawingml/2006/main" xmlns:pic="http://schemas.openxmlformats.org/drawingml/2006/picture">
            <wp:extent cx="6120000" cy="2730462"/>
            <wp:docPr id="5" name="Picture 5"/>
            <wp:cNvGraphicFramePr>
              <a:graphicFrameLocks noChangeAspect="1"/>
            </wp:cNvGraphicFramePr>
            <a:graphic>
              <a:graphicData uri="http://schemas.openxmlformats.org/drawingml/2006/picture">
                <pic:pic>
                  <pic:nvPicPr>
                    <pic:cNvPr id="0" name="receipt.png"/>
                    <pic:cNvPicPr/>
                  </pic:nvPicPr>
                  <pic:blipFill>
                    <a:blip r:embed="rId15"/>
                    <a:stretch>
                      <a:fillRect/>
                    </a:stretch>
                  </pic:blipFill>
                  <pic:spPr>
                    <a:xfrm>
                      <a:off x="0" y="0"/>
                      <a:ext cx="6120000" cy="2730462"/>
                    </a:xfrm>
                    <a:prstGeom prst="rect"/>
                  </pic:spPr>
                </pic:pic>
              </a:graphicData>
            </a:graphic>
          </wp:inline>
        </w:drawing>
      </w:r>
    </w:p>
    <w:p>
      <w:pPr>
        <w:jc w:val="center"/>
      </w:pPr>
      <w:r>
        <w:rPr>
          <w:i/>
          <w:color w:val="6B7280"/>
          <w:sz w:val="17"/>
        </w:rPr>
        <w:t>Figure 5 - Inventory Receipt and Putaway</w:t>
      </w:r>
    </w:p>
    <w:p>
      <w:r>
        <w:rPr>
          <w:b w:val="0"/>
          <w:i w:val="0"/>
        </w:rPr>
        <w:t>Receipts enter an Input location; lot/serial and expiry are mandatory; quality check decides putaway or quarantine. Related: INV-001..005, PUR-007.</w:t>
      </w:r>
    </w:p>
    <w:p>
      <w:pPr>
        <w:pStyle w:val="Heading2"/>
      </w:pPr>
      <w:r>
        <w:t>8.4 Internal Stock Transfers</w:t>
      </w:r>
    </w:p>
    <w:p>
      <w:pPr>
        <w:jc w:val="center"/>
      </w:pPr>
      <w:r>
        <w:drawing>
          <wp:inline xmlns:a="http://schemas.openxmlformats.org/drawingml/2006/main" xmlns:pic="http://schemas.openxmlformats.org/drawingml/2006/picture">
            <wp:extent cx="6120000" cy="2730462"/>
            <wp:docPr id="6" name="Picture 6"/>
            <wp:cNvGraphicFramePr>
              <a:graphicFrameLocks noChangeAspect="1"/>
            </wp:cNvGraphicFramePr>
            <a:graphic>
              <a:graphicData uri="http://schemas.openxmlformats.org/drawingml/2006/picture">
                <pic:pic>
                  <pic:nvPicPr>
                    <pic:cNvPr id="0" name="transfer.png"/>
                    <pic:cNvPicPr/>
                  </pic:nvPicPr>
                  <pic:blipFill>
                    <a:blip r:embed="rId16"/>
                    <a:stretch>
                      <a:fillRect/>
                    </a:stretch>
                  </pic:blipFill>
                  <pic:spPr>
                    <a:xfrm>
                      <a:off x="0" y="0"/>
                      <a:ext cx="6120000" cy="2730462"/>
                    </a:xfrm>
                    <a:prstGeom prst="rect"/>
                  </pic:spPr>
                </pic:pic>
              </a:graphicData>
            </a:graphic>
          </wp:inline>
        </w:drawing>
      </w:r>
    </w:p>
    <w:p>
      <w:pPr>
        <w:jc w:val="center"/>
      </w:pPr>
      <w:r>
        <w:rPr>
          <w:i/>
          <w:color w:val="6B7280"/>
          <w:sz w:val="17"/>
        </w:rPr>
        <w:t>Figure 6 - Internal Stock Transfers</w:t>
      </w:r>
    </w:p>
    <w:p>
      <w:r>
        <w:rPr>
          <w:b w:val="0"/>
          <w:i w:val="0"/>
        </w:rPr>
        <w:t>Internal transfers reserve at source, move through a transit view and are received at destination; company-wide quantity and value do not change. Related: INV-008.</w:t>
      </w:r>
    </w:p>
    <w:p>
      <w:pPr>
        <w:pStyle w:val="Heading2"/>
      </w:pPr>
      <w:r>
        <w:t>8.5 Returns and Quarantine</w:t>
      </w:r>
    </w:p>
    <w:p>
      <w:pPr>
        <w:jc w:val="center"/>
      </w:pPr>
      <w:r>
        <w:drawing>
          <wp:inline xmlns:a="http://schemas.openxmlformats.org/drawingml/2006/main" xmlns:pic="http://schemas.openxmlformats.org/drawingml/2006/picture">
            <wp:extent cx="6120000" cy="2730462"/>
            <wp:docPr id="7" name="Picture 7"/>
            <wp:cNvGraphicFramePr>
              <a:graphicFrameLocks noChangeAspect="1"/>
            </wp:cNvGraphicFramePr>
            <a:graphic>
              <a:graphicData uri="http://schemas.openxmlformats.org/drawingml/2006/picture">
                <pic:pic>
                  <pic:nvPicPr>
                    <pic:cNvPr id="0" name="returns.png"/>
                    <pic:cNvPicPr/>
                  </pic:nvPicPr>
                  <pic:blipFill>
                    <a:blip r:embed="rId17"/>
                    <a:stretch>
                      <a:fillRect/>
                    </a:stretch>
                  </pic:blipFill>
                  <pic:spPr>
                    <a:xfrm>
                      <a:off x="0" y="0"/>
                      <a:ext cx="6120000" cy="2730462"/>
                    </a:xfrm>
                    <a:prstGeom prst="rect"/>
                  </pic:spPr>
                </pic:pic>
              </a:graphicData>
            </a:graphic>
          </wp:inline>
        </w:drawing>
      </w:r>
    </w:p>
    <w:p>
      <w:pPr>
        <w:jc w:val="center"/>
      </w:pPr>
      <w:r>
        <w:rPr>
          <w:i/>
          <w:color w:val="6B7280"/>
          <w:sz w:val="17"/>
        </w:rPr>
        <w:t>Figure 7 - Returns and Quarantine</w:t>
      </w:r>
    </w:p>
    <w:p>
      <w:r>
        <w:rPr>
          <w:b w:val="0"/>
          <w:i w:val="0"/>
        </w:rPr>
        <w:t>All returns, failed-inspection goods and near-expiry lots go to QRT; the Quality Officer decides restock, scrap (540200/540300) or vendor return. Related: SAL-008, PUR-005, INV-009, INV-010.</w:t>
      </w:r>
    </w:p>
    <w:p>
      <w:pPr>
        <w:pStyle w:val="Heading2"/>
      </w:pPr>
      <w:r>
        <w:t>8.6 Period-End Inventory and Accounting Reconciliation</w:t>
      </w:r>
    </w:p>
    <w:p>
      <w:pPr>
        <w:jc w:val="center"/>
      </w:pPr>
      <w:r>
        <w:drawing>
          <wp:inline xmlns:a="http://schemas.openxmlformats.org/drawingml/2006/main" xmlns:pic="http://schemas.openxmlformats.org/drawingml/2006/picture">
            <wp:extent cx="6120000" cy="2730462"/>
            <wp:docPr id="8" name="Picture 8"/>
            <wp:cNvGraphicFramePr>
              <a:graphicFrameLocks noChangeAspect="1"/>
            </wp:cNvGraphicFramePr>
            <a:graphic>
              <a:graphicData uri="http://schemas.openxmlformats.org/drawingml/2006/picture">
                <pic:pic>
                  <pic:nvPicPr>
                    <pic:cNvPr id="0" name="close.png"/>
                    <pic:cNvPicPr/>
                  </pic:nvPicPr>
                  <pic:blipFill>
                    <a:blip r:embed="rId18"/>
                    <a:stretch>
                      <a:fillRect/>
                    </a:stretch>
                  </pic:blipFill>
                  <pic:spPr>
                    <a:xfrm>
                      <a:off x="0" y="0"/>
                      <a:ext cx="6120000" cy="2730462"/>
                    </a:xfrm>
                    <a:prstGeom prst="rect"/>
                  </pic:spPr>
                </pic:pic>
              </a:graphicData>
            </a:graphic>
          </wp:inline>
        </w:drawing>
      </w:r>
    </w:p>
    <w:p>
      <w:pPr>
        <w:jc w:val="center"/>
      </w:pPr>
      <w:r>
        <w:rPr>
          <w:i/>
          <w:color w:val="6B7280"/>
          <w:sz w:val="17"/>
        </w:rPr>
        <w:t>Figure 8 - Period-End Inventory and Accounting Reconciliation</w:t>
      </w:r>
    </w:p>
    <w:p>
      <w:r>
        <w:rPr>
          <w:b w:val="0"/>
          <w:i w:val="0"/>
        </w:rPr>
        <w:t>At month-end cut-off, near-expiry review, cycle counts, valuation report to GL, AR/AP to control accounts, bank/cash reconciliation, VAT report and lock date. Related: INV-011, INV-017, ACC-008, ACC-009, ACC-012.</w:t>
      </w:r>
    </w:p>
    <w:p>
      <w:pPr>
        <w:pStyle w:val="Heading1"/>
      </w:pPr>
      <w:r>
        <w:t>9. Accounting integration</w:t>
      </w:r>
    </w:p>
    <w:p>
      <w:pPr>
        <w:spacing w:after="60"/>
      </w:pPr>
      <w:r>
        <w:rPr>
          <w:b w:val="0"/>
          <w:i/>
          <w:color w:val="6B7280"/>
          <w:sz w:val="18"/>
        </w:rPr>
        <w:t>Section owner: Omnia Haitham</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814"/>
        <w:gridCol w:w="5102"/>
        <w:gridCol w:w="2721"/>
      </w:tblGrid>
      <w:tr>
        <w:trPr>
          <w:tblHeader w:val="true"/>
        </w:trPr>
        <w:tc>
          <w:tcPr>
            <w:tcW w:type="dxa" w:w="1814"/>
            <w:shd w:val="clear" w:color="auto" w:fill="C8102E"/>
          </w:tcPr>
          <w:p>
            <w:r/>
            <w:r>
              <w:rPr>
                <w:b/>
                <w:color w:val="FFFFFF"/>
                <w:sz w:val="16"/>
              </w:rPr>
              <w:t>Event</w:t>
            </w:r>
          </w:p>
        </w:tc>
        <w:tc>
          <w:tcPr>
            <w:tcW w:type="dxa" w:w="5102"/>
            <w:shd w:val="clear" w:color="auto" w:fill="C8102E"/>
          </w:tcPr>
          <w:p>
            <w:r/>
            <w:r>
              <w:rPr>
                <w:b/>
                <w:color w:val="FFFFFF"/>
                <w:sz w:val="16"/>
              </w:rPr>
              <w:t>Journal entry (EGP)</w:t>
            </w:r>
          </w:p>
        </w:tc>
        <w:tc>
          <w:tcPr>
            <w:tcW w:type="dxa" w:w="2721"/>
            <w:shd w:val="clear" w:color="auto" w:fill="C8102E"/>
          </w:tcPr>
          <w:p>
            <w:r/>
            <w:r>
              <w:rPr>
                <w:b/>
                <w:color w:val="FFFFFF"/>
                <w:sz w:val="16"/>
              </w:rPr>
              <w:t>Accounts</w:t>
            </w:r>
          </w:p>
        </w:tc>
      </w:tr>
      <w:tr>
        <w:trPr>
          <w:cantSplit w:val="true"/>
        </w:trPr>
        <w:tc>
          <w:tcPr>
            <w:tcW w:type="dxa" w:w="1814"/>
          </w:tcPr>
          <w:p>
            <w:pPr>
              <w:spacing w:after="0"/>
            </w:pPr>
            <w:r/>
            <w:r>
              <w:rPr>
                <w:b w:val="0"/>
                <w:i w:val="0"/>
                <w:sz w:val="16"/>
              </w:rPr>
              <w:t>Goods receipt</w:t>
            </w:r>
          </w:p>
        </w:tc>
        <w:tc>
          <w:tcPr>
            <w:tcW w:type="dxa" w:w="5102"/>
          </w:tcPr>
          <w:p>
            <w:pPr>
              <w:spacing w:after="0"/>
            </w:pPr>
            <w:r/>
            <w:r>
              <w:rPr>
                <w:b w:val="0"/>
                <w:i w:val="0"/>
                <w:sz w:val="16"/>
              </w:rPr>
              <w:t>Dr Inventory / Cr GRNI at vendor cost</w:t>
            </w:r>
          </w:p>
        </w:tc>
        <w:tc>
          <w:tcPr>
            <w:tcW w:type="dxa" w:w="2721"/>
          </w:tcPr>
          <w:p>
            <w:pPr>
              <w:spacing w:after="0"/>
            </w:pPr>
            <w:r/>
            <w:r>
              <w:rPr>
                <w:b w:val="0"/>
                <w:i w:val="0"/>
                <w:sz w:val="16"/>
              </w:rPr>
              <w:t>130100/200/300 ; 210500</w:t>
            </w:r>
          </w:p>
        </w:tc>
      </w:tr>
      <w:tr>
        <w:trPr>
          <w:cantSplit w:val="true"/>
        </w:trPr>
        <w:tc>
          <w:tcPr>
            <w:tcW w:type="dxa" w:w="1814"/>
            <w:shd w:val="clear" w:color="auto" w:fill="F9FAFB"/>
          </w:tcPr>
          <w:p>
            <w:pPr>
              <w:spacing w:after="0"/>
            </w:pPr>
            <w:r/>
            <w:r>
              <w:rPr>
                <w:b w:val="0"/>
                <w:i w:val="0"/>
                <w:sz w:val="16"/>
              </w:rPr>
              <w:t>Vendor bill</w:t>
            </w:r>
          </w:p>
        </w:tc>
        <w:tc>
          <w:tcPr>
            <w:tcW w:type="dxa" w:w="5102"/>
            <w:shd w:val="clear" w:color="auto" w:fill="F9FAFB"/>
          </w:tcPr>
          <w:p>
            <w:pPr>
              <w:spacing w:after="0"/>
            </w:pPr>
            <w:r/>
            <w:r>
              <w:rPr>
                <w:b w:val="0"/>
                <w:i w:val="0"/>
                <w:sz w:val="16"/>
              </w:rPr>
              <w:t>Dr GRNI + Dr VAT input / Cr Trade payables</w:t>
            </w:r>
          </w:p>
        </w:tc>
        <w:tc>
          <w:tcPr>
            <w:tcW w:type="dxa" w:w="2721"/>
            <w:shd w:val="clear" w:color="auto" w:fill="F9FAFB"/>
          </w:tcPr>
          <w:p>
            <w:pPr>
              <w:spacing w:after="0"/>
            </w:pPr>
            <w:r/>
            <w:r>
              <w:rPr>
                <w:b w:val="0"/>
                <w:i w:val="0"/>
                <w:sz w:val="16"/>
              </w:rPr>
              <w:t>210500 ; 140300 ; 210100</w:t>
            </w:r>
          </w:p>
        </w:tc>
      </w:tr>
      <w:tr>
        <w:trPr>
          <w:cantSplit w:val="true"/>
        </w:trPr>
        <w:tc>
          <w:tcPr>
            <w:tcW w:type="dxa" w:w="1814"/>
          </w:tcPr>
          <w:p>
            <w:pPr>
              <w:spacing w:after="0"/>
            </w:pPr>
            <w:r/>
            <w:r>
              <w:rPr>
                <w:b w:val="0"/>
                <w:i w:val="0"/>
                <w:sz w:val="16"/>
              </w:rPr>
              <w:t>Delivery</w:t>
            </w:r>
          </w:p>
        </w:tc>
        <w:tc>
          <w:tcPr>
            <w:tcW w:type="dxa" w:w="5102"/>
          </w:tcPr>
          <w:p>
            <w:pPr>
              <w:spacing w:after="0"/>
            </w:pPr>
            <w:r/>
            <w:r>
              <w:rPr>
                <w:b w:val="0"/>
                <w:i w:val="0"/>
                <w:sz w:val="16"/>
              </w:rPr>
              <w:t>Dr Stock interim delivered / Cr Inventory at FIFO cost</w:t>
            </w:r>
          </w:p>
        </w:tc>
        <w:tc>
          <w:tcPr>
            <w:tcW w:type="dxa" w:w="2721"/>
          </w:tcPr>
          <w:p>
            <w:pPr>
              <w:spacing w:after="0"/>
            </w:pPr>
            <w:r/>
            <w:r>
              <w:rPr>
                <w:b w:val="0"/>
                <w:i w:val="0"/>
                <w:sz w:val="16"/>
              </w:rPr>
              <w:t>130600 ; 1301xx</w:t>
            </w:r>
          </w:p>
        </w:tc>
      </w:tr>
      <w:tr>
        <w:trPr>
          <w:cantSplit w:val="true"/>
        </w:trPr>
        <w:tc>
          <w:tcPr>
            <w:tcW w:type="dxa" w:w="1814"/>
            <w:shd w:val="clear" w:color="auto" w:fill="F9FAFB"/>
          </w:tcPr>
          <w:p>
            <w:pPr>
              <w:spacing w:after="0"/>
            </w:pPr>
            <w:r/>
            <w:r>
              <w:rPr>
                <w:b w:val="0"/>
                <w:i w:val="0"/>
                <w:sz w:val="16"/>
              </w:rPr>
              <w:t>Customer invoice</w:t>
            </w:r>
          </w:p>
        </w:tc>
        <w:tc>
          <w:tcPr>
            <w:tcW w:type="dxa" w:w="5102"/>
            <w:shd w:val="clear" w:color="auto" w:fill="F9FAFB"/>
          </w:tcPr>
          <w:p>
            <w:pPr>
              <w:spacing w:after="0"/>
            </w:pPr>
            <w:r/>
            <w:r>
              <w:rPr>
                <w:b w:val="0"/>
                <w:i w:val="0"/>
                <w:sz w:val="16"/>
              </w:rPr>
              <w:t>Dr Receivables / Cr Revenue + Cr VAT output; Dr COGS / Cr Stock interim delivered</w:t>
            </w:r>
          </w:p>
        </w:tc>
        <w:tc>
          <w:tcPr>
            <w:tcW w:type="dxa" w:w="2721"/>
            <w:shd w:val="clear" w:color="auto" w:fill="F9FAFB"/>
          </w:tcPr>
          <w:p>
            <w:pPr>
              <w:spacing w:after="0"/>
            </w:pPr>
            <w:r/>
            <w:r>
              <w:rPr>
                <w:b w:val="0"/>
                <w:i w:val="0"/>
                <w:sz w:val="16"/>
              </w:rPr>
              <w:t>120100 ; 4101xx ; 220100 ; 5101xx ; 130600</w:t>
            </w:r>
          </w:p>
        </w:tc>
      </w:tr>
      <w:tr>
        <w:trPr>
          <w:cantSplit w:val="true"/>
        </w:trPr>
        <w:tc>
          <w:tcPr>
            <w:tcW w:type="dxa" w:w="1814"/>
          </w:tcPr>
          <w:p>
            <w:pPr>
              <w:spacing w:after="0"/>
            </w:pPr>
            <w:r/>
            <w:r>
              <w:rPr>
                <w:b w:val="0"/>
                <w:i w:val="0"/>
                <w:sz w:val="16"/>
              </w:rPr>
              <w:t>Credit note</w:t>
            </w:r>
          </w:p>
        </w:tc>
        <w:tc>
          <w:tcPr>
            <w:tcW w:type="dxa" w:w="5102"/>
          </w:tcPr>
          <w:p>
            <w:pPr>
              <w:spacing w:after="0"/>
            </w:pPr>
            <w:r/>
            <w:r>
              <w:rPr>
                <w:b w:val="0"/>
                <w:i w:val="0"/>
                <w:sz w:val="16"/>
              </w:rPr>
              <w:t>Dr Sales returns + Dr VAT output / Cr Receivables; Dr Stock interim / Cr COGS (returned goods)</w:t>
            </w:r>
          </w:p>
        </w:tc>
        <w:tc>
          <w:tcPr>
            <w:tcW w:type="dxa" w:w="2721"/>
          </w:tcPr>
          <w:p>
            <w:pPr>
              <w:spacing w:after="0"/>
            </w:pPr>
            <w:r/>
            <w:r>
              <w:rPr>
                <w:b w:val="0"/>
                <w:i w:val="0"/>
                <w:sz w:val="16"/>
              </w:rPr>
              <w:t>420100 ; 220100 ; 120100</w:t>
            </w:r>
          </w:p>
        </w:tc>
      </w:tr>
      <w:tr>
        <w:trPr>
          <w:cantSplit w:val="true"/>
        </w:trPr>
        <w:tc>
          <w:tcPr>
            <w:tcW w:type="dxa" w:w="1814"/>
            <w:shd w:val="clear" w:color="auto" w:fill="F9FAFB"/>
          </w:tcPr>
          <w:p>
            <w:pPr>
              <w:spacing w:after="0"/>
            </w:pPr>
            <w:r/>
            <w:r>
              <w:rPr>
                <w:b w:val="0"/>
                <w:i w:val="0"/>
                <w:sz w:val="16"/>
              </w:rPr>
              <w:t>Scrap expired / damaged</w:t>
            </w:r>
          </w:p>
        </w:tc>
        <w:tc>
          <w:tcPr>
            <w:tcW w:type="dxa" w:w="5102"/>
            <w:shd w:val="clear" w:color="auto" w:fill="F9FAFB"/>
          </w:tcPr>
          <w:p>
            <w:pPr>
              <w:spacing w:after="0"/>
            </w:pPr>
            <w:r/>
            <w:r>
              <w:rPr>
                <w:b w:val="0"/>
                <w:i w:val="0"/>
                <w:sz w:val="16"/>
              </w:rPr>
              <w:t>Dr 540200 / 540300, Cr Inventory</w:t>
            </w:r>
          </w:p>
        </w:tc>
        <w:tc>
          <w:tcPr>
            <w:tcW w:type="dxa" w:w="2721"/>
            <w:shd w:val="clear" w:color="auto" w:fill="F9FAFB"/>
          </w:tcPr>
          <w:p>
            <w:pPr>
              <w:spacing w:after="0"/>
            </w:pPr>
            <w:r/>
            <w:r>
              <w:rPr>
                <w:b w:val="0"/>
                <w:i w:val="0"/>
                <w:sz w:val="16"/>
              </w:rPr>
              <w:t>540200 ; 540300</w:t>
            </w:r>
          </w:p>
        </w:tc>
      </w:tr>
      <w:tr>
        <w:trPr>
          <w:cantSplit w:val="true"/>
        </w:trPr>
        <w:tc>
          <w:tcPr>
            <w:tcW w:type="dxa" w:w="1814"/>
          </w:tcPr>
          <w:p>
            <w:pPr>
              <w:spacing w:after="0"/>
            </w:pPr>
            <w:r/>
            <w:r>
              <w:rPr>
                <w:b w:val="0"/>
                <w:i w:val="0"/>
                <w:sz w:val="16"/>
              </w:rPr>
              <w:t>Count adjustment</w:t>
            </w:r>
          </w:p>
        </w:tc>
        <w:tc>
          <w:tcPr>
            <w:tcW w:type="dxa" w:w="5102"/>
          </w:tcPr>
          <w:p>
            <w:pPr>
              <w:spacing w:after="0"/>
            </w:pPr>
            <w:r/>
            <w:r>
              <w:rPr>
                <w:b w:val="0"/>
                <w:i w:val="0"/>
                <w:sz w:val="16"/>
              </w:rPr>
              <w:t>Dr/Cr 540100 against Inventory</w:t>
            </w:r>
          </w:p>
        </w:tc>
        <w:tc>
          <w:tcPr>
            <w:tcW w:type="dxa" w:w="2721"/>
          </w:tcPr>
          <w:p>
            <w:pPr>
              <w:spacing w:after="0"/>
            </w:pPr>
            <w:r/>
            <w:r>
              <w:rPr>
                <w:b w:val="0"/>
                <w:i w:val="0"/>
                <w:sz w:val="16"/>
              </w:rPr>
              <w:t>540100</w:t>
            </w:r>
          </w:p>
        </w:tc>
      </w:tr>
      <w:tr>
        <w:trPr>
          <w:cantSplit w:val="true"/>
        </w:trPr>
        <w:tc>
          <w:tcPr>
            <w:tcW w:type="dxa" w:w="1814"/>
            <w:shd w:val="clear" w:color="auto" w:fill="F9FAFB"/>
          </w:tcPr>
          <w:p>
            <w:pPr>
              <w:spacing w:after="0"/>
            </w:pPr>
            <w:r/>
            <w:r>
              <w:rPr>
                <w:b w:val="0"/>
                <w:i w:val="0"/>
                <w:sz w:val="16"/>
              </w:rPr>
              <w:t>Payment</w:t>
            </w:r>
          </w:p>
        </w:tc>
        <w:tc>
          <w:tcPr>
            <w:tcW w:type="dxa" w:w="5102"/>
            <w:shd w:val="clear" w:color="auto" w:fill="F9FAFB"/>
          </w:tcPr>
          <w:p>
            <w:pPr>
              <w:spacing w:after="0"/>
            </w:pPr>
            <w:r/>
            <w:r>
              <w:rPr>
                <w:b w:val="0"/>
                <w:i w:val="0"/>
                <w:sz w:val="16"/>
              </w:rPr>
              <w:t>Dr Bank/Cash / Cr Receivables; Dr Payables / Cr Bank</w:t>
            </w:r>
          </w:p>
        </w:tc>
        <w:tc>
          <w:tcPr>
            <w:tcW w:type="dxa" w:w="2721"/>
            <w:shd w:val="clear" w:color="auto" w:fill="F9FAFB"/>
          </w:tcPr>
          <w:p>
            <w:pPr>
              <w:spacing w:after="0"/>
            </w:pPr>
            <w:r/>
            <w:r>
              <w:rPr>
                <w:b w:val="0"/>
                <w:i w:val="0"/>
                <w:sz w:val="16"/>
              </w:rPr>
              <w:t>110101-3, 110201-2</w:t>
            </w:r>
          </w:p>
        </w:tc>
      </w:tr>
    </w:tbl>
    <w:p>
      <w:pPr>
        <w:spacing w:after="40"/>
      </w:pPr>
    </w:p>
    <w:p>
      <w:r>
        <w:rPr>
          <w:b w:val="0"/>
          <w:i w:val="0"/>
        </w:rPr>
        <w:t>Simulated check: 737 journal entries produced a balanced trial balance (debits = credits = EGP 222,538,042.78). Receivables (EGP 29,532,073.42), payables (EGP 2,662,739.04), output VAT (EGP 4,232,652.52) and input VAT (EGP 3,436,752.76) agree with the sub-ledger workbooks. This is a mathematical validation of the simulated model, not an Odoo functional test.</w:t>
      </w:r>
    </w:p>
    <w:p>
      <w:pPr>
        <w:pStyle w:val="Heading1"/>
      </w:pPr>
      <w:r>
        <w:t>10. Reporting design</w:t>
      </w:r>
    </w:p>
    <w:p>
      <w:pPr>
        <w:spacing w:after="60"/>
      </w:pPr>
      <w:r>
        <w:rPr>
          <w:b w:val="0"/>
          <w:i/>
          <w:color w:val="6B7280"/>
          <w:sz w:val="18"/>
        </w:rPr>
        <w:t>Section owner: Mohamed Essam El-Din Youssef</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381"/>
        <w:gridCol w:w="2154"/>
        <w:gridCol w:w="3288"/>
        <w:gridCol w:w="1814"/>
      </w:tblGrid>
      <w:tr>
        <w:trPr>
          <w:tblHeader w:val="true"/>
        </w:trPr>
        <w:tc>
          <w:tcPr>
            <w:tcW w:type="dxa" w:w="2381"/>
            <w:shd w:val="clear" w:color="auto" w:fill="C8102E"/>
          </w:tcPr>
          <w:p>
            <w:r/>
            <w:r>
              <w:rPr>
                <w:b/>
                <w:color w:val="FFFFFF"/>
                <w:sz w:val="17"/>
              </w:rPr>
              <w:t>Report / dashboard</w:t>
            </w:r>
          </w:p>
        </w:tc>
        <w:tc>
          <w:tcPr>
            <w:tcW w:type="dxa" w:w="2154"/>
            <w:shd w:val="clear" w:color="auto" w:fill="C8102E"/>
          </w:tcPr>
          <w:p>
            <w:r/>
            <w:r>
              <w:rPr>
                <w:b/>
                <w:color w:val="FFFFFF"/>
                <w:sz w:val="17"/>
              </w:rPr>
              <w:t>Source</w:t>
            </w:r>
          </w:p>
        </w:tc>
        <w:tc>
          <w:tcPr>
            <w:tcW w:type="dxa" w:w="3288"/>
            <w:shd w:val="clear" w:color="auto" w:fill="C8102E"/>
          </w:tcPr>
          <w:p>
            <w:r/>
            <w:r>
              <w:rPr>
                <w:b/>
                <w:color w:val="FFFFFF"/>
                <w:sz w:val="17"/>
              </w:rPr>
              <w:t>Grouping</w:t>
            </w:r>
          </w:p>
        </w:tc>
        <w:tc>
          <w:tcPr>
            <w:tcW w:type="dxa" w:w="1814"/>
            <w:shd w:val="clear" w:color="auto" w:fill="C8102E"/>
          </w:tcPr>
          <w:p>
            <w:r/>
            <w:r>
              <w:rPr>
                <w:b/>
                <w:color w:val="FFFFFF"/>
                <w:sz w:val="17"/>
              </w:rPr>
              <w:t>Class</w:t>
            </w:r>
          </w:p>
        </w:tc>
      </w:tr>
      <w:tr>
        <w:trPr>
          <w:cantSplit w:val="true"/>
        </w:trPr>
        <w:tc>
          <w:tcPr>
            <w:tcW w:type="dxa" w:w="2381"/>
          </w:tcPr>
          <w:p>
            <w:pPr>
              <w:spacing w:after="0"/>
            </w:pPr>
            <w:r/>
            <w:r>
              <w:rPr>
                <w:b w:val="0"/>
                <w:i w:val="0"/>
                <w:sz w:val="17"/>
              </w:rPr>
              <w:t>Sales analysis</w:t>
            </w:r>
          </w:p>
        </w:tc>
        <w:tc>
          <w:tcPr>
            <w:tcW w:type="dxa" w:w="2154"/>
          </w:tcPr>
          <w:p>
            <w:pPr>
              <w:spacing w:after="0"/>
            </w:pPr>
            <w:r/>
            <w:r>
              <w:rPr>
                <w:b w:val="0"/>
                <w:i w:val="0"/>
                <w:sz w:val="17"/>
              </w:rPr>
              <w:t>Sales/Invoices</w:t>
            </w:r>
          </w:p>
        </w:tc>
        <w:tc>
          <w:tcPr>
            <w:tcW w:type="dxa" w:w="3288"/>
          </w:tcPr>
          <w:p>
            <w:pPr>
              <w:spacing w:after="0"/>
            </w:pPr>
            <w:r/>
            <w:r>
              <w:rPr>
                <w:b w:val="0"/>
                <w:i w:val="0"/>
                <w:sz w:val="17"/>
              </w:rPr>
              <w:t>Branch, customer class, category, month</w:t>
            </w:r>
          </w:p>
        </w:tc>
        <w:tc>
          <w:tcPr>
            <w:tcW w:type="dxa" w:w="1814"/>
          </w:tcPr>
          <w:p>
            <w:pPr>
              <w:spacing w:after="0"/>
            </w:pPr>
            <w:r/>
            <w:r>
              <w:rPr>
                <w:b w:val="0"/>
                <w:i w:val="0"/>
                <w:sz w:val="17"/>
              </w:rPr>
              <w:t>Standard</w:t>
            </w:r>
          </w:p>
        </w:tc>
      </w:tr>
      <w:tr>
        <w:trPr>
          <w:cantSplit w:val="true"/>
        </w:trPr>
        <w:tc>
          <w:tcPr>
            <w:tcW w:type="dxa" w:w="2381"/>
            <w:shd w:val="clear" w:color="auto" w:fill="F9FAFB"/>
          </w:tcPr>
          <w:p>
            <w:pPr>
              <w:spacing w:after="0"/>
            </w:pPr>
            <w:r/>
            <w:r>
              <w:rPr>
                <w:b w:val="0"/>
                <w:i w:val="0"/>
                <w:sz w:val="17"/>
              </w:rPr>
              <w:t>P&amp;L by branch</w:t>
            </w:r>
          </w:p>
        </w:tc>
        <w:tc>
          <w:tcPr>
            <w:tcW w:type="dxa" w:w="2154"/>
            <w:shd w:val="clear" w:color="auto" w:fill="F9FAFB"/>
          </w:tcPr>
          <w:p>
            <w:pPr>
              <w:spacing w:after="0"/>
            </w:pPr>
            <w:r/>
            <w:r>
              <w:rPr>
                <w:b w:val="0"/>
                <w:i w:val="0"/>
                <w:sz w:val="17"/>
              </w:rPr>
              <w:t>Accounting + analytic</w:t>
            </w:r>
          </w:p>
        </w:tc>
        <w:tc>
          <w:tcPr>
            <w:tcW w:type="dxa" w:w="3288"/>
            <w:shd w:val="clear" w:color="auto" w:fill="F9FAFB"/>
          </w:tcPr>
          <w:p>
            <w:pPr>
              <w:spacing w:after="0"/>
            </w:pPr>
            <w:r/>
            <w:r>
              <w:rPr>
                <w:b w:val="0"/>
                <w:i w:val="0"/>
                <w:sz w:val="17"/>
              </w:rPr>
              <w:t>Branch plan</w:t>
            </w:r>
          </w:p>
        </w:tc>
        <w:tc>
          <w:tcPr>
            <w:tcW w:type="dxa" w:w="1814"/>
            <w:shd w:val="clear" w:color="auto" w:fill="F9FAFB"/>
          </w:tcPr>
          <w:p>
            <w:pPr>
              <w:spacing w:after="0"/>
            </w:pPr>
            <w:r/>
            <w:r>
              <w:rPr>
                <w:b w:val="0"/>
                <w:i w:val="0"/>
                <w:sz w:val="17"/>
              </w:rPr>
              <w:t>Standard</w:t>
            </w:r>
          </w:p>
        </w:tc>
      </w:tr>
      <w:tr>
        <w:trPr>
          <w:cantSplit w:val="true"/>
        </w:trPr>
        <w:tc>
          <w:tcPr>
            <w:tcW w:type="dxa" w:w="2381"/>
          </w:tcPr>
          <w:p>
            <w:pPr>
              <w:spacing w:after="0"/>
            </w:pPr>
            <w:r/>
            <w:r>
              <w:rPr>
                <w:b w:val="0"/>
                <w:i w:val="0"/>
                <w:sz w:val="17"/>
              </w:rPr>
              <w:t>Inventory valuation</w:t>
            </w:r>
          </w:p>
        </w:tc>
        <w:tc>
          <w:tcPr>
            <w:tcW w:type="dxa" w:w="2154"/>
          </w:tcPr>
          <w:p>
            <w:pPr>
              <w:spacing w:after="0"/>
            </w:pPr>
            <w:r/>
            <w:r>
              <w:rPr>
                <w:b w:val="0"/>
                <w:i w:val="0"/>
                <w:sz w:val="17"/>
              </w:rPr>
              <w:t>Inventory</w:t>
            </w:r>
          </w:p>
        </w:tc>
        <w:tc>
          <w:tcPr>
            <w:tcW w:type="dxa" w:w="3288"/>
          </w:tcPr>
          <w:p>
            <w:pPr>
              <w:spacing w:after="0"/>
            </w:pPr>
            <w:r/>
            <w:r>
              <w:rPr>
                <w:b w:val="0"/>
                <w:i w:val="0"/>
                <w:sz w:val="17"/>
              </w:rPr>
              <w:t>Warehouse, category, lot</w:t>
            </w:r>
          </w:p>
        </w:tc>
        <w:tc>
          <w:tcPr>
            <w:tcW w:type="dxa" w:w="1814"/>
          </w:tcPr>
          <w:p>
            <w:pPr>
              <w:spacing w:after="0"/>
            </w:pPr>
            <w:r/>
            <w:r>
              <w:rPr>
                <w:b w:val="0"/>
                <w:i w:val="0"/>
                <w:sz w:val="17"/>
              </w:rPr>
              <w:t>Standard</w:t>
            </w:r>
          </w:p>
        </w:tc>
      </w:tr>
      <w:tr>
        <w:trPr>
          <w:cantSplit w:val="true"/>
        </w:trPr>
        <w:tc>
          <w:tcPr>
            <w:tcW w:type="dxa" w:w="2381"/>
            <w:shd w:val="clear" w:color="auto" w:fill="F9FAFB"/>
          </w:tcPr>
          <w:p>
            <w:pPr>
              <w:spacing w:after="0"/>
            </w:pPr>
            <w:r/>
            <w:r>
              <w:rPr>
                <w:b w:val="0"/>
                <w:i w:val="0"/>
                <w:sz w:val="17"/>
              </w:rPr>
              <w:t>Near-expiry / expired</w:t>
            </w:r>
          </w:p>
        </w:tc>
        <w:tc>
          <w:tcPr>
            <w:tcW w:type="dxa" w:w="2154"/>
            <w:shd w:val="clear" w:color="auto" w:fill="F9FAFB"/>
          </w:tcPr>
          <w:p>
            <w:pPr>
              <w:spacing w:after="0"/>
            </w:pPr>
            <w:r/>
            <w:r>
              <w:rPr>
                <w:b w:val="0"/>
                <w:i w:val="0"/>
                <w:sz w:val="17"/>
              </w:rPr>
              <w:t>Lots</w:t>
            </w:r>
          </w:p>
        </w:tc>
        <w:tc>
          <w:tcPr>
            <w:tcW w:type="dxa" w:w="3288"/>
            <w:shd w:val="clear" w:color="auto" w:fill="F9FAFB"/>
          </w:tcPr>
          <w:p>
            <w:pPr>
              <w:spacing w:after="0"/>
            </w:pPr>
            <w:r/>
            <w:r>
              <w:rPr>
                <w:b w:val="0"/>
                <w:i w:val="0"/>
                <w:sz w:val="17"/>
              </w:rPr>
              <w:t>Days to expiry buckets</w:t>
            </w:r>
          </w:p>
        </w:tc>
        <w:tc>
          <w:tcPr>
            <w:tcW w:type="dxa" w:w="1814"/>
            <w:shd w:val="clear" w:color="auto" w:fill="F9FAFB"/>
          </w:tcPr>
          <w:p>
            <w:pPr>
              <w:spacing w:after="0"/>
            </w:pPr>
            <w:r/>
            <w:r>
              <w:rPr>
                <w:b w:val="0"/>
                <w:i w:val="0"/>
                <w:sz w:val="17"/>
              </w:rPr>
              <w:t>Standard (config)</w:t>
            </w:r>
          </w:p>
        </w:tc>
      </w:tr>
      <w:tr>
        <w:trPr>
          <w:cantSplit w:val="true"/>
        </w:trPr>
        <w:tc>
          <w:tcPr>
            <w:tcW w:type="dxa" w:w="2381"/>
          </w:tcPr>
          <w:p>
            <w:pPr>
              <w:spacing w:after="0"/>
            </w:pPr>
            <w:r/>
            <w:r>
              <w:rPr>
                <w:b w:val="0"/>
                <w:i w:val="0"/>
                <w:sz w:val="17"/>
              </w:rPr>
              <w:t>Aged AR/AP</w:t>
            </w:r>
          </w:p>
        </w:tc>
        <w:tc>
          <w:tcPr>
            <w:tcW w:type="dxa" w:w="2154"/>
          </w:tcPr>
          <w:p>
            <w:pPr>
              <w:spacing w:after="0"/>
            </w:pPr>
            <w:r/>
            <w:r>
              <w:rPr>
                <w:b w:val="0"/>
                <w:i w:val="0"/>
                <w:sz w:val="17"/>
              </w:rPr>
              <w:t>Accounting</w:t>
            </w:r>
          </w:p>
        </w:tc>
        <w:tc>
          <w:tcPr>
            <w:tcW w:type="dxa" w:w="3288"/>
          </w:tcPr>
          <w:p>
            <w:pPr>
              <w:spacing w:after="0"/>
            </w:pPr>
            <w:r/>
            <w:r>
              <w:rPr>
                <w:b w:val="0"/>
                <w:i w:val="0"/>
                <w:sz w:val="17"/>
              </w:rPr>
              <w:t>Buckets</w:t>
            </w:r>
          </w:p>
        </w:tc>
        <w:tc>
          <w:tcPr>
            <w:tcW w:type="dxa" w:w="1814"/>
          </w:tcPr>
          <w:p>
            <w:pPr>
              <w:spacing w:after="0"/>
            </w:pPr>
            <w:r/>
            <w:r>
              <w:rPr>
                <w:b w:val="0"/>
                <w:i w:val="0"/>
                <w:sz w:val="17"/>
              </w:rPr>
              <w:t>Standard</w:t>
            </w:r>
          </w:p>
        </w:tc>
      </w:tr>
      <w:tr>
        <w:trPr>
          <w:cantSplit w:val="true"/>
        </w:trPr>
        <w:tc>
          <w:tcPr>
            <w:tcW w:type="dxa" w:w="2381"/>
            <w:shd w:val="clear" w:color="auto" w:fill="F9FAFB"/>
          </w:tcPr>
          <w:p>
            <w:pPr>
              <w:spacing w:after="0"/>
            </w:pPr>
            <w:r/>
            <w:r>
              <w:rPr>
                <w:b w:val="0"/>
                <w:i w:val="0"/>
                <w:sz w:val="17"/>
              </w:rPr>
              <w:t>Traceability</w:t>
            </w:r>
          </w:p>
        </w:tc>
        <w:tc>
          <w:tcPr>
            <w:tcW w:type="dxa" w:w="2154"/>
            <w:shd w:val="clear" w:color="auto" w:fill="F9FAFB"/>
          </w:tcPr>
          <w:p>
            <w:pPr>
              <w:spacing w:after="0"/>
            </w:pPr>
            <w:r/>
            <w:r>
              <w:rPr>
                <w:b w:val="0"/>
                <w:i w:val="0"/>
                <w:sz w:val="17"/>
              </w:rPr>
              <w:t>Stock moves</w:t>
            </w:r>
          </w:p>
        </w:tc>
        <w:tc>
          <w:tcPr>
            <w:tcW w:type="dxa" w:w="3288"/>
            <w:shd w:val="clear" w:color="auto" w:fill="F9FAFB"/>
          </w:tcPr>
          <w:p>
            <w:pPr>
              <w:spacing w:after="0"/>
            </w:pPr>
            <w:r/>
            <w:r>
              <w:rPr>
                <w:b w:val="0"/>
                <w:i w:val="0"/>
                <w:sz w:val="17"/>
              </w:rPr>
              <w:t>Lot/serial</w:t>
            </w:r>
          </w:p>
        </w:tc>
        <w:tc>
          <w:tcPr>
            <w:tcW w:type="dxa" w:w="1814"/>
            <w:shd w:val="clear" w:color="auto" w:fill="F9FAFB"/>
          </w:tcPr>
          <w:p>
            <w:pPr>
              <w:spacing w:after="0"/>
            </w:pPr>
            <w:r/>
            <w:r>
              <w:rPr>
                <w:b w:val="0"/>
                <w:i w:val="0"/>
                <w:sz w:val="17"/>
              </w:rPr>
              <w:t>Standard</w:t>
            </w:r>
          </w:p>
        </w:tc>
      </w:tr>
      <w:tr>
        <w:trPr>
          <w:cantSplit w:val="true"/>
        </w:trPr>
        <w:tc>
          <w:tcPr>
            <w:tcW w:type="dxa" w:w="2381"/>
          </w:tcPr>
          <w:p>
            <w:pPr>
              <w:spacing w:after="0"/>
            </w:pPr>
            <w:r/>
            <w:r>
              <w:rPr>
                <w:b w:val="0"/>
                <w:i w:val="0"/>
                <w:sz w:val="17"/>
              </w:rPr>
              <w:t>Management KPI dashboard</w:t>
            </w:r>
          </w:p>
        </w:tc>
        <w:tc>
          <w:tcPr>
            <w:tcW w:type="dxa" w:w="2154"/>
          </w:tcPr>
          <w:p>
            <w:pPr>
              <w:spacing w:after="0"/>
            </w:pPr>
            <w:r/>
            <w:r>
              <w:rPr>
                <w:b w:val="0"/>
                <w:i w:val="0"/>
                <w:sz w:val="17"/>
              </w:rPr>
              <w:t>Spreadsheet dashboards</w:t>
            </w:r>
          </w:p>
        </w:tc>
        <w:tc>
          <w:tcPr>
            <w:tcW w:type="dxa" w:w="3288"/>
          </w:tcPr>
          <w:p>
            <w:pPr>
              <w:spacing w:after="0"/>
            </w:pPr>
            <w:r/>
            <w:r>
              <w:rPr>
                <w:b w:val="0"/>
                <w:i w:val="0"/>
                <w:sz w:val="17"/>
              </w:rPr>
              <w:t>Sales, margin, AR, stock value, near-expiry value</w:t>
            </w:r>
          </w:p>
        </w:tc>
        <w:tc>
          <w:tcPr>
            <w:tcW w:type="dxa" w:w="1814"/>
          </w:tcPr>
          <w:p>
            <w:pPr>
              <w:spacing w:after="0"/>
            </w:pPr>
            <w:r/>
            <w:r>
              <w:rPr>
                <w:b w:val="0"/>
                <w:i w:val="0"/>
                <w:sz w:val="17"/>
              </w:rPr>
              <w:t>Enterprise / optional</w:t>
            </w:r>
          </w:p>
        </w:tc>
      </w:tr>
    </w:tbl>
    <w:p>
      <w:pPr>
        <w:spacing w:after="40"/>
      </w:pPr>
    </w:p>
    <w:p>
      <w:pPr>
        <w:pStyle w:val="Heading1"/>
      </w:pPr>
      <w:r>
        <w:t>11. Migration strategy</w:t>
      </w:r>
    </w:p>
    <w:p>
      <w:pPr>
        <w:spacing w:after="60"/>
      </w:pPr>
      <w:r>
        <w:rPr>
          <w:b w:val="0"/>
          <w:i/>
          <w:color w:val="6B7280"/>
          <w:sz w:val="18"/>
        </w:rPr>
        <w:t>Section owner: Ahmed Mahmoud Mohamed</w:t>
      </w:r>
    </w:p>
    <w:p>
      <w:pPr>
        <w:pStyle w:val="ListNumber"/>
        <w:spacing w:after="40"/>
      </w:pPr>
      <w:r>
        <w:rPr>
          <w:b w:val="0"/>
          <w:i w:val="0"/>
        </w:rPr>
        <w:t>Prepare: freeze legacy master data; cleanse duplicates; approve chart of accounts.</w:t>
      </w:r>
    </w:p>
    <w:p>
      <w:pPr>
        <w:pStyle w:val="ListNumber"/>
        <w:spacing w:after="40"/>
      </w:pPr>
      <w:r>
        <w:rPr>
          <w:b w:val="0"/>
          <w:i w:val="0"/>
        </w:rPr>
        <w:t>Load configuration and master data in dependency order (Import_Package/README.md).</w:t>
      </w:r>
    </w:p>
    <w:p>
      <w:pPr>
        <w:pStyle w:val="ListNumber"/>
        <w:spacing w:after="40"/>
      </w:pPr>
      <w:r>
        <w:rPr>
          <w:b w:val="0"/>
          <w:i w:val="0"/>
        </w:rPr>
        <w:t>Load lots/serials, then opening stock (EGP 24,170,200.00 at 1 May 2026) by inventory adjustment; reclassify counter-account to 310200.</w:t>
      </w:r>
    </w:p>
    <w:p>
      <w:pPr>
        <w:pStyle w:val="ListNumber"/>
        <w:spacing w:after="40"/>
      </w:pPr>
      <w:r>
        <w:rPr>
          <w:b w:val="0"/>
          <w:i w:val="0"/>
        </w:rPr>
        <w:t>Load opening receivables/payables as open invoices (nil in this simulation).</w:t>
      </w:r>
    </w:p>
    <w:p>
      <w:pPr>
        <w:pStyle w:val="ListNumber"/>
        <w:spacing w:after="40"/>
      </w:pPr>
      <w:r>
        <w:rPr>
          <w:b w:val="0"/>
          <w:i w:val="0"/>
        </w:rPr>
        <w:t>Treat five-month history as reference (summary journal or scripted import); reconcile totals to the trial balance.</w:t>
      </w:r>
    </w:p>
    <w:p>
      <w:pPr>
        <w:pStyle w:val="ListNumber"/>
        <w:spacing w:after="40"/>
      </w:pPr>
      <w:r>
        <w:rPr>
          <w:b w:val="0"/>
          <w:i w:val="0"/>
        </w:rPr>
        <w:t>Run validation: counts, keys, duplicates, dates, quantity and value reconciliations; freeze legacy; go-live.</w:t>
      </w:r>
    </w:p>
    <w:p>
      <w:pPr>
        <w:pStyle w:val="Heading1"/>
      </w:pPr>
      <w:r>
        <w:t>12. Open design decisions and limitations</w:t>
      </w:r>
    </w:p>
    <w:p>
      <w:pPr>
        <w:pStyle w:val="ListBullet"/>
        <w:spacing w:after="40"/>
      </w:pPr>
      <w:r>
        <w:rPr>
          <w:b w:val="0"/>
          <w:i w:val="0"/>
        </w:rPr>
        <w:t>Confirm Odoo version/edition (Odoo 19.0 assumed; 'Odoo 20' unverified) and branch-management availability.</w:t>
      </w:r>
    </w:p>
    <w:p>
      <w:pPr>
        <w:pStyle w:val="ListBullet"/>
        <w:spacing w:after="40"/>
      </w:pPr>
      <w:r>
        <w:rPr>
          <w:b w:val="0"/>
          <w:i w:val="0"/>
        </w:rPr>
        <w:t>Hard credit-limit block, warranty tracker, approval chain and branch record rules are proposed customizations (TPD 6).</w:t>
      </w:r>
    </w:p>
    <w:p>
      <w:pPr>
        <w:pStyle w:val="ListBullet"/>
        <w:spacing w:after="40"/>
      </w:pPr>
      <w:r>
        <w:rPr>
          <w:b w:val="0"/>
          <w:i w:val="0"/>
        </w:rPr>
        <w:t>Accountant to confirm VAT treatment, withholding tax, e-invoicing and chart of accounts.</w:t>
      </w:r>
    </w:p>
    <w:p>
      <w:pPr>
        <w:pStyle w:val="ListBullet"/>
        <w:spacing w:after="40"/>
      </w:pPr>
      <w:r>
        <w:rPr>
          <w:b w:val="0"/>
          <w:i w:val="0"/>
        </w:rPr>
        <w:t>No live Odoo execution has taken place; all quantitative claims refer to the simulation.</w:t>
      </w:r>
    </w:p>
    <w:p>
      <w:pPr>
        <w:pStyle w:val="Heading1"/>
      </w:pPr>
      <w:r>
        <w:t>Appendix. User-guide outline</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041"/>
        <w:gridCol w:w="7597"/>
      </w:tblGrid>
      <w:tr>
        <w:trPr>
          <w:tblHeader w:val="true"/>
        </w:trPr>
        <w:tc>
          <w:tcPr>
            <w:tcW w:type="dxa" w:w="2041"/>
            <w:shd w:val="clear" w:color="auto" w:fill="C8102E"/>
          </w:tcPr>
          <w:p>
            <w:r/>
            <w:r>
              <w:rPr>
                <w:b/>
                <w:color w:val="FFFFFF"/>
                <w:sz w:val="17"/>
              </w:rPr>
              <w:t>Guide</w:t>
            </w:r>
          </w:p>
        </w:tc>
        <w:tc>
          <w:tcPr>
            <w:tcW w:type="dxa" w:w="7597"/>
            <w:shd w:val="clear" w:color="auto" w:fill="C8102E"/>
          </w:tcPr>
          <w:p>
            <w:r/>
            <w:r>
              <w:rPr>
                <w:b/>
                <w:color w:val="FFFFFF"/>
                <w:sz w:val="17"/>
              </w:rPr>
              <w:t>Contents</w:t>
            </w:r>
          </w:p>
        </w:tc>
      </w:tr>
      <w:tr>
        <w:trPr>
          <w:cantSplit w:val="true"/>
        </w:trPr>
        <w:tc>
          <w:tcPr>
            <w:tcW w:type="dxa" w:w="2041"/>
          </w:tcPr>
          <w:p>
            <w:pPr>
              <w:spacing w:after="0"/>
            </w:pPr>
            <w:r/>
            <w:r>
              <w:rPr>
                <w:b w:val="0"/>
                <w:i w:val="0"/>
                <w:sz w:val="17"/>
              </w:rPr>
              <w:t>Sales user</w:t>
            </w:r>
          </w:p>
        </w:tc>
        <w:tc>
          <w:tcPr>
            <w:tcW w:type="dxa" w:w="7597"/>
          </w:tcPr>
          <w:p>
            <w:pPr>
              <w:spacing w:after="0"/>
            </w:pPr>
            <w:r/>
            <w:r>
              <w:rPr>
                <w:b w:val="0"/>
                <w:i w:val="0"/>
                <w:sz w:val="17"/>
              </w:rPr>
              <w:t>Create customer, quote, confirm, deliver, invoice, handle return</w:t>
            </w:r>
          </w:p>
        </w:tc>
      </w:tr>
      <w:tr>
        <w:trPr>
          <w:cantSplit w:val="true"/>
        </w:trPr>
        <w:tc>
          <w:tcPr>
            <w:tcW w:type="dxa" w:w="2041"/>
            <w:shd w:val="clear" w:color="auto" w:fill="F9FAFB"/>
          </w:tcPr>
          <w:p>
            <w:pPr>
              <w:spacing w:after="0"/>
            </w:pPr>
            <w:r/>
            <w:r>
              <w:rPr>
                <w:b w:val="0"/>
                <w:i w:val="0"/>
                <w:sz w:val="17"/>
              </w:rPr>
              <w:t>Purchasing user</w:t>
            </w:r>
          </w:p>
        </w:tc>
        <w:tc>
          <w:tcPr>
            <w:tcW w:type="dxa" w:w="7597"/>
            <w:shd w:val="clear" w:color="auto" w:fill="F9FAFB"/>
          </w:tcPr>
          <w:p>
            <w:pPr>
              <w:spacing w:after="0"/>
            </w:pPr>
            <w:r/>
            <w:r>
              <w:rPr>
                <w:b w:val="0"/>
                <w:i w:val="0"/>
                <w:sz w:val="17"/>
              </w:rPr>
              <w:t>RFQ, PO approval, receipt follow-up, bill matching, supplier return</w:t>
            </w:r>
          </w:p>
        </w:tc>
      </w:tr>
      <w:tr>
        <w:trPr>
          <w:cantSplit w:val="true"/>
        </w:trPr>
        <w:tc>
          <w:tcPr>
            <w:tcW w:type="dxa" w:w="2041"/>
          </w:tcPr>
          <w:p>
            <w:pPr>
              <w:spacing w:after="0"/>
            </w:pPr>
            <w:r/>
            <w:r>
              <w:rPr>
                <w:b w:val="0"/>
                <w:i w:val="0"/>
                <w:sz w:val="17"/>
              </w:rPr>
              <w:t>Warehouse user</w:t>
            </w:r>
          </w:p>
        </w:tc>
        <w:tc>
          <w:tcPr>
            <w:tcW w:type="dxa" w:w="7597"/>
          </w:tcPr>
          <w:p>
            <w:pPr>
              <w:spacing w:after="0"/>
            </w:pPr>
            <w:r/>
            <w:r>
              <w:rPr>
                <w:b w:val="0"/>
                <w:i w:val="0"/>
                <w:sz w:val="17"/>
              </w:rPr>
              <w:t>Receipt with lot/serial/expiry, putaway, FEFO delivery, transfer, count</w:t>
            </w:r>
          </w:p>
        </w:tc>
      </w:tr>
      <w:tr>
        <w:trPr>
          <w:cantSplit w:val="true"/>
        </w:trPr>
        <w:tc>
          <w:tcPr>
            <w:tcW w:type="dxa" w:w="2041"/>
            <w:shd w:val="clear" w:color="auto" w:fill="F9FAFB"/>
          </w:tcPr>
          <w:p>
            <w:pPr>
              <w:spacing w:after="0"/>
            </w:pPr>
            <w:r/>
            <w:r>
              <w:rPr>
                <w:b w:val="0"/>
                <w:i w:val="0"/>
                <w:sz w:val="17"/>
              </w:rPr>
              <w:t>Quality officer</w:t>
            </w:r>
          </w:p>
        </w:tc>
        <w:tc>
          <w:tcPr>
            <w:tcW w:type="dxa" w:w="7597"/>
            <w:shd w:val="clear" w:color="auto" w:fill="F9FAFB"/>
          </w:tcPr>
          <w:p>
            <w:pPr>
              <w:spacing w:after="0"/>
            </w:pPr>
            <w:r/>
            <w:r>
              <w:rPr>
                <w:b w:val="0"/>
                <w:i w:val="0"/>
                <w:sz w:val="17"/>
              </w:rPr>
              <w:t>Inspection, quarantine disposition, scrap, near-expiry review, recall trace</w:t>
            </w:r>
          </w:p>
        </w:tc>
      </w:tr>
      <w:tr>
        <w:trPr>
          <w:cantSplit w:val="true"/>
        </w:trPr>
        <w:tc>
          <w:tcPr>
            <w:tcW w:type="dxa" w:w="2041"/>
          </w:tcPr>
          <w:p>
            <w:pPr>
              <w:spacing w:after="0"/>
            </w:pPr>
            <w:r/>
            <w:r>
              <w:rPr>
                <w:b w:val="0"/>
                <w:i w:val="0"/>
                <w:sz w:val="17"/>
              </w:rPr>
              <w:t>Accountant</w:t>
            </w:r>
          </w:p>
        </w:tc>
        <w:tc>
          <w:tcPr>
            <w:tcW w:type="dxa" w:w="7597"/>
          </w:tcPr>
          <w:p>
            <w:pPr>
              <w:spacing w:after="0"/>
            </w:pPr>
            <w:r/>
            <w:r>
              <w:rPr>
                <w:b w:val="0"/>
                <w:i w:val="0"/>
                <w:sz w:val="17"/>
              </w:rPr>
              <w:t>Bill/invoice posting, payments, reconciliation, valuation to GL, lock date</w:t>
            </w:r>
          </w:p>
        </w:tc>
      </w:tr>
      <w:tr>
        <w:trPr>
          <w:cantSplit w:val="true"/>
        </w:trPr>
        <w:tc>
          <w:tcPr>
            <w:tcW w:type="dxa" w:w="2041"/>
            <w:shd w:val="clear" w:color="auto" w:fill="F9FAFB"/>
          </w:tcPr>
          <w:p>
            <w:pPr>
              <w:spacing w:after="0"/>
            </w:pPr>
            <w:r/>
            <w:r>
              <w:rPr>
                <w:b w:val="0"/>
                <w:i w:val="0"/>
                <w:sz w:val="17"/>
              </w:rPr>
              <w:t>Manager</w:t>
            </w:r>
          </w:p>
        </w:tc>
        <w:tc>
          <w:tcPr>
            <w:tcW w:type="dxa" w:w="7597"/>
            <w:shd w:val="clear" w:color="auto" w:fill="F9FAFB"/>
          </w:tcPr>
          <w:p>
            <w:pPr>
              <w:spacing w:after="0"/>
            </w:pPr>
            <w:r/>
            <w:r>
              <w:rPr>
                <w:b w:val="0"/>
                <w:i w:val="0"/>
                <w:sz w:val="17"/>
              </w:rPr>
              <w:t>Approvals, dashboards, branch reports</w:t>
            </w:r>
          </w:p>
        </w:tc>
      </w:tr>
    </w:tbl>
    <w:p>
      <w:pPr>
        <w:spacing w:after="40"/>
      </w:pPr>
    </w:p>
    <w:sectPr w:rsidR="00FC693F" w:rsidRPr="0006063C" w:rsidSect="00034616">
      <w:headerReference w:type="default" r:id="rId9"/>
      <w:footerReference w:type="default" r:id="rId10"/>
      <w:pgSz w:w="11906" w:h="16838"/>
      <w:pgMar w:top="130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5"/>
      </w:rPr>
      <w:t xml:space="preserve">RL-SSD-001  |  v1.0  |  2026-10-25  |  Simulated graduation project - not verified on a live Odoo server  |  Page </w:t>
    </w:r>
    <w:r>
      <w:rPr>
        <w:sz w:val="15"/>
      </w:rPr>
      <w:fldChar w:fldCharType="begin"/>
      <w:instrText xml:space="preserve">PAGE</w:instrText>
      <w:fldChar w:fldCharType="end"/>
    </w:r>
    <w:r>
      <w:rPr>
        <w:color w:val="6B7280"/>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C8102E"/>
      </w:pBdr>
    </w:pPr>
    <w:r/>
    <w:r>
      <w:rPr>
        <w:color w:val="6B7280"/>
        <w:sz w:val="16"/>
      </w:rPr>
      <w:t>RedLine Medical Supplies &amp; Equipment Trading  |  Solution Design Document (SSD)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C8102E"/>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