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Go-Live and Deployment Plan</w:t>
      </w:r>
    </w:p>
    <w:p>
      <w:pPr>
        <w:bidi/>
        <w:jc w:val="right"/>
      </w:pPr>
      <w:r>
        <w:rPr>
          <w:color w:val="C8102E"/>
          <w:sz w:val="40"/>
          <w:rtl/>
          <w:rFonts w:cs="Arial" w:ascii="Arial" w:hAnsi="Arial"/>
        </w:rPr>
        <w:t>خطة التشغيل الفعلي والنشر</w:t>
      </w:r>
    </w:p>
    <w:p>
      <w:r>
        <w:rPr>
          <w:color w:val="6B7280"/>
          <w:sz w:val="26"/>
        </w:rPr>
        <w:t>Cut-over, deployment, validation, rollback, hypercare and ownership</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RL-GLP-001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Objectives and approach</w:t>
            </w:r>
          </w:p>
        </w:tc>
      </w:tr>
      <w:tr>
        <w:tc>
          <w:tcPr>
            <w:tcW w:type="dxa" w:w="1134"/>
          </w:tcPr>
          <w:p>
            <w:r>
              <w:rPr>
                <w:sz w:val="19"/>
              </w:rPr>
              <w:t>2</w:t>
            </w:r>
          </w:p>
        </w:tc>
        <w:tc>
          <w:tcPr>
            <w:tcW w:type="dxa" w:w="8504"/>
          </w:tcPr>
          <w:p>
            <w:r>
              <w:rPr>
                <w:sz w:val="19"/>
              </w:rPr>
              <w:t>Readiness criteria</w:t>
            </w:r>
          </w:p>
        </w:tc>
      </w:tr>
      <w:tr>
        <w:tc>
          <w:tcPr>
            <w:tcW w:type="dxa" w:w="1134"/>
            <w:shd w:val="clear" w:color="auto" w:fill="F9FAFB"/>
          </w:tcPr>
          <w:p>
            <w:r>
              <w:rPr>
                <w:sz w:val="19"/>
              </w:rPr>
              <w:t>3</w:t>
            </w:r>
          </w:p>
        </w:tc>
        <w:tc>
          <w:tcPr>
            <w:tcW w:type="dxa" w:w="8504"/>
            <w:shd w:val="clear" w:color="auto" w:fill="F9FAFB"/>
          </w:tcPr>
          <w:p>
            <w:r>
              <w:rPr>
                <w:sz w:val="19"/>
              </w:rPr>
              <w:t>Environments and deployment steps</w:t>
            </w:r>
          </w:p>
        </w:tc>
      </w:tr>
      <w:tr>
        <w:tc>
          <w:tcPr>
            <w:tcW w:type="dxa" w:w="1134"/>
          </w:tcPr>
          <w:p>
            <w:r>
              <w:rPr>
                <w:sz w:val="19"/>
              </w:rPr>
              <w:t>4</w:t>
            </w:r>
          </w:p>
        </w:tc>
        <w:tc>
          <w:tcPr>
            <w:tcW w:type="dxa" w:w="8504"/>
          </w:tcPr>
          <w:p>
            <w:r>
              <w:rPr>
                <w:sz w:val="19"/>
              </w:rPr>
              <w:t>Cut-over plan</w:t>
            </w:r>
          </w:p>
        </w:tc>
      </w:tr>
      <w:tr>
        <w:tc>
          <w:tcPr>
            <w:tcW w:type="dxa" w:w="1134"/>
            <w:shd w:val="clear" w:color="auto" w:fill="F9FAFB"/>
          </w:tcPr>
          <w:p>
            <w:r>
              <w:rPr>
                <w:sz w:val="19"/>
              </w:rPr>
              <w:t>5</w:t>
            </w:r>
          </w:p>
        </w:tc>
        <w:tc>
          <w:tcPr>
            <w:tcW w:type="dxa" w:w="8504"/>
            <w:shd w:val="clear" w:color="auto" w:fill="F9FAFB"/>
          </w:tcPr>
          <w:p>
            <w:r>
              <w:rPr>
                <w:sz w:val="19"/>
              </w:rPr>
              <w:t>Data load and reconciliation</w:t>
            </w:r>
          </w:p>
        </w:tc>
      </w:tr>
      <w:tr>
        <w:tc>
          <w:tcPr>
            <w:tcW w:type="dxa" w:w="1134"/>
          </w:tcPr>
          <w:p>
            <w:r>
              <w:rPr>
                <w:sz w:val="19"/>
              </w:rPr>
              <w:t>6</w:t>
            </w:r>
          </w:p>
        </w:tc>
        <w:tc>
          <w:tcPr>
            <w:tcW w:type="dxa" w:w="8504"/>
          </w:tcPr>
          <w:p>
            <w:r>
              <w:rPr>
                <w:sz w:val="19"/>
              </w:rPr>
              <w:t>Go / No-Go decision</w:t>
            </w:r>
          </w:p>
        </w:tc>
      </w:tr>
      <w:tr>
        <w:tc>
          <w:tcPr>
            <w:tcW w:type="dxa" w:w="1134"/>
            <w:shd w:val="clear" w:color="auto" w:fill="F9FAFB"/>
          </w:tcPr>
          <w:p>
            <w:r>
              <w:rPr>
                <w:sz w:val="19"/>
              </w:rPr>
              <w:t>7</w:t>
            </w:r>
          </w:p>
        </w:tc>
        <w:tc>
          <w:tcPr>
            <w:tcW w:type="dxa" w:w="8504"/>
            <w:shd w:val="clear" w:color="auto" w:fill="F9FAFB"/>
          </w:tcPr>
          <w:p>
            <w:r>
              <w:rPr>
                <w:sz w:val="19"/>
              </w:rPr>
              <w:t>Rollback plan</w:t>
            </w:r>
          </w:p>
        </w:tc>
      </w:tr>
      <w:tr>
        <w:tc>
          <w:tcPr>
            <w:tcW w:type="dxa" w:w="1134"/>
          </w:tcPr>
          <w:p>
            <w:r>
              <w:rPr>
                <w:sz w:val="19"/>
              </w:rPr>
              <w:t>8</w:t>
            </w:r>
          </w:p>
        </w:tc>
        <w:tc>
          <w:tcPr>
            <w:tcW w:type="dxa" w:w="8504"/>
          </w:tcPr>
          <w:p>
            <w:r>
              <w:rPr>
                <w:sz w:val="19"/>
              </w:rPr>
              <w:t>Hypercare and support</w:t>
            </w:r>
          </w:p>
        </w:tc>
      </w:tr>
      <w:tr>
        <w:tc>
          <w:tcPr>
            <w:tcW w:type="dxa" w:w="1134"/>
            <w:shd w:val="clear" w:color="auto" w:fill="F9FAFB"/>
          </w:tcPr>
          <w:p>
            <w:r>
              <w:rPr>
                <w:sz w:val="19"/>
              </w:rPr>
              <w:t>9</w:t>
            </w:r>
          </w:p>
        </w:tc>
        <w:tc>
          <w:tcPr>
            <w:tcW w:type="dxa" w:w="8504"/>
            <w:shd w:val="clear" w:color="auto" w:fill="F9FAFB"/>
          </w:tcPr>
          <w:p>
            <w:r>
              <w:rPr>
                <w:sz w:val="19"/>
              </w:rPr>
              <w:t>Roles and responsibilities</w:t>
            </w:r>
          </w:p>
        </w:tc>
      </w:tr>
      <w:tr>
        <w:tc>
          <w:tcPr>
            <w:tcW w:type="dxa" w:w="1134"/>
          </w:tcPr>
          <w:p>
            <w:r>
              <w:rPr>
                <w:sz w:val="19"/>
              </w:rPr>
              <w:t>10</w:t>
            </w:r>
          </w:p>
        </w:tc>
        <w:tc>
          <w:tcPr>
            <w:tcW w:type="dxa" w:w="8504"/>
          </w:tcPr>
          <w:p>
            <w:r>
              <w:rPr>
                <w:sz w:val="19"/>
              </w:rPr>
              <w:t>Risks</w:t>
            </w:r>
          </w:p>
        </w:tc>
      </w:tr>
      <w:tr>
        <w:tc>
          <w:tcPr>
            <w:tcW w:type="dxa" w:w="1134"/>
            <w:shd w:val="clear" w:color="auto" w:fill="F9FAFB"/>
          </w:tcPr>
          <w:p>
            <w:r>
              <w:rPr>
                <w:sz w:val="19"/>
              </w:rPr>
              <w:t>11</w:t>
            </w:r>
          </w:p>
        </w:tc>
        <w:tc>
          <w:tcPr>
            <w:tcW w:type="dxa" w:w="8504"/>
            <w:shd w:val="clear" w:color="auto" w:fill="F9FAFB"/>
          </w:tcPr>
          <w:p>
            <w:r>
              <w:rPr>
                <w:sz w:val="19"/>
              </w:rPr>
              <w:t>Timeline (proposed)</w:t>
            </w:r>
          </w:p>
        </w:tc>
      </w:tr>
    </w:tbl>
    <w:p>
      <w:r>
        <w:rPr>
          <w:i/>
          <w:color w:val="6B7280"/>
          <w:sz w:val="17"/>
        </w:rPr>
        <w:t>Section numbers are used for cross-references throughout the document set (e.g. 'SSD 4.2' = Solution Design Document, section 4.2).</w:t>
      </w:r>
    </w:p>
    <w:p>
      <w:r>
        <w:br w:type="page"/>
      </w:r>
    </w:p>
    <w:p>
      <w:pPr>
        <w:pStyle w:val="Heading1"/>
      </w:pPr>
      <w:r>
        <w:t>1. Objectives and approach</w:t>
      </w:r>
    </w:p>
    <w:p>
      <w:r>
        <w:rPr>
          <w:b w:val="0"/>
          <w:i w:val="0"/>
        </w:rPr>
        <w:t>Move RedLine from the manual process to Odoo 19.0 (Enterprise edition assumed) with minimal disruption: configure and rehearse on staging, migrate master data and opening balances, run a controlled cut-over, then provide hypercare. This is a plan only; no live deployment has been performed.</w:t>
      </w:r>
    </w:p>
    <w:p>
      <w:pPr>
        <w:pStyle w:val="Heading1"/>
      </w:pPr>
      <w:r>
        <w:t>2. Readiness criteria</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587"/>
        <w:gridCol w:w="3969"/>
        <w:gridCol w:w="1814"/>
        <w:gridCol w:w="2268"/>
      </w:tblGrid>
      <w:tr>
        <w:trPr>
          <w:tblHeader w:val="true"/>
        </w:trPr>
        <w:tc>
          <w:tcPr>
            <w:tcW w:type="dxa" w:w="1587"/>
            <w:shd w:val="clear" w:color="auto" w:fill="C8102E"/>
          </w:tcPr>
          <w:p>
            <w:r/>
            <w:r>
              <w:rPr>
                <w:b/>
                <w:color w:val="FFFFFF"/>
                <w:sz w:val="17"/>
              </w:rPr>
              <w:t>Area</w:t>
            </w:r>
          </w:p>
        </w:tc>
        <w:tc>
          <w:tcPr>
            <w:tcW w:type="dxa" w:w="3969"/>
            <w:shd w:val="clear" w:color="auto" w:fill="C8102E"/>
          </w:tcPr>
          <w:p>
            <w:r/>
            <w:r>
              <w:rPr>
                <w:b/>
                <w:color w:val="FFFFFF"/>
                <w:sz w:val="17"/>
              </w:rPr>
              <w:t>Criterion</w:t>
            </w:r>
          </w:p>
        </w:tc>
        <w:tc>
          <w:tcPr>
            <w:tcW w:type="dxa" w:w="1814"/>
            <w:shd w:val="clear" w:color="auto" w:fill="C8102E"/>
          </w:tcPr>
          <w:p>
            <w:r/>
            <w:r>
              <w:rPr>
                <w:b/>
                <w:color w:val="FFFFFF"/>
                <w:sz w:val="17"/>
              </w:rPr>
              <w:t>Owner</w:t>
            </w:r>
          </w:p>
        </w:tc>
        <w:tc>
          <w:tcPr>
            <w:tcW w:type="dxa" w:w="2268"/>
            <w:shd w:val="clear" w:color="auto" w:fill="C8102E"/>
          </w:tcPr>
          <w:p>
            <w:r/>
            <w:r>
              <w:rPr>
                <w:b/>
                <w:color w:val="FFFFFF"/>
                <w:sz w:val="17"/>
              </w:rPr>
              <w:t>Evidence</w:t>
            </w:r>
          </w:p>
        </w:tc>
      </w:tr>
      <w:tr>
        <w:trPr>
          <w:cantSplit w:val="true"/>
        </w:trPr>
        <w:tc>
          <w:tcPr>
            <w:tcW w:type="dxa" w:w="1587"/>
          </w:tcPr>
          <w:p>
            <w:pPr>
              <w:spacing w:after="0"/>
            </w:pPr>
            <w:r/>
            <w:r>
              <w:rPr>
                <w:b w:val="0"/>
                <w:i w:val="0"/>
                <w:sz w:val="17"/>
              </w:rPr>
              <w:t>Configuration</w:t>
            </w:r>
          </w:p>
        </w:tc>
        <w:tc>
          <w:tcPr>
            <w:tcW w:type="dxa" w:w="3969"/>
          </w:tcPr>
          <w:p>
            <w:pPr>
              <w:spacing w:after="0"/>
            </w:pPr>
            <w:r/>
            <w:r>
              <w:rPr>
                <w:b w:val="0"/>
                <w:i w:val="0"/>
                <w:sz w:val="17"/>
              </w:rPr>
              <w:t>Settings per BDC applied on staging</w:t>
            </w:r>
          </w:p>
        </w:tc>
        <w:tc>
          <w:tcPr>
            <w:tcW w:type="dxa" w:w="1814"/>
          </w:tcPr>
          <w:p>
            <w:pPr>
              <w:spacing w:after="0"/>
            </w:pPr>
            <w:r/>
            <w:r>
              <w:rPr>
                <w:b w:val="0"/>
                <w:i w:val="0"/>
                <w:sz w:val="17"/>
              </w:rPr>
              <w:t>Mohamed Mahmoud Abdel Bary</w:t>
            </w:r>
          </w:p>
        </w:tc>
        <w:tc>
          <w:tcPr>
            <w:tcW w:type="dxa" w:w="2268"/>
          </w:tcPr>
          <w:p>
            <w:pPr>
              <w:spacing w:after="0"/>
            </w:pPr>
            <w:r/>
            <w:r>
              <w:rPr>
                <w:b w:val="0"/>
                <w:i w:val="0"/>
                <w:sz w:val="17"/>
              </w:rPr>
              <w:t>Configuration checklist</w:t>
            </w:r>
          </w:p>
        </w:tc>
      </w:tr>
      <w:tr>
        <w:trPr>
          <w:cantSplit w:val="true"/>
        </w:trPr>
        <w:tc>
          <w:tcPr>
            <w:tcW w:type="dxa" w:w="1587"/>
            <w:shd w:val="clear" w:color="auto" w:fill="F9FAFB"/>
          </w:tcPr>
          <w:p>
            <w:pPr>
              <w:spacing w:after="0"/>
            </w:pPr>
            <w:r/>
            <w:r>
              <w:rPr>
                <w:b w:val="0"/>
                <w:i w:val="0"/>
                <w:sz w:val="17"/>
              </w:rPr>
              <w:t>Data</w:t>
            </w:r>
          </w:p>
        </w:tc>
        <w:tc>
          <w:tcPr>
            <w:tcW w:type="dxa" w:w="3969"/>
            <w:shd w:val="clear" w:color="auto" w:fill="F9FAFB"/>
          </w:tcPr>
          <w:p>
            <w:pPr>
              <w:spacing w:after="0"/>
            </w:pPr>
            <w:r/>
            <w:r>
              <w:rPr>
                <w:b w:val="0"/>
                <w:i w:val="0"/>
                <w:sz w:val="17"/>
              </w:rPr>
              <w:t>Import package loaded twice with no errors; reconciliations pass</w:t>
            </w:r>
          </w:p>
        </w:tc>
        <w:tc>
          <w:tcPr>
            <w:tcW w:type="dxa" w:w="1814"/>
            <w:shd w:val="clear" w:color="auto" w:fill="F9FAFB"/>
          </w:tcPr>
          <w:p>
            <w:pPr>
              <w:spacing w:after="0"/>
            </w:pPr>
            <w:r/>
            <w:r>
              <w:rPr>
                <w:b w:val="0"/>
                <w:i w:val="0"/>
                <w:sz w:val="17"/>
              </w:rPr>
              <w:t>Ahmed Mahmoud Mohamed</w:t>
            </w:r>
          </w:p>
        </w:tc>
        <w:tc>
          <w:tcPr>
            <w:tcW w:type="dxa" w:w="2268"/>
            <w:shd w:val="clear" w:color="auto" w:fill="F9FAFB"/>
          </w:tcPr>
          <w:p>
            <w:pPr>
              <w:spacing w:after="0"/>
            </w:pPr>
            <w:r/>
            <w:r>
              <w:rPr>
                <w:b w:val="0"/>
                <w:i w:val="0"/>
                <w:sz w:val="17"/>
              </w:rPr>
              <w:t>Import log, reconciliation sheet</w:t>
            </w:r>
          </w:p>
        </w:tc>
      </w:tr>
      <w:tr>
        <w:trPr>
          <w:cantSplit w:val="true"/>
        </w:trPr>
        <w:tc>
          <w:tcPr>
            <w:tcW w:type="dxa" w:w="1587"/>
          </w:tcPr>
          <w:p>
            <w:pPr>
              <w:spacing w:after="0"/>
            </w:pPr>
            <w:r/>
            <w:r>
              <w:rPr>
                <w:b w:val="0"/>
                <w:i w:val="0"/>
                <w:sz w:val="17"/>
              </w:rPr>
              <w:t>UAT</w:t>
            </w:r>
          </w:p>
        </w:tc>
        <w:tc>
          <w:tcPr>
            <w:tcW w:type="dxa" w:w="3969"/>
          </w:tcPr>
          <w:p>
            <w:pPr>
              <w:spacing w:after="0"/>
            </w:pPr>
            <w:r/>
            <w:r>
              <w:rPr>
                <w:b w:val="0"/>
                <w:i w:val="0"/>
                <w:sz w:val="17"/>
              </w:rPr>
              <w:t>All Must requirements pass on live staging; no open critical defects</w:t>
            </w:r>
          </w:p>
        </w:tc>
        <w:tc>
          <w:tcPr>
            <w:tcW w:type="dxa" w:w="1814"/>
          </w:tcPr>
          <w:p>
            <w:pPr>
              <w:spacing w:after="0"/>
            </w:pPr>
            <w:r/>
            <w:r>
              <w:rPr>
                <w:b w:val="0"/>
                <w:i w:val="0"/>
                <w:sz w:val="17"/>
              </w:rPr>
              <w:t>Fathy Adel Fathy</w:t>
            </w:r>
          </w:p>
        </w:tc>
        <w:tc>
          <w:tcPr>
            <w:tcW w:type="dxa" w:w="2268"/>
          </w:tcPr>
          <w:p>
            <w:pPr>
              <w:spacing w:after="0"/>
            </w:pPr>
            <w:r/>
            <w:r>
              <w:rPr>
                <w:b w:val="0"/>
                <w:i w:val="0"/>
                <w:sz w:val="17"/>
              </w:rPr>
              <w:t>UATD results</w:t>
            </w:r>
          </w:p>
        </w:tc>
      </w:tr>
      <w:tr>
        <w:trPr>
          <w:cantSplit w:val="true"/>
        </w:trPr>
        <w:tc>
          <w:tcPr>
            <w:tcW w:type="dxa" w:w="1587"/>
            <w:shd w:val="clear" w:color="auto" w:fill="F9FAFB"/>
          </w:tcPr>
          <w:p>
            <w:pPr>
              <w:spacing w:after="0"/>
            </w:pPr>
            <w:r/>
            <w:r>
              <w:rPr>
                <w:b w:val="0"/>
                <w:i w:val="0"/>
                <w:sz w:val="17"/>
              </w:rPr>
              <w:t>Training</w:t>
            </w:r>
          </w:p>
        </w:tc>
        <w:tc>
          <w:tcPr>
            <w:tcW w:type="dxa" w:w="3969"/>
            <w:shd w:val="clear" w:color="auto" w:fill="F9FAFB"/>
          </w:tcPr>
          <w:p>
            <w:pPr>
              <w:spacing w:after="0"/>
            </w:pPr>
            <w:r/>
            <w:r>
              <w:rPr>
                <w:b w:val="0"/>
                <w:i w:val="0"/>
                <w:sz w:val="17"/>
              </w:rPr>
              <w:t>All mandatory sessions attended; assessments passed</w:t>
            </w:r>
          </w:p>
        </w:tc>
        <w:tc>
          <w:tcPr>
            <w:tcW w:type="dxa" w:w="1814"/>
            <w:shd w:val="clear" w:color="auto" w:fill="F9FAFB"/>
          </w:tcPr>
          <w:p>
            <w:pPr>
              <w:spacing w:after="0"/>
            </w:pPr>
            <w:r/>
            <w:r>
              <w:rPr>
                <w:b w:val="0"/>
                <w:i w:val="0"/>
                <w:sz w:val="17"/>
              </w:rPr>
              <w:t>Fathy Adel Fathy</w:t>
            </w:r>
          </w:p>
        </w:tc>
        <w:tc>
          <w:tcPr>
            <w:tcW w:type="dxa" w:w="2268"/>
            <w:shd w:val="clear" w:color="auto" w:fill="F9FAFB"/>
          </w:tcPr>
          <w:p>
            <w:pPr>
              <w:spacing w:after="0"/>
            </w:pPr>
            <w:r/>
            <w:r>
              <w:rPr>
                <w:b w:val="0"/>
                <w:i w:val="0"/>
                <w:sz w:val="17"/>
              </w:rPr>
              <w:t>Attendance and results</w:t>
            </w:r>
          </w:p>
        </w:tc>
      </w:tr>
      <w:tr>
        <w:trPr>
          <w:cantSplit w:val="true"/>
        </w:trPr>
        <w:tc>
          <w:tcPr>
            <w:tcW w:type="dxa" w:w="1587"/>
          </w:tcPr>
          <w:p>
            <w:pPr>
              <w:spacing w:after="0"/>
            </w:pPr>
            <w:r/>
            <w:r>
              <w:rPr>
                <w:b w:val="0"/>
                <w:i w:val="0"/>
                <w:sz w:val="17"/>
              </w:rPr>
              <w:t>Accounting</w:t>
            </w:r>
          </w:p>
        </w:tc>
        <w:tc>
          <w:tcPr>
            <w:tcW w:type="dxa" w:w="3969"/>
          </w:tcPr>
          <w:p>
            <w:pPr>
              <w:spacing w:after="0"/>
            </w:pPr>
            <w:r/>
            <w:r>
              <w:rPr>
                <w:b w:val="0"/>
                <w:i w:val="0"/>
                <w:sz w:val="17"/>
              </w:rPr>
              <w:t>Chart, VAT and opening balances approved by accountant</w:t>
            </w:r>
          </w:p>
        </w:tc>
        <w:tc>
          <w:tcPr>
            <w:tcW w:type="dxa" w:w="1814"/>
          </w:tcPr>
          <w:p>
            <w:pPr>
              <w:spacing w:after="0"/>
            </w:pPr>
            <w:r/>
            <w:r>
              <w:rPr>
                <w:b w:val="0"/>
                <w:i w:val="0"/>
                <w:sz w:val="17"/>
              </w:rPr>
              <w:t>Omnia Haitham / Finance Manager</w:t>
            </w:r>
          </w:p>
        </w:tc>
        <w:tc>
          <w:tcPr>
            <w:tcW w:type="dxa" w:w="2268"/>
          </w:tcPr>
          <w:p>
            <w:pPr>
              <w:spacing w:after="0"/>
            </w:pPr>
            <w:r/>
            <w:r>
              <w:rPr>
                <w:b w:val="0"/>
                <w:i w:val="0"/>
                <w:sz w:val="17"/>
              </w:rPr>
              <w:t>Sign-off</w:t>
            </w:r>
          </w:p>
        </w:tc>
      </w:tr>
      <w:tr>
        <w:trPr>
          <w:cantSplit w:val="true"/>
        </w:trPr>
        <w:tc>
          <w:tcPr>
            <w:tcW w:type="dxa" w:w="1587"/>
            <w:shd w:val="clear" w:color="auto" w:fill="F9FAFB"/>
          </w:tcPr>
          <w:p>
            <w:pPr>
              <w:spacing w:after="0"/>
            </w:pPr>
            <w:r/>
            <w:r>
              <w:rPr>
                <w:b w:val="0"/>
                <w:i w:val="0"/>
                <w:sz w:val="17"/>
              </w:rPr>
              <w:t>Infrastructure</w:t>
            </w:r>
          </w:p>
        </w:tc>
        <w:tc>
          <w:tcPr>
            <w:tcW w:type="dxa" w:w="3969"/>
            <w:shd w:val="clear" w:color="auto" w:fill="F9FAFB"/>
          </w:tcPr>
          <w:p>
            <w:pPr>
              <w:spacing w:after="0"/>
            </w:pPr>
            <w:r/>
            <w:r>
              <w:rPr>
                <w:b w:val="0"/>
                <w:i w:val="0"/>
                <w:sz w:val="17"/>
              </w:rPr>
              <w:t>Backups and restore tested; production access ready</w:t>
            </w:r>
          </w:p>
        </w:tc>
        <w:tc>
          <w:tcPr>
            <w:tcW w:type="dxa" w:w="1814"/>
            <w:shd w:val="clear" w:color="auto" w:fill="F9FAFB"/>
          </w:tcPr>
          <w:p>
            <w:pPr>
              <w:spacing w:after="0"/>
            </w:pPr>
            <w:r/>
            <w:r>
              <w:rPr>
                <w:b w:val="0"/>
                <w:i w:val="0"/>
                <w:sz w:val="17"/>
              </w:rPr>
              <w:t>Ahmed Mahmoud Mohamed</w:t>
            </w:r>
          </w:p>
        </w:tc>
        <w:tc>
          <w:tcPr>
            <w:tcW w:type="dxa" w:w="2268"/>
            <w:shd w:val="clear" w:color="auto" w:fill="F9FAFB"/>
          </w:tcPr>
          <w:p>
            <w:pPr>
              <w:spacing w:after="0"/>
            </w:pPr>
            <w:r/>
            <w:r>
              <w:rPr>
                <w:b w:val="0"/>
                <w:i w:val="0"/>
                <w:sz w:val="17"/>
              </w:rPr>
              <w:t>Restore test record</w:t>
            </w:r>
          </w:p>
        </w:tc>
      </w:tr>
      <w:tr>
        <w:trPr>
          <w:cantSplit w:val="true"/>
        </w:trPr>
        <w:tc>
          <w:tcPr>
            <w:tcW w:type="dxa" w:w="1587"/>
          </w:tcPr>
          <w:p>
            <w:pPr>
              <w:spacing w:after="0"/>
            </w:pPr>
            <w:r/>
            <w:r>
              <w:rPr>
                <w:b w:val="0"/>
                <w:i w:val="0"/>
                <w:sz w:val="17"/>
              </w:rPr>
              <w:t>Business</w:t>
            </w:r>
          </w:p>
        </w:tc>
        <w:tc>
          <w:tcPr>
            <w:tcW w:type="dxa" w:w="3969"/>
          </w:tcPr>
          <w:p>
            <w:pPr>
              <w:spacing w:after="0"/>
            </w:pPr>
            <w:r/>
            <w:r>
              <w:rPr>
                <w:b w:val="0"/>
                <w:i w:val="0"/>
                <w:sz w:val="17"/>
              </w:rPr>
              <w:t>Sponsor sign-off</w:t>
            </w:r>
          </w:p>
        </w:tc>
        <w:tc>
          <w:tcPr>
            <w:tcW w:type="dxa" w:w="1814"/>
          </w:tcPr>
          <w:p>
            <w:pPr>
              <w:spacing w:after="0"/>
            </w:pPr>
            <w:r/>
            <w:r>
              <w:rPr>
                <w:b w:val="0"/>
                <w:i w:val="0"/>
                <w:sz w:val="17"/>
              </w:rPr>
              <w:t>General Manager</w:t>
            </w:r>
          </w:p>
        </w:tc>
        <w:tc>
          <w:tcPr>
            <w:tcW w:type="dxa" w:w="2268"/>
          </w:tcPr>
          <w:p>
            <w:pPr>
              <w:spacing w:after="0"/>
            </w:pPr>
            <w:r/>
            <w:r>
              <w:rPr>
                <w:b w:val="0"/>
                <w:i w:val="0"/>
                <w:sz w:val="17"/>
              </w:rPr>
              <w:t>Go-live approval form</w:t>
            </w:r>
          </w:p>
        </w:tc>
      </w:tr>
    </w:tbl>
    <w:p>
      <w:pPr>
        <w:spacing w:after="40"/>
      </w:pPr>
    </w:p>
    <w:p>
      <w:pPr>
        <w:pStyle w:val="Heading1"/>
      </w:pPr>
      <w:r>
        <w:t>3. Environments and deployment steps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850"/>
        <w:gridCol w:w="6803"/>
        <w:gridCol w:w="1984"/>
      </w:tblGrid>
      <w:tr>
        <w:trPr>
          <w:tblHeader w:val="true"/>
        </w:trPr>
        <w:tc>
          <w:tcPr>
            <w:tcW w:type="dxa" w:w="850"/>
            <w:shd w:val="clear" w:color="auto" w:fill="C8102E"/>
          </w:tcPr>
          <w:p>
            <w:r/>
            <w:r>
              <w:rPr>
                <w:b/>
                <w:color w:val="FFFFFF"/>
                <w:sz w:val="17"/>
              </w:rPr>
              <w:t>Step</w:t>
            </w:r>
          </w:p>
        </w:tc>
        <w:tc>
          <w:tcPr>
            <w:tcW w:type="dxa" w:w="6803"/>
            <w:shd w:val="clear" w:color="auto" w:fill="C8102E"/>
          </w:tcPr>
          <w:p>
            <w:r/>
            <w:r>
              <w:rPr>
                <w:b/>
                <w:color w:val="FFFFFF"/>
                <w:sz w:val="17"/>
              </w:rPr>
              <w:t>Activity</w:t>
            </w:r>
          </w:p>
        </w:tc>
        <w:tc>
          <w:tcPr>
            <w:tcW w:type="dxa" w:w="1984"/>
            <w:shd w:val="clear" w:color="auto" w:fill="C8102E"/>
          </w:tcPr>
          <w:p>
            <w:r/>
            <w:r>
              <w:rPr>
                <w:b/>
                <w:color w:val="FFFFFF"/>
                <w:sz w:val="17"/>
              </w:rPr>
              <w:t>Owner</w:t>
            </w:r>
          </w:p>
        </w:tc>
      </w:tr>
      <w:tr>
        <w:trPr>
          <w:cantSplit w:val="true"/>
        </w:trPr>
        <w:tc>
          <w:tcPr>
            <w:tcW w:type="dxa" w:w="850"/>
          </w:tcPr>
          <w:p>
            <w:pPr>
              <w:spacing w:after="0"/>
            </w:pPr>
            <w:r/>
            <w:r>
              <w:rPr>
                <w:b w:val="0"/>
                <w:i w:val="0"/>
                <w:sz w:val="17"/>
              </w:rPr>
              <w:t>1</w:t>
            </w:r>
          </w:p>
        </w:tc>
        <w:tc>
          <w:tcPr>
            <w:tcW w:type="dxa" w:w="6803"/>
          </w:tcPr>
          <w:p>
            <w:pPr>
              <w:spacing w:after="0"/>
            </w:pPr>
            <w:r/>
            <w:r>
              <w:rPr>
                <w:b w:val="0"/>
                <w:i w:val="0"/>
                <w:sz w:val="17"/>
              </w:rPr>
              <w:t>Provision production database (hosting option decided: Odoo Online / Odoo.sh / on-premise)</w:t>
            </w:r>
          </w:p>
        </w:tc>
        <w:tc>
          <w:tcPr>
            <w:tcW w:type="dxa" w:w="1984"/>
          </w:tcPr>
          <w:p>
            <w:pPr>
              <w:spacing w:after="0"/>
            </w:pPr>
            <w:r/>
            <w:r>
              <w:rPr>
                <w:b w:val="0"/>
                <w:i w:val="0"/>
                <w:sz w:val="17"/>
              </w:rPr>
              <w:t>Ahmed Mahmoud Mohamed</w:t>
            </w:r>
          </w:p>
        </w:tc>
      </w:tr>
      <w:tr>
        <w:trPr>
          <w:cantSplit w:val="true"/>
        </w:trPr>
        <w:tc>
          <w:tcPr>
            <w:tcW w:type="dxa" w:w="850"/>
            <w:shd w:val="clear" w:color="auto" w:fill="F9FAFB"/>
          </w:tcPr>
          <w:p>
            <w:pPr>
              <w:spacing w:after="0"/>
            </w:pPr>
            <w:r/>
            <w:r>
              <w:rPr>
                <w:b w:val="0"/>
                <w:i w:val="0"/>
                <w:sz w:val="17"/>
              </w:rPr>
              <w:t>2</w:t>
            </w:r>
          </w:p>
        </w:tc>
        <w:tc>
          <w:tcPr>
            <w:tcW w:type="dxa" w:w="6803"/>
            <w:shd w:val="clear" w:color="auto" w:fill="F9FAFB"/>
          </w:tcPr>
          <w:p>
            <w:pPr>
              <w:spacing w:after="0"/>
            </w:pPr>
            <w:r/>
            <w:r>
              <w:rPr>
                <w:b w:val="0"/>
                <w:i w:val="0"/>
                <w:sz w:val="17"/>
              </w:rPr>
              <w:t>Install apps and configure settings; set company, branches, warehouses, taxes, journals</w:t>
            </w:r>
          </w:p>
        </w:tc>
        <w:tc>
          <w:tcPr>
            <w:tcW w:type="dxa" w:w="1984"/>
            <w:shd w:val="clear" w:color="auto" w:fill="F9FAFB"/>
          </w:tcPr>
          <w:p>
            <w:pPr>
              <w:spacing w:after="0"/>
            </w:pPr>
            <w:r/>
            <w:r>
              <w:rPr>
                <w:b w:val="0"/>
                <w:i w:val="0"/>
                <w:sz w:val="17"/>
              </w:rPr>
              <w:t>Mohamed Mahmoud Abdel Bary</w:t>
            </w:r>
          </w:p>
        </w:tc>
      </w:tr>
      <w:tr>
        <w:trPr>
          <w:cantSplit w:val="true"/>
        </w:trPr>
        <w:tc>
          <w:tcPr>
            <w:tcW w:type="dxa" w:w="850"/>
          </w:tcPr>
          <w:p>
            <w:pPr>
              <w:spacing w:after="0"/>
            </w:pPr>
            <w:r/>
            <w:r>
              <w:rPr>
                <w:b w:val="0"/>
                <w:i w:val="0"/>
                <w:sz w:val="17"/>
              </w:rPr>
              <w:t>3</w:t>
            </w:r>
          </w:p>
        </w:tc>
        <w:tc>
          <w:tcPr>
            <w:tcW w:type="dxa" w:w="6803"/>
          </w:tcPr>
          <w:p>
            <w:pPr>
              <w:spacing w:after="0"/>
            </w:pPr>
            <w:r/>
            <w:r>
              <w:rPr>
                <w:b w:val="0"/>
                <w:i w:val="0"/>
                <w:sz w:val="17"/>
              </w:rPr>
              <w:t>Install proposed custom module (if approved) after staging tests</w:t>
            </w:r>
          </w:p>
        </w:tc>
        <w:tc>
          <w:tcPr>
            <w:tcW w:type="dxa" w:w="1984"/>
          </w:tcPr>
          <w:p>
            <w:pPr>
              <w:spacing w:after="0"/>
            </w:pPr>
            <w:r/>
            <w:r>
              <w:rPr>
                <w:b w:val="0"/>
                <w:i w:val="0"/>
                <w:sz w:val="17"/>
              </w:rPr>
              <w:t>Ahmed Mahmoud Mohamed</w:t>
            </w:r>
          </w:p>
        </w:tc>
      </w:tr>
      <w:tr>
        <w:trPr>
          <w:cantSplit w:val="true"/>
        </w:trPr>
        <w:tc>
          <w:tcPr>
            <w:tcW w:type="dxa" w:w="850"/>
            <w:shd w:val="clear" w:color="auto" w:fill="F9FAFB"/>
          </w:tcPr>
          <w:p>
            <w:pPr>
              <w:spacing w:after="0"/>
            </w:pPr>
            <w:r/>
            <w:r>
              <w:rPr>
                <w:b w:val="0"/>
                <w:i w:val="0"/>
                <w:sz w:val="17"/>
              </w:rPr>
              <w:t>4</w:t>
            </w:r>
          </w:p>
        </w:tc>
        <w:tc>
          <w:tcPr>
            <w:tcW w:type="dxa" w:w="6803"/>
            <w:shd w:val="clear" w:color="auto" w:fill="F9FAFB"/>
          </w:tcPr>
          <w:p>
            <w:pPr>
              <w:spacing w:after="0"/>
            </w:pPr>
            <w:r/>
            <w:r>
              <w:rPr>
                <w:b w:val="0"/>
                <w:i w:val="0"/>
                <w:sz w:val="17"/>
              </w:rPr>
              <w:t>Create users and groups per UPD; enable MFA for administrators</w:t>
            </w:r>
          </w:p>
        </w:tc>
        <w:tc>
          <w:tcPr>
            <w:tcW w:type="dxa" w:w="1984"/>
            <w:shd w:val="clear" w:color="auto" w:fill="F9FAFB"/>
          </w:tcPr>
          <w:p>
            <w:pPr>
              <w:spacing w:after="0"/>
            </w:pPr>
            <w:r/>
            <w:r>
              <w:rPr>
                <w:b w:val="0"/>
                <w:i w:val="0"/>
                <w:sz w:val="17"/>
              </w:rPr>
              <w:t>Ahmed Mahmoud Mohamed</w:t>
            </w:r>
          </w:p>
        </w:tc>
      </w:tr>
      <w:tr>
        <w:trPr>
          <w:cantSplit w:val="true"/>
        </w:trPr>
        <w:tc>
          <w:tcPr>
            <w:tcW w:type="dxa" w:w="850"/>
          </w:tcPr>
          <w:p>
            <w:pPr>
              <w:spacing w:after="0"/>
            </w:pPr>
            <w:r/>
            <w:r>
              <w:rPr>
                <w:b w:val="0"/>
                <w:i w:val="0"/>
                <w:sz w:val="17"/>
              </w:rPr>
              <w:t>5</w:t>
            </w:r>
          </w:p>
        </w:tc>
        <w:tc>
          <w:tcPr>
            <w:tcW w:type="dxa" w:w="6803"/>
          </w:tcPr>
          <w:p>
            <w:pPr>
              <w:spacing w:after="0"/>
            </w:pPr>
            <w:r/>
            <w:r>
              <w:rPr>
                <w:b w:val="0"/>
                <w:i w:val="0"/>
                <w:sz w:val="17"/>
              </w:rPr>
              <w:t>Apply report templates (Arabic/RTL), print layouts, email server</w:t>
            </w:r>
          </w:p>
        </w:tc>
        <w:tc>
          <w:tcPr>
            <w:tcW w:type="dxa" w:w="1984"/>
          </w:tcPr>
          <w:p>
            <w:pPr>
              <w:spacing w:after="0"/>
            </w:pPr>
            <w:r/>
            <w:r>
              <w:rPr>
                <w:b w:val="0"/>
                <w:i w:val="0"/>
                <w:sz w:val="17"/>
              </w:rPr>
              <w:t>Ahmed Mahmoud Mohamed</w:t>
            </w:r>
          </w:p>
        </w:tc>
      </w:tr>
      <w:tr>
        <w:trPr>
          <w:cantSplit w:val="true"/>
        </w:trPr>
        <w:tc>
          <w:tcPr>
            <w:tcW w:type="dxa" w:w="850"/>
            <w:shd w:val="clear" w:color="auto" w:fill="F9FAFB"/>
          </w:tcPr>
          <w:p>
            <w:pPr>
              <w:spacing w:after="0"/>
            </w:pPr>
            <w:r/>
            <w:r>
              <w:rPr>
                <w:b w:val="0"/>
                <w:i w:val="0"/>
                <w:sz w:val="17"/>
              </w:rPr>
              <w:t>6</w:t>
            </w:r>
          </w:p>
        </w:tc>
        <w:tc>
          <w:tcPr>
            <w:tcW w:type="dxa" w:w="6803"/>
            <w:shd w:val="clear" w:color="auto" w:fill="F9FAFB"/>
          </w:tcPr>
          <w:p>
            <w:pPr>
              <w:spacing w:after="0"/>
            </w:pPr>
            <w:r/>
            <w:r>
              <w:rPr>
                <w:b w:val="0"/>
                <w:i w:val="0"/>
                <w:sz w:val="17"/>
              </w:rPr>
              <w:t>Configure scheduled backups and monitoring</w:t>
            </w:r>
          </w:p>
        </w:tc>
        <w:tc>
          <w:tcPr>
            <w:tcW w:type="dxa" w:w="1984"/>
            <w:shd w:val="clear" w:color="auto" w:fill="F9FAFB"/>
          </w:tcPr>
          <w:p>
            <w:pPr>
              <w:spacing w:after="0"/>
            </w:pPr>
            <w:r/>
            <w:r>
              <w:rPr>
                <w:b w:val="0"/>
                <w:i w:val="0"/>
                <w:sz w:val="17"/>
              </w:rPr>
              <w:t>Ahmed Mahmoud Mohamed</w:t>
            </w:r>
          </w:p>
        </w:tc>
      </w:tr>
    </w:tbl>
    <w:p>
      <w:pPr>
        <w:spacing w:after="40"/>
      </w:pPr>
    </w:p>
    <w:p>
      <w:pPr>
        <w:pStyle w:val="Heading1"/>
      </w:pPr>
      <w:r>
        <w:t>4. Cut-over plan</w:t>
      </w:r>
    </w:p>
    <w:p>
      <w:r>
        <w:rPr>
          <w:b w:val="0"/>
          <w:i w:val="0"/>
        </w:rPr>
        <w:t>Cut-over is scheduled on a Friday/Saturday weekend to avoid business hours. Legacy records are frozen at the agreed time.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928"/>
        <w:gridCol w:w="5669"/>
        <w:gridCol w:w="2041"/>
      </w:tblGrid>
      <w:tr>
        <w:trPr>
          <w:tblHeader w:val="true"/>
        </w:trPr>
        <w:tc>
          <w:tcPr>
            <w:tcW w:type="dxa" w:w="1928"/>
            <w:shd w:val="clear" w:color="auto" w:fill="C8102E"/>
          </w:tcPr>
          <w:p>
            <w:r/>
            <w:r>
              <w:rPr>
                <w:b/>
                <w:color w:val="FFFFFF"/>
                <w:sz w:val="17"/>
              </w:rPr>
              <w:t>When</w:t>
            </w:r>
          </w:p>
        </w:tc>
        <w:tc>
          <w:tcPr>
            <w:tcW w:type="dxa" w:w="5669"/>
            <w:shd w:val="clear" w:color="auto" w:fill="C8102E"/>
          </w:tcPr>
          <w:p>
            <w:r/>
            <w:r>
              <w:rPr>
                <w:b/>
                <w:color w:val="FFFFFF"/>
                <w:sz w:val="17"/>
              </w:rPr>
              <w:t>Activity</w:t>
            </w:r>
          </w:p>
        </w:tc>
        <w:tc>
          <w:tcPr>
            <w:tcW w:type="dxa" w:w="2041"/>
            <w:shd w:val="clear" w:color="auto" w:fill="C8102E"/>
          </w:tcPr>
          <w:p>
            <w:r/>
            <w:r>
              <w:rPr>
                <w:b/>
                <w:color w:val="FFFFFF"/>
                <w:sz w:val="17"/>
              </w:rPr>
              <w:t>Owner</w:t>
            </w:r>
          </w:p>
        </w:tc>
      </w:tr>
      <w:tr>
        <w:trPr>
          <w:cantSplit w:val="true"/>
        </w:trPr>
        <w:tc>
          <w:tcPr>
            <w:tcW w:type="dxa" w:w="1928"/>
          </w:tcPr>
          <w:p>
            <w:pPr>
              <w:spacing w:after="0"/>
            </w:pPr>
            <w:r/>
            <w:r>
              <w:rPr>
                <w:b w:val="0"/>
                <w:i w:val="0"/>
                <w:sz w:val="17"/>
              </w:rPr>
              <w:t>T-7 days</w:t>
            </w:r>
          </w:p>
        </w:tc>
        <w:tc>
          <w:tcPr>
            <w:tcW w:type="dxa" w:w="5669"/>
          </w:tcPr>
          <w:p>
            <w:pPr>
              <w:spacing w:after="0"/>
            </w:pPr>
            <w:r/>
            <w:r>
              <w:rPr>
                <w:b w:val="0"/>
                <w:i w:val="0"/>
                <w:sz w:val="17"/>
              </w:rPr>
              <w:t>Final rehearsal on staging; freeze configuration</w:t>
            </w:r>
          </w:p>
        </w:tc>
        <w:tc>
          <w:tcPr>
            <w:tcW w:type="dxa" w:w="2041"/>
          </w:tcPr>
          <w:p>
            <w:pPr>
              <w:spacing w:after="0"/>
            </w:pPr>
            <w:r/>
            <w:r>
              <w:rPr>
                <w:b w:val="0"/>
                <w:i w:val="0"/>
                <w:sz w:val="17"/>
              </w:rPr>
              <w:t>Team</w:t>
            </w:r>
          </w:p>
        </w:tc>
      </w:tr>
      <w:tr>
        <w:trPr>
          <w:cantSplit w:val="true"/>
        </w:trPr>
        <w:tc>
          <w:tcPr>
            <w:tcW w:type="dxa" w:w="1928"/>
            <w:shd w:val="clear" w:color="auto" w:fill="F9FAFB"/>
          </w:tcPr>
          <w:p>
            <w:pPr>
              <w:spacing w:after="0"/>
            </w:pPr>
            <w:r/>
            <w:r>
              <w:rPr>
                <w:b w:val="0"/>
                <w:i w:val="0"/>
                <w:sz w:val="17"/>
              </w:rPr>
              <w:t>T-2 days</w:t>
            </w:r>
          </w:p>
        </w:tc>
        <w:tc>
          <w:tcPr>
            <w:tcW w:type="dxa" w:w="5669"/>
            <w:shd w:val="clear" w:color="auto" w:fill="F9FAFB"/>
          </w:tcPr>
          <w:p>
            <w:pPr>
              <w:spacing w:after="0"/>
            </w:pPr>
            <w:r/>
            <w:r>
              <w:rPr>
                <w:b w:val="0"/>
                <w:i w:val="0"/>
                <w:sz w:val="17"/>
              </w:rPr>
              <w:t>Communicate cut-over to staff, customers and vendors</w:t>
            </w:r>
          </w:p>
        </w:tc>
        <w:tc>
          <w:tcPr>
            <w:tcW w:type="dxa" w:w="2041"/>
            <w:shd w:val="clear" w:color="auto" w:fill="F9FAFB"/>
          </w:tcPr>
          <w:p>
            <w:pPr>
              <w:spacing w:after="0"/>
            </w:pPr>
            <w:r/>
            <w:r>
              <w:rPr>
                <w:b w:val="0"/>
                <w:i w:val="0"/>
                <w:sz w:val="17"/>
              </w:rPr>
              <w:t>General Manager</w:t>
            </w:r>
          </w:p>
        </w:tc>
      </w:tr>
      <w:tr>
        <w:trPr>
          <w:cantSplit w:val="true"/>
        </w:trPr>
        <w:tc>
          <w:tcPr>
            <w:tcW w:type="dxa" w:w="1928"/>
          </w:tcPr>
          <w:p>
            <w:pPr>
              <w:spacing w:after="0"/>
            </w:pPr>
            <w:r/>
            <w:r>
              <w:rPr>
                <w:b w:val="0"/>
                <w:i w:val="0"/>
                <w:sz w:val="17"/>
              </w:rPr>
              <w:t>T-1 day (Thursday)</w:t>
            </w:r>
          </w:p>
        </w:tc>
        <w:tc>
          <w:tcPr>
            <w:tcW w:type="dxa" w:w="5669"/>
          </w:tcPr>
          <w:p>
            <w:pPr>
              <w:spacing w:after="0"/>
            </w:pPr>
            <w:r/>
            <w:r>
              <w:rPr>
                <w:b w:val="0"/>
                <w:i w:val="0"/>
                <w:sz w:val="17"/>
              </w:rPr>
              <w:t>Complete open deliveries/receipts; month-to-date reconciliations in legacy</w:t>
            </w:r>
          </w:p>
        </w:tc>
        <w:tc>
          <w:tcPr>
            <w:tcW w:type="dxa" w:w="2041"/>
          </w:tcPr>
          <w:p>
            <w:pPr>
              <w:spacing w:after="0"/>
            </w:pPr>
            <w:r/>
            <w:r>
              <w:rPr>
                <w:b w:val="0"/>
                <w:i w:val="0"/>
                <w:sz w:val="17"/>
              </w:rPr>
              <w:t>Warehouse / Accounting</w:t>
            </w:r>
          </w:p>
        </w:tc>
      </w:tr>
      <w:tr>
        <w:trPr>
          <w:cantSplit w:val="true"/>
        </w:trPr>
        <w:tc>
          <w:tcPr>
            <w:tcW w:type="dxa" w:w="1928"/>
            <w:shd w:val="clear" w:color="auto" w:fill="F9FAFB"/>
          </w:tcPr>
          <w:p>
            <w:pPr>
              <w:spacing w:after="0"/>
            </w:pPr>
            <w:r/>
            <w:r>
              <w:rPr>
                <w:b w:val="0"/>
                <w:i w:val="0"/>
                <w:sz w:val="17"/>
              </w:rPr>
              <w:t>Friday</w:t>
            </w:r>
          </w:p>
        </w:tc>
        <w:tc>
          <w:tcPr>
            <w:tcW w:type="dxa" w:w="5669"/>
            <w:shd w:val="clear" w:color="auto" w:fill="F9FAFB"/>
          </w:tcPr>
          <w:p>
            <w:pPr>
              <w:spacing w:after="0"/>
            </w:pPr>
            <w:r/>
            <w:r>
              <w:rPr>
                <w:b w:val="0"/>
                <w:i w:val="0"/>
                <w:sz w:val="17"/>
              </w:rPr>
              <w:t>Final physical count; export stock by lot/serial; export open invoices and bills</w:t>
            </w:r>
          </w:p>
        </w:tc>
        <w:tc>
          <w:tcPr>
            <w:tcW w:type="dxa" w:w="2041"/>
            <w:shd w:val="clear" w:color="auto" w:fill="F9FAFB"/>
          </w:tcPr>
          <w:p>
            <w:pPr>
              <w:spacing w:after="0"/>
            </w:pPr>
            <w:r/>
            <w:r>
              <w:rPr>
                <w:b w:val="0"/>
                <w:i w:val="0"/>
                <w:sz w:val="17"/>
              </w:rPr>
              <w:t>Warehouse / Accounting</w:t>
            </w:r>
          </w:p>
        </w:tc>
      </w:tr>
      <w:tr>
        <w:trPr>
          <w:cantSplit w:val="true"/>
        </w:trPr>
        <w:tc>
          <w:tcPr>
            <w:tcW w:type="dxa" w:w="1928"/>
          </w:tcPr>
          <w:p>
            <w:pPr>
              <w:spacing w:after="0"/>
            </w:pPr>
            <w:r/>
            <w:r>
              <w:rPr>
                <w:b w:val="0"/>
                <w:i w:val="0"/>
                <w:sz w:val="17"/>
              </w:rPr>
              <w:t>Friday</w:t>
            </w:r>
          </w:p>
        </w:tc>
        <w:tc>
          <w:tcPr>
            <w:tcW w:type="dxa" w:w="5669"/>
          </w:tcPr>
          <w:p>
            <w:pPr>
              <w:spacing w:after="0"/>
            </w:pPr>
            <w:r/>
            <w:r>
              <w:rPr>
                <w:b w:val="0"/>
                <w:i w:val="0"/>
                <w:sz w:val="17"/>
              </w:rPr>
              <w:t>Import: accounts, journals, warehouses, categories, partners, products, lots/serials</w:t>
            </w:r>
          </w:p>
        </w:tc>
        <w:tc>
          <w:tcPr>
            <w:tcW w:type="dxa" w:w="2041"/>
          </w:tcPr>
          <w:p>
            <w:pPr>
              <w:spacing w:after="0"/>
            </w:pPr>
            <w:r/>
            <w:r>
              <w:rPr>
                <w:b w:val="0"/>
                <w:i w:val="0"/>
                <w:sz w:val="17"/>
              </w:rPr>
              <w:t>Ahmed Mahmoud Mohamed</w:t>
            </w:r>
          </w:p>
        </w:tc>
      </w:tr>
      <w:tr>
        <w:trPr>
          <w:cantSplit w:val="true"/>
        </w:trPr>
        <w:tc>
          <w:tcPr>
            <w:tcW w:type="dxa" w:w="1928"/>
            <w:shd w:val="clear" w:color="auto" w:fill="F9FAFB"/>
          </w:tcPr>
          <w:p>
            <w:pPr>
              <w:spacing w:after="0"/>
            </w:pPr>
            <w:r/>
            <w:r>
              <w:rPr>
                <w:b w:val="0"/>
                <w:i w:val="0"/>
                <w:sz w:val="17"/>
              </w:rPr>
              <w:t>Saturday</w:t>
            </w:r>
          </w:p>
        </w:tc>
        <w:tc>
          <w:tcPr>
            <w:tcW w:type="dxa" w:w="5669"/>
            <w:shd w:val="clear" w:color="auto" w:fill="F9FAFB"/>
          </w:tcPr>
          <w:p>
            <w:pPr>
              <w:spacing w:after="0"/>
            </w:pPr>
            <w:r/>
            <w:r>
              <w:rPr>
                <w:b w:val="0"/>
                <w:i w:val="0"/>
                <w:sz w:val="17"/>
              </w:rPr>
              <w:t>Opening stock by location/lot, opening receivables and payables; reconciliation</w:t>
            </w:r>
          </w:p>
        </w:tc>
        <w:tc>
          <w:tcPr>
            <w:tcW w:type="dxa" w:w="2041"/>
            <w:shd w:val="clear" w:color="auto" w:fill="F9FAFB"/>
          </w:tcPr>
          <w:p>
            <w:pPr>
              <w:spacing w:after="0"/>
            </w:pPr>
            <w:r/>
            <w:r>
              <w:rPr>
                <w:b w:val="0"/>
                <w:i w:val="0"/>
                <w:sz w:val="17"/>
              </w:rPr>
              <w:t>Ahmed Mahmoud Mohamed, Finance</w:t>
            </w:r>
          </w:p>
        </w:tc>
      </w:tr>
      <w:tr>
        <w:trPr>
          <w:cantSplit w:val="true"/>
        </w:trPr>
        <w:tc>
          <w:tcPr>
            <w:tcW w:type="dxa" w:w="1928"/>
          </w:tcPr>
          <w:p>
            <w:pPr>
              <w:spacing w:after="0"/>
            </w:pPr>
            <w:r/>
            <w:r>
              <w:rPr>
                <w:b w:val="0"/>
                <w:i w:val="0"/>
                <w:sz w:val="17"/>
              </w:rPr>
              <w:t>Saturday</w:t>
            </w:r>
          </w:p>
        </w:tc>
        <w:tc>
          <w:tcPr>
            <w:tcW w:type="dxa" w:w="5669"/>
          </w:tcPr>
          <w:p>
            <w:pPr>
              <w:spacing w:after="0"/>
            </w:pPr>
            <w:r/>
            <w:r>
              <w:rPr>
                <w:b w:val="0"/>
                <w:i w:val="0"/>
                <w:sz w:val="17"/>
              </w:rPr>
              <w:t>Smoke test of key flows (sale, purchase, transfer, return)</w:t>
            </w:r>
          </w:p>
        </w:tc>
        <w:tc>
          <w:tcPr>
            <w:tcW w:type="dxa" w:w="2041"/>
          </w:tcPr>
          <w:p>
            <w:pPr>
              <w:spacing w:after="0"/>
            </w:pPr>
            <w:r/>
            <w:r>
              <w:rPr>
                <w:b w:val="0"/>
                <w:i w:val="0"/>
                <w:sz w:val="17"/>
              </w:rPr>
              <w:t>Fathy Adel Fathy</w:t>
            </w:r>
          </w:p>
        </w:tc>
      </w:tr>
      <w:tr>
        <w:trPr>
          <w:cantSplit w:val="true"/>
        </w:trPr>
        <w:tc>
          <w:tcPr>
            <w:tcW w:type="dxa" w:w="1928"/>
            <w:shd w:val="clear" w:color="auto" w:fill="F9FAFB"/>
          </w:tcPr>
          <w:p>
            <w:pPr>
              <w:spacing w:after="0"/>
            </w:pPr>
            <w:r/>
            <w:r>
              <w:rPr>
                <w:b w:val="0"/>
                <w:i w:val="0"/>
                <w:sz w:val="17"/>
              </w:rPr>
              <w:t>Saturday evening</w:t>
            </w:r>
          </w:p>
        </w:tc>
        <w:tc>
          <w:tcPr>
            <w:tcW w:type="dxa" w:w="5669"/>
            <w:shd w:val="clear" w:color="auto" w:fill="F9FAFB"/>
          </w:tcPr>
          <w:p>
            <w:pPr>
              <w:spacing w:after="0"/>
            </w:pPr>
            <w:r/>
            <w:r>
              <w:rPr>
                <w:b w:val="0"/>
                <w:i w:val="0"/>
                <w:sz w:val="17"/>
              </w:rPr>
              <w:t>Go / No-Go decision</w:t>
            </w:r>
          </w:p>
        </w:tc>
        <w:tc>
          <w:tcPr>
            <w:tcW w:type="dxa" w:w="2041"/>
            <w:shd w:val="clear" w:color="auto" w:fill="F9FAFB"/>
          </w:tcPr>
          <w:p>
            <w:pPr>
              <w:spacing w:after="0"/>
            </w:pPr>
            <w:r/>
            <w:r>
              <w:rPr>
                <w:b w:val="0"/>
                <w:i w:val="0"/>
                <w:sz w:val="17"/>
              </w:rPr>
              <w:t>General Manager</w:t>
            </w:r>
          </w:p>
        </w:tc>
      </w:tr>
      <w:tr>
        <w:trPr>
          <w:cantSplit w:val="true"/>
        </w:trPr>
        <w:tc>
          <w:tcPr>
            <w:tcW w:type="dxa" w:w="1928"/>
          </w:tcPr>
          <w:p>
            <w:pPr>
              <w:spacing w:after="0"/>
            </w:pPr>
            <w:r/>
            <w:r>
              <w:rPr>
                <w:b w:val="0"/>
                <w:i w:val="0"/>
                <w:sz w:val="17"/>
              </w:rPr>
              <w:t>Sunday</w:t>
            </w:r>
          </w:p>
        </w:tc>
        <w:tc>
          <w:tcPr>
            <w:tcW w:type="dxa" w:w="5669"/>
          </w:tcPr>
          <w:p>
            <w:pPr>
              <w:spacing w:after="0"/>
            </w:pPr>
            <w:r/>
            <w:r>
              <w:rPr>
                <w:b w:val="0"/>
                <w:i w:val="0"/>
                <w:sz w:val="17"/>
              </w:rPr>
              <w:t>Go-live; hypercare starts</w:t>
            </w:r>
          </w:p>
        </w:tc>
        <w:tc>
          <w:tcPr>
            <w:tcW w:type="dxa" w:w="2041"/>
          </w:tcPr>
          <w:p>
            <w:pPr>
              <w:spacing w:after="0"/>
            </w:pPr>
            <w:r/>
            <w:r>
              <w:rPr>
                <w:b w:val="0"/>
                <w:i w:val="0"/>
                <w:sz w:val="17"/>
              </w:rPr>
              <w:t>Team</w:t>
            </w:r>
          </w:p>
        </w:tc>
      </w:tr>
    </w:tbl>
    <w:p>
      <w:pPr>
        <w:spacing w:after="40"/>
      </w:pPr>
    </w:p>
    <w:p>
      <w:pPr>
        <w:pStyle w:val="Heading1"/>
      </w:pPr>
      <w:r>
        <w:t>5. Data load and reconciliation</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551"/>
        <w:gridCol w:w="3402"/>
        <w:gridCol w:w="3685"/>
      </w:tblGrid>
      <w:tr>
        <w:trPr>
          <w:tblHeader w:val="true"/>
        </w:trPr>
        <w:tc>
          <w:tcPr>
            <w:tcW w:type="dxa" w:w="2551"/>
            <w:shd w:val="clear" w:color="auto" w:fill="C8102E"/>
          </w:tcPr>
          <w:p>
            <w:r/>
            <w:r>
              <w:rPr>
                <w:b/>
                <w:color w:val="FFFFFF"/>
                <w:sz w:val="17"/>
              </w:rPr>
              <w:t>Item</w:t>
            </w:r>
          </w:p>
        </w:tc>
        <w:tc>
          <w:tcPr>
            <w:tcW w:type="dxa" w:w="3402"/>
            <w:shd w:val="clear" w:color="auto" w:fill="C8102E"/>
          </w:tcPr>
          <w:p>
            <w:r/>
            <w:r>
              <w:rPr>
                <w:b/>
                <w:color w:val="FFFFFF"/>
                <w:sz w:val="17"/>
              </w:rPr>
              <w:t>Expected (simulation baseline)</w:t>
            </w:r>
          </w:p>
        </w:tc>
        <w:tc>
          <w:tcPr>
            <w:tcW w:type="dxa" w:w="3685"/>
            <w:shd w:val="clear" w:color="auto" w:fill="C8102E"/>
          </w:tcPr>
          <w:p>
            <w:r/>
            <w:r>
              <w:rPr>
                <w:b/>
                <w:color w:val="FFFFFF"/>
                <w:sz w:val="17"/>
              </w:rPr>
              <w:t>Check</w:t>
            </w:r>
          </w:p>
        </w:tc>
      </w:tr>
      <w:tr>
        <w:trPr>
          <w:cantSplit w:val="true"/>
        </w:trPr>
        <w:tc>
          <w:tcPr>
            <w:tcW w:type="dxa" w:w="2551"/>
          </w:tcPr>
          <w:p>
            <w:pPr>
              <w:spacing w:after="0"/>
            </w:pPr>
            <w:r/>
            <w:r>
              <w:rPr>
                <w:b w:val="0"/>
                <w:i w:val="0"/>
                <w:sz w:val="17"/>
              </w:rPr>
              <w:t>Accounts</w:t>
            </w:r>
          </w:p>
        </w:tc>
        <w:tc>
          <w:tcPr>
            <w:tcW w:type="dxa" w:w="3402"/>
          </w:tcPr>
          <w:p>
            <w:pPr>
              <w:spacing w:after="0"/>
            </w:pPr>
            <w:r/>
            <w:r>
              <w:rPr>
                <w:b w:val="0"/>
                <w:i w:val="0"/>
                <w:sz w:val="17"/>
              </w:rPr>
              <w:t>101</w:t>
            </w:r>
          </w:p>
        </w:tc>
        <w:tc>
          <w:tcPr>
            <w:tcW w:type="dxa" w:w="3685"/>
          </w:tcPr>
          <w:p>
            <w:pPr>
              <w:spacing w:after="0"/>
            </w:pPr>
            <w:r/>
            <w:r>
              <w:rPr>
                <w:b w:val="0"/>
                <w:i w:val="0"/>
                <w:sz w:val="17"/>
              </w:rPr>
              <w:t>Count and unique codes</w:t>
            </w:r>
          </w:p>
        </w:tc>
      </w:tr>
      <w:tr>
        <w:trPr>
          <w:cantSplit w:val="true"/>
        </w:trPr>
        <w:tc>
          <w:tcPr>
            <w:tcW w:type="dxa" w:w="2551"/>
            <w:shd w:val="clear" w:color="auto" w:fill="F9FAFB"/>
          </w:tcPr>
          <w:p>
            <w:pPr>
              <w:spacing w:after="0"/>
            </w:pPr>
            <w:r/>
            <w:r>
              <w:rPr>
                <w:b w:val="0"/>
                <w:i w:val="0"/>
                <w:sz w:val="17"/>
              </w:rPr>
              <w:t>Products</w:t>
            </w:r>
          </w:p>
        </w:tc>
        <w:tc>
          <w:tcPr>
            <w:tcW w:type="dxa" w:w="3402"/>
            <w:shd w:val="clear" w:color="auto" w:fill="F9FAFB"/>
          </w:tcPr>
          <w:p>
            <w:pPr>
              <w:spacing w:after="0"/>
            </w:pPr>
            <w:r/>
            <w:r>
              <w:rPr>
                <w:b w:val="0"/>
                <w:i w:val="0"/>
                <w:sz w:val="17"/>
              </w:rPr>
              <w:t>24</w:t>
            </w:r>
          </w:p>
        </w:tc>
        <w:tc>
          <w:tcPr>
            <w:tcW w:type="dxa" w:w="3685"/>
            <w:shd w:val="clear" w:color="auto" w:fill="F9FAFB"/>
          </w:tcPr>
          <w:p>
            <w:pPr>
              <w:spacing w:after="0"/>
            </w:pPr>
            <w:r/>
            <w:r>
              <w:rPr>
                <w:b w:val="0"/>
                <w:i w:val="0"/>
                <w:sz w:val="17"/>
              </w:rPr>
              <w:t>Count; tracking flags</w:t>
            </w:r>
          </w:p>
        </w:tc>
      </w:tr>
      <w:tr>
        <w:trPr>
          <w:cantSplit w:val="true"/>
        </w:trPr>
        <w:tc>
          <w:tcPr>
            <w:tcW w:type="dxa" w:w="2551"/>
          </w:tcPr>
          <w:p>
            <w:pPr>
              <w:spacing w:after="0"/>
            </w:pPr>
            <w:r/>
            <w:r>
              <w:rPr>
                <w:b w:val="0"/>
                <w:i w:val="0"/>
                <w:sz w:val="17"/>
              </w:rPr>
              <w:t>Customers / vendors</w:t>
            </w:r>
          </w:p>
        </w:tc>
        <w:tc>
          <w:tcPr>
            <w:tcW w:type="dxa" w:w="3402"/>
          </w:tcPr>
          <w:p>
            <w:pPr>
              <w:spacing w:after="0"/>
            </w:pPr>
            <w:r/>
            <w:r>
              <w:rPr>
                <w:b w:val="0"/>
                <w:i w:val="0"/>
                <w:sz w:val="17"/>
              </w:rPr>
              <w:t>13 / 6</w:t>
            </w:r>
          </w:p>
        </w:tc>
        <w:tc>
          <w:tcPr>
            <w:tcW w:type="dxa" w:w="3685"/>
          </w:tcPr>
          <w:p>
            <w:pPr>
              <w:spacing w:after="0"/>
            </w:pPr>
            <w:r/>
            <w:r>
              <w:rPr>
                <w:b w:val="0"/>
                <w:i w:val="0"/>
                <w:sz w:val="17"/>
              </w:rPr>
              <w:t>Count; terms; credit limits</w:t>
            </w:r>
          </w:p>
        </w:tc>
      </w:tr>
      <w:tr>
        <w:trPr>
          <w:cantSplit w:val="true"/>
        </w:trPr>
        <w:tc>
          <w:tcPr>
            <w:tcW w:type="dxa" w:w="2551"/>
            <w:shd w:val="clear" w:color="auto" w:fill="F9FAFB"/>
          </w:tcPr>
          <w:p>
            <w:pPr>
              <w:spacing w:after="0"/>
            </w:pPr>
            <w:r/>
            <w:r>
              <w:rPr>
                <w:b w:val="0"/>
                <w:i w:val="0"/>
                <w:sz w:val="17"/>
              </w:rPr>
              <w:t>Serials</w:t>
            </w:r>
          </w:p>
        </w:tc>
        <w:tc>
          <w:tcPr>
            <w:tcW w:type="dxa" w:w="3402"/>
            <w:shd w:val="clear" w:color="auto" w:fill="F9FAFB"/>
          </w:tcPr>
          <w:p>
            <w:pPr>
              <w:spacing w:after="0"/>
            </w:pPr>
            <w:r/>
            <w:r>
              <w:rPr>
                <w:b w:val="0"/>
                <w:i w:val="0"/>
                <w:sz w:val="17"/>
              </w:rPr>
              <w:t>186</w:t>
            </w:r>
          </w:p>
        </w:tc>
        <w:tc>
          <w:tcPr>
            <w:tcW w:type="dxa" w:w="3685"/>
            <w:shd w:val="clear" w:color="auto" w:fill="F9FAFB"/>
          </w:tcPr>
          <w:p>
            <w:pPr>
              <w:spacing w:after="0"/>
            </w:pPr>
            <w:r/>
            <w:r>
              <w:rPr>
                <w:b w:val="0"/>
                <w:i w:val="0"/>
                <w:sz w:val="17"/>
              </w:rPr>
              <w:t>Distinct count; warranty fields</w:t>
            </w:r>
          </w:p>
        </w:tc>
      </w:tr>
      <w:tr>
        <w:trPr>
          <w:cantSplit w:val="true"/>
        </w:trPr>
        <w:tc>
          <w:tcPr>
            <w:tcW w:type="dxa" w:w="2551"/>
          </w:tcPr>
          <w:p>
            <w:pPr>
              <w:spacing w:after="0"/>
            </w:pPr>
            <w:r/>
            <w:r>
              <w:rPr>
                <w:b w:val="0"/>
                <w:i w:val="0"/>
                <w:sz w:val="17"/>
              </w:rPr>
              <w:t>CRM opportunities (sample)</w:t>
            </w:r>
          </w:p>
        </w:tc>
        <w:tc>
          <w:tcPr>
            <w:tcW w:type="dxa" w:w="3402"/>
          </w:tcPr>
          <w:p>
            <w:pPr>
              <w:spacing w:after="0"/>
            </w:pPr>
            <w:r/>
            <w:r>
              <w:rPr>
                <w:b w:val="0"/>
                <w:i w:val="0"/>
                <w:sz w:val="17"/>
              </w:rPr>
              <w:t>86 (won 62 / lost 14 / open 10)</w:t>
            </w:r>
          </w:p>
        </w:tc>
        <w:tc>
          <w:tcPr>
            <w:tcW w:type="dxa" w:w="3685"/>
          </w:tcPr>
          <w:p>
            <w:pPr>
              <w:spacing w:after="0"/>
            </w:pPr>
            <w:r/>
            <w:r>
              <w:rPr>
                <w:b w:val="0"/>
                <w:i w:val="0"/>
                <w:sz w:val="17"/>
              </w:rPr>
              <w:t>Won link to sales orders; stages and teams created first</w:t>
            </w:r>
          </w:p>
        </w:tc>
      </w:tr>
      <w:tr>
        <w:trPr>
          <w:cantSplit w:val="true"/>
        </w:trPr>
        <w:tc>
          <w:tcPr>
            <w:tcW w:type="dxa" w:w="2551"/>
            <w:shd w:val="clear" w:color="auto" w:fill="F9FAFB"/>
          </w:tcPr>
          <w:p>
            <w:pPr>
              <w:spacing w:after="0"/>
            </w:pPr>
            <w:r/>
            <w:r>
              <w:rPr>
                <w:b w:val="0"/>
                <w:i w:val="0"/>
                <w:sz w:val="17"/>
              </w:rPr>
              <w:t>Lots</w:t>
            </w:r>
          </w:p>
        </w:tc>
        <w:tc>
          <w:tcPr>
            <w:tcW w:type="dxa" w:w="3402"/>
            <w:shd w:val="clear" w:color="auto" w:fill="F9FAFB"/>
          </w:tcPr>
          <w:p>
            <w:pPr>
              <w:spacing w:after="0"/>
            </w:pPr>
            <w:r/>
            <w:r>
              <w:rPr>
                <w:b w:val="0"/>
                <w:i w:val="0"/>
                <w:sz w:val="17"/>
              </w:rPr>
              <w:t>42 rows</w:t>
            </w:r>
          </w:p>
        </w:tc>
        <w:tc>
          <w:tcPr>
            <w:tcW w:type="dxa" w:w="3685"/>
            <w:shd w:val="clear" w:color="auto" w:fill="F9FAFB"/>
          </w:tcPr>
          <w:p>
            <w:pPr>
              <w:spacing w:after="0"/>
            </w:pPr>
            <w:r/>
            <w:r>
              <w:rPr>
                <w:b w:val="0"/>
                <w:i w:val="0"/>
                <w:sz w:val="17"/>
              </w:rPr>
              <w:t>Expiry dates; none &lt; 60 days in sellable stock</w:t>
            </w:r>
          </w:p>
        </w:tc>
      </w:tr>
      <w:tr>
        <w:trPr>
          <w:cantSplit w:val="true"/>
        </w:trPr>
        <w:tc>
          <w:tcPr>
            <w:tcW w:type="dxa" w:w="2551"/>
          </w:tcPr>
          <w:p>
            <w:pPr>
              <w:spacing w:after="0"/>
            </w:pPr>
            <w:r/>
            <w:r>
              <w:rPr>
                <w:b w:val="0"/>
                <w:i w:val="0"/>
                <w:sz w:val="17"/>
              </w:rPr>
              <w:t>Opening inventory value</w:t>
            </w:r>
          </w:p>
        </w:tc>
        <w:tc>
          <w:tcPr>
            <w:tcW w:type="dxa" w:w="3402"/>
          </w:tcPr>
          <w:p>
            <w:pPr>
              <w:spacing w:after="0"/>
            </w:pPr>
            <w:r/>
            <w:r>
              <w:rPr>
                <w:b w:val="0"/>
                <w:i w:val="0"/>
                <w:sz w:val="17"/>
              </w:rPr>
              <w:t>EGP 24,170,200.00 (simulation)</w:t>
            </w:r>
          </w:p>
        </w:tc>
        <w:tc>
          <w:tcPr>
            <w:tcW w:type="dxa" w:w="3685"/>
          </w:tcPr>
          <w:p>
            <w:pPr>
              <w:spacing w:after="0"/>
            </w:pPr>
            <w:r/>
            <w:r>
              <w:rPr>
                <w:b w:val="0"/>
                <w:i w:val="0"/>
                <w:sz w:val="17"/>
              </w:rPr>
              <w:t>Valuation vs opening journal</w:t>
            </w:r>
          </w:p>
        </w:tc>
      </w:tr>
      <w:tr>
        <w:trPr>
          <w:cantSplit w:val="true"/>
        </w:trPr>
        <w:tc>
          <w:tcPr>
            <w:tcW w:type="dxa" w:w="2551"/>
            <w:shd w:val="clear" w:color="auto" w:fill="F9FAFB"/>
          </w:tcPr>
          <w:p>
            <w:pPr>
              <w:spacing w:after="0"/>
            </w:pPr>
            <w:r/>
            <w:r>
              <w:rPr>
                <w:b w:val="0"/>
                <w:i w:val="0"/>
                <w:sz w:val="17"/>
              </w:rPr>
              <w:t>Receivables / payables</w:t>
            </w:r>
          </w:p>
        </w:tc>
        <w:tc>
          <w:tcPr>
            <w:tcW w:type="dxa" w:w="3402"/>
            <w:shd w:val="clear" w:color="auto" w:fill="F9FAFB"/>
          </w:tcPr>
          <w:p>
            <w:pPr>
              <w:spacing w:after="0"/>
            </w:pPr>
            <w:r/>
            <w:r>
              <w:rPr>
                <w:b w:val="0"/>
                <w:i w:val="0"/>
                <w:sz w:val="17"/>
              </w:rPr>
              <w:t>Per legacy at cut-over date</w:t>
            </w:r>
          </w:p>
        </w:tc>
        <w:tc>
          <w:tcPr>
            <w:tcW w:type="dxa" w:w="3685"/>
            <w:shd w:val="clear" w:color="auto" w:fill="F9FAFB"/>
          </w:tcPr>
          <w:p>
            <w:pPr>
              <w:spacing w:after="0"/>
            </w:pPr>
            <w:r/>
            <w:r>
              <w:rPr>
                <w:b w:val="0"/>
                <w:i w:val="0"/>
                <w:sz w:val="17"/>
              </w:rPr>
              <w:t>Control accounts vs partner ledgers</w:t>
            </w:r>
          </w:p>
        </w:tc>
      </w:tr>
      <w:tr>
        <w:trPr>
          <w:cantSplit w:val="true"/>
        </w:trPr>
        <w:tc>
          <w:tcPr>
            <w:tcW w:type="dxa" w:w="2551"/>
          </w:tcPr>
          <w:p>
            <w:pPr>
              <w:spacing w:after="0"/>
            </w:pPr>
            <w:r/>
            <w:r>
              <w:rPr>
                <w:b w:val="0"/>
                <w:i w:val="0"/>
                <w:sz w:val="17"/>
              </w:rPr>
              <w:t>Trial balance</w:t>
            </w:r>
          </w:p>
        </w:tc>
        <w:tc>
          <w:tcPr>
            <w:tcW w:type="dxa" w:w="3402"/>
          </w:tcPr>
          <w:p>
            <w:pPr>
              <w:spacing w:after="0"/>
            </w:pPr>
            <w:r/>
            <w:r>
              <w:rPr>
                <w:b w:val="0"/>
                <w:i w:val="0"/>
                <w:sz w:val="17"/>
              </w:rPr>
              <w:t>Balanced</w:t>
            </w:r>
          </w:p>
        </w:tc>
        <w:tc>
          <w:tcPr>
            <w:tcW w:type="dxa" w:w="3685"/>
          </w:tcPr>
          <w:p>
            <w:pPr>
              <w:spacing w:after="0"/>
            </w:pPr>
            <w:r/>
            <w:r>
              <w:rPr>
                <w:b w:val="0"/>
                <w:i w:val="0"/>
                <w:sz w:val="17"/>
              </w:rPr>
              <w:t>Debits = credits</w:t>
            </w:r>
          </w:p>
        </w:tc>
      </w:tr>
    </w:tbl>
    <w:p>
      <w:pPr>
        <w:spacing w:after="40"/>
      </w:pPr>
    </w:p>
    <w:p>
      <w:r>
        <w:rPr>
          <w:b w:val="0"/>
          <w:i w:val="0"/>
        </w:rPr>
        <w:t>The figures above come from the simulated dataset; real values will replace them at cut-over.</w:t>
      </w:r>
    </w:p>
    <w:p>
      <w:pPr>
        <w:pStyle w:val="Heading1"/>
      </w:pPr>
      <w:r>
        <w:t>6. Go / No-Go decision</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835"/>
        <w:gridCol w:w="6803"/>
      </w:tblGrid>
      <w:tr>
        <w:trPr>
          <w:tblHeader w:val="true"/>
        </w:trPr>
        <w:tc>
          <w:tcPr>
            <w:tcW w:type="dxa" w:w="2835"/>
            <w:shd w:val="clear" w:color="auto" w:fill="C8102E"/>
          </w:tcPr>
          <w:p>
            <w:r/>
            <w:r>
              <w:rPr>
                <w:b/>
                <w:color w:val="FFFFFF"/>
                <w:sz w:val="17"/>
              </w:rPr>
              <w:t>Criterion</w:t>
            </w:r>
          </w:p>
        </w:tc>
        <w:tc>
          <w:tcPr>
            <w:tcW w:type="dxa" w:w="6803"/>
            <w:shd w:val="clear" w:color="auto" w:fill="C8102E"/>
          </w:tcPr>
          <w:p>
            <w:r/>
            <w:r>
              <w:rPr>
                <w:b/>
                <w:color w:val="FFFFFF"/>
                <w:sz w:val="17"/>
              </w:rPr>
              <w:t>Go if</w:t>
            </w:r>
          </w:p>
        </w:tc>
      </w:tr>
      <w:tr>
        <w:trPr>
          <w:cantSplit w:val="true"/>
        </w:trPr>
        <w:tc>
          <w:tcPr>
            <w:tcW w:type="dxa" w:w="2835"/>
          </w:tcPr>
          <w:p>
            <w:pPr>
              <w:spacing w:after="0"/>
            </w:pPr>
            <w:r/>
            <w:r>
              <w:rPr>
                <w:b w:val="0"/>
                <w:i w:val="0"/>
                <w:sz w:val="17"/>
              </w:rPr>
              <w:t>Data reconciliation</w:t>
            </w:r>
          </w:p>
        </w:tc>
        <w:tc>
          <w:tcPr>
            <w:tcW w:type="dxa" w:w="6803"/>
          </w:tcPr>
          <w:p>
            <w:pPr>
              <w:spacing w:after="0"/>
            </w:pPr>
            <w:r/>
            <w:r>
              <w:rPr>
                <w:b w:val="0"/>
                <w:i w:val="0"/>
                <w:sz w:val="17"/>
              </w:rPr>
              <w:t>All checks pass or differences explained and approved</w:t>
            </w:r>
          </w:p>
        </w:tc>
      </w:tr>
      <w:tr>
        <w:trPr>
          <w:cantSplit w:val="true"/>
        </w:trPr>
        <w:tc>
          <w:tcPr>
            <w:tcW w:type="dxa" w:w="2835"/>
            <w:shd w:val="clear" w:color="auto" w:fill="F9FAFB"/>
          </w:tcPr>
          <w:p>
            <w:pPr>
              <w:spacing w:after="0"/>
            </w:pPr>
            <w:r/>
            <w:r>
              <w:rPr>
                <w:b w:val="0"/>
                <w:i w:val="0"/>
                <w:sz w:val="17"/>
              </w:rPr>
              <w:t>Smoke tests</w:t>
            </w:r>
          </w:p>
        </w:tc>
        <w:tc>
          <w:tcPr>
            <w:tcW w:type="dxa" w:w="6803"/>
            <w:shd w:val="clear" w:color="auto" w:fill="F9FAFB"/>
          </w:tcPr>
          <w:p>
            <w:pPr>
              <w:spacing w:after="0"/>
            </w:pPr>
            <w:r/>
            <w:r>
              <w:rPr>
                <w:b w:val="0"/>
                <w:i w:val="0"/>
                <w:sz w:val="17"/>
              </w:rPr>
              <w:t>No critical failures</w:t>
            </w:r>
          </w:p>
        </w:tc>
      </w:tr>
      <w:tr>
        <w:trPr>
          <w:cantSplit w:val="true"/>
        </w:trPr>
        <w:tc>
          <w:tcPr>
            <w:tcW w:type="dxa" w:w="2835"/>
          </w:tcPr>
          <w:p>
            <w:pPr>
              <w:spacing w:after="0"/>
            </w:pPr>
            <w:r/>
            <w:r>
              <w:rPr>
                <w:b w:val="0"/>
                <w:i w:val="0"/>
                <w:sz w:val="17"/>
              </w:rPr>
              <w:t>Users</w:t>
            </w:r>
          </w:p>
        </w:tc>
        <w:tc>
          <w:tcPr>
            <w:tcW w:type="dxa" w:w="6803"/>
          </w:tcPr>
          <w:p>
            <w:pPr>
              <w:spacing w:after="0"/>
            </w:pPr>
            <w:r/>
            <w:r>
              <w:rPr>
                <w:b w:val="0"/>
                <w:i w:val="0"/>
                <w:sz w:val="17"/>
              </w:rPr>
              <w:t>Accounts active; super-users available</w:t>
            </w:r>
          </w:p>
        </w:tc>
      </w:tr>
      <w:tr>
        <w:trPr>
          <w:cantSplit w:val="true"/>
        </w:trPr>
        <w:tc>
          <w:tcPr>
            <w:tcW w:type="dxa" w:w="2835"/>
            <w:shd w:val="clear" w:color="auto" w:fill="F9FAFB"/>
          </w:tcPr>
          <w:p>
            <w:pPr>
              <w:spacing w:after="0"/>
            </w:pPr>
            <w:r/>
            <w:r>
              <w:rPr>
                <w:b w:val="0"/>
                <w:i w:val="0"/>
                <w:sz w:val="17"/>
              </w:rPr>
              <w:t>Backup</w:t>
            </w:r>
          </w:p>
        </w:tc>
        <w:tc>
          <w:tcPr>
            <w:tcW w:type="dxa" w:w="6803"/>
            <w:shd w:val="clear" w:color="auto" w:fill="F9FAFB"/>
          </w:tcPr>
          <w:p>
            <w:pPr>
              <w:spacing w:after="0"/>
            </w:pPr>
            <w:r/>
            <w:r>
              <w:rPr>
                <w:b w:val="0"/>
                <w:i w:val="0"/>
                <w:sz w:val="17"/>
              </w:rPr>
              <w:t>Pre-go-live backup completed and verified</w:t>
            </w:r>
          </w:p>
        </w:tc>
      </w:tr>
      <w:tr>
        <w:trPr>
          <w:cantSplit w:val="true"/>
        </w:trPr>
        <w:tc>
          <w:tcPr>
            <w:tcW w:type="dxa" w:w="2835"/>
          </w:tcPr>
          <w:p>
            <w:pPr>
              <w:spacing w:after="0"/>
            </w:pPr>
            <w:r/>
            <w:r>
              <w:rPr>
                <w:b w:val="0"/>
                <w:i w:val="0"/>
                <w:sz w:val="17"/>
              </w:rPr>
              <w:t>Sponsor</w:t>
            </w:r>
          </w:p>
        </w:tc>
        <w:tc>
          <w:tcPr>
            <w:tcW w:type="dxa" w:w="6803"/>
          </w:tcPr>
          <w:p>
            <w:pPr>
              <w:spacing w:after="0"/>
            </w:pPr>
            <w:r/>
            <w:r>
              <w:rPr>
                <w:b w:val="0"/>
                <w:i w:val="0"/>
                <w:sz w:val="17"/>
              </w:rPr>
              <w:t>General Manager approves</w:t>
            </w:r>
          </w:p>
        </w:tc>
      </w:tr>
    </w:tbl>
    <w:p>
      <w:pPr>
        <w:spacing w:after="40"/>
      </w:pPr>
    </w:p>
    <w:p>
      <w:pPr>
        <w:pStyle w:val="Heading1"/>
      </w:pPr>
      <w:r>
        <w:t>7. Rollback plan</w:t>
      </w:r>
    </w:p>
    <w:p>
      <w:pPr>
        <w:pStyle w:val="ListBullet"/>
        <w:spacing w:after="40"/>
      </w:pPr>
      <w:r>
        <w:rPr>
          <w:b w:val="0"/>
          <w:i w:val="0"/>
        </w:rPr>
        <w:t>Trigger: critical data error or blocking defect found before Sunday opening that cannot be fixed within the cut-over window.</w:t>
      </w:r>
    </w:p>
    <w:p>
      <w:pPr>
        <w:pStyle w:val="ListBullet"/>
        <w:spacing w:after="40"/>
      </w:pPr>
      <w:r>
        <w:rPr>
          <w:b w:val="0"/>
          <w:i w:val="0"/>
        </w:rPr>
        <w:t>Action: restore pre-load backup; continue on the legacy process; reschedule the cut-over after correction.</w:t>
      </w:r>
    </w:p>
    <w:p>
      <w:pPr>
        <w:pStyle w:val="ListBullet"/>
        <w:spacing w:after="40"/>
      </w:pPr>
      <w:r>
        <w:rPr>
          <w:b w:val="0"/>
          <w:i w:val="0"/>
        </w:rPr>
        <w:t>After go-live: no rollback of posted transactions; corrections are made by reversing entries and adjustments.</w:t>
      </w:r>
    </w:p>
    <w:p>
      <w:pPr>
        <w:pStyle w:val="ListBullet"/>
        <w:spacing w:after="40"/>
      </w:pPr>
      <w:r>
        <w:rPr>
          <w:b w:val="0"/>
          <w:i w:val="0"/>
        </w:rPr>
        <w:t>Legacy files remain read-only for 30 days.</w:t>
      </w:r>
    </w:p>
    <w:p>
      <w:pPr>
        <w:pStyle w:val="Heading1"/>
      </w:pPr>
      <w:r>
        <w:t>8. Hypercare and support</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7370"/>
      </w:tblGrid>
      <w:tr>
        <w:trPr>
          <w:tblHeader w:val="true"/>
        </w:trPr>
        <w:tc>
          <w:tcPr>
            <w:tcW w:type="dxa" w:w="2268"/>
            <w:shd w:val="clear" w:color="auto" w:fill="C8102E"/>
          </w:tcPr>
          <w:p>
            <w:r/>
            <w:r>
              <w:rPr>
                <w:b/>
                <w:color w:val="FFFFFF"/>
                <w:sz w:val="17"/>
              </w:rPr>
              <w:t>Period</w:t>
            </w:r>
          </w:p>
        </w:tc>
        <w:tc>
          <w:tcPr>
            <w:tcW w:type="dxa" w:w="7370"/>
            <w:shd w:val="clear" w:color="auto" w:fill="C8102E"/>
          </w:tcPr>
          <w:p>
            <w:r/>
            <w:r>
              <w:rPr>
                <w:b/>
                <w:color w:val="FFFFFF"/>
                <w:sz w:val="17"/>
              </w:rPr>
              <w:t>Support</w:t>
            </w:r>
          </w:p>
        </w:tc>
      </w:tr>
      <w:tr>
        <w:trPr>
          <w:cantSplit w:val="true"/>
        </w:trPr>
        <w:tc>
          <w:tcPr>
            <w:tcW w:type="dxa" w:w="2268"/>
          </w:tcPr>
          <w:p>
            <w:pPr>
              <w:spacing w:after="0"/>
            </w:pPr>
            <w:r/>
            <w:r>
              <w:rPr>
                <w:b w:val="0"/>
                <w:i w:val="0"/>
                <w:sz w:val="17"/>
              </w:rPr>
              <w:t>Weeks 1-2</w:t>
            </w:r>
          </w:p>
        </w:tc>
        <w:tc>
          <w:tcPr>
            <w:tcW w:type="dxa" w:w="7370"/>
          </w:tcPr>
          <w:p>
            <w:pPr>
              <w:spacing w:after="0"/>
            </w:pPr>
            <w:r/>
            <w:r>
              <w:rPr>
                <w:b w:val="0"/>
                <w:i w:val="0"/>
                <w:sz w:val="17"/>
              </w:rPr>
              <w:t>Daily stand-up; on-site/remote support; issue log with severity</w:t>
            </w:r>
          </w:p>
        </w:tc>
      </w:tr>
      <w:tr>
        <w:trPr>
          <w:cantSplit w:val="true"/>
        </w:trPr>
        <w:tc>
          <w:tcPr>
            <w:tcW w:type="dxa" w:w="2268"/>
            <w:shd w:val="clear" w:color="auto" w:fill="F9FAFB"/>
          </w:tcPr>
          <w:p>
            <w:pPr>
              <w:spacing w:after="0"/>
            </w:pPr>
            <w:r/>
            <w:r>
              <w:rPr>
                <w:b w:val="0"/>
                <w:i w:val="0"/>
                <w:sz w:val="17"/>
              </w:rPr>
              <w:t>Weeks 3-4</w:t>
            </w:r>
          </w:p>
        </w:tc>
        <w:tc>
          <w:tcPr>
            <w:tcW w:type="dxa" w:w="7370"/>
            <w:shd w:val="clear" w:color="auto" w:fill="F9FAFB"/>
          </w:tcPr>
          <w:p>
            <w:pPr>
              <w:spacing w:after="0"/>
            </w:pPr>
            <w:r/>
            <w:r>
              <w:rPr>
                <w:b w:val="0"/>
                <w:i w:val="0"/>
                <w:sz w:val="17"/>
              </w:rPr>
              <w:t>Review twice weekly; fixes batched</w:t>
            </w:r>
          </w:p>
        </w:tc>
      </w:tr>
      <w:tr>
        <w:trPr>
          <w:cantSplit w:val="true"/>
        </w:trPr>
        <w:tc>
          <w:tcPr>
            <w:tcW w:type="dxa" w:w="2268"/>
          </w:tcPr>
          <w:p>
            <w:pPr>
              <w:spacing w:after="0"/>
            </w:pPr>
            <w:r/>
            <w:r>
              <w:rPr>
                <w:b w:val="0"/>
                <w:i w:val="0"/>
                <w:sz w:val="17"/>
              </w:rPr>
              <w:t>After first month-end</w:t>
            </w:r>
          </w:p>
        </w:tc>
        <w:tc>
          <w:tcPr>
            <w:tcW w:type="dxa" w:w="7370"/>
          </w:tcPr>
          <w:p>
            <w:pPr>
              <w:spacing w:after="0"/>
            </w:pPr>
            <w:r/>
            <w:r>
              <w:rPr>
                <w:b w:val="0"/>
                <w:i w:val="0"/>
                <w:sz w:val="17"/>
              </w:rPr>
              <w:t>Close review; refresher training; formal handover</w:t>
            </w:r>
          </w:p>
        </w:tc>
      </w:tr>
    </w:tbl>
    <w:p>
      <w:pPr>
        <w:spacing w:after="40"/>
      </w:pP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701"/>
        <w:gridCol w:w="5102"/>
        <w:gridCol w:w="2835"/>
      </w:tblGrid>
      <w:tr>
        <w:trPr>
          <w:tblHeader w:val="true"/>
        </w:trPr>
        <w:tc>
          <w:tcPr>
            <w:tcW w:type="dxa" w:w="1701"/>
            <w:shd w:val="clear" w:color="auto" w:fill="C8102E"/>
          </w:tcPr>
          <w:p>
            <w:r/>
            <w:r>
              <w:rPr>
                <w:b/>
                <w:color w:val="FFFFFF"/>
                <w:sz w:val="17"/>
              </w:rPr>
              <w:t>Severity</w:t>
            </w:r>
          </w:p>
        </w:tc>
        <w:tc>
          <w:tcPr>
            <w:tcW w:type="dxa" w:w="5102"/>
            <w:shd w:val="clear" w:color="auto" w:fill="C8102E"/>
          </w:tcPr>
          <w:p>
            <w:r/>
            <w:r>
              <w:rPr>
                <w:b/>
                <w:color w:val="FFFFFF"/>
                <w:sz w:val="17"/>
              </w:rPr>
              <w:t>Definition</w:t>
            </w:r>
          </w:p>
        </w:tc>
        <w:tc>
          <w:tcPr>
            <w:tcW w:type="dxa" w:w="2835"/>
            <w:shd w:val="clear" w:color="auto" w:fill="C8102E"/>
          </w:tcPr>
          <w:p>
            <w:r/>
            <w:r>
              <w:rPr>
                <w:b/>
                <w:color w:val="FFFFFF"/>
                <w:sz w:val="17"/>
              </w:rPr>
              <w:t>Target response</w:t>
            </w:r>
          </w:p>
        </w:tc>
      </w:tr>
      <w:tr>
        <w:trPr>
          <w:cantSplit w:val="true"/>
        </w:trPr>
        <w:tc>
          <w:tcPr>
            <w:tcW w:type="dxa" w:w="1701"/>
          </w:tcPr>
          <w:p>
            <w:pPr>
              <w:spacing w:after="0"/>
            </w:pPr>
            <w:r/>
            <w:r>
              <w:rPr>
                <w:b w:val="0"/>
                <w:i w:val="0"/>
                <w:sz w:val="17"/>
              </w:rPr>
              <w:t>Critical</w:t>
            </w:r>
          </w:p>
        </w:tc>
        <w:tc>
          <w:tcPr>
            <w:tcW w:type="dxa" w:w="5102"/>
          </w:tcPr>
          <w:p>
            <w:pPr>
              <w:spacing w:after="0"/>
            </w:pPr>
            <w:r/>
            <w:r>
              <w:rPr>
                <w:b w:val="0"/>
                <w:i w:val="0"/>
                <w:sz w:val="17"/>
              </w:rPr>
              <w:t>Cannot sell, deliver, invoice or post</w:t>
            </w:r>
          </w:p>
        </w:tc>
        <w:tc>
          <w:tcPr>
            <w:tcW w:type="dxa" w:w="2835"/>
          </w:tcPr>
          <w:p>
            <w:pPr>
              <w:spacing w:after="0"/>
            </w:pPr>
            <w:r/>
            <w:r>
              <w:rPr>
                <w:b w:val="0"/>
                <w:i w:val="0"/>
                <w:sz w:val="17"/>
              </w:rPr>
              <w:t>1 hour</w:t>
            </w:r>
          </w:p>
        </w:tc>
      </w:tr>
      <w:tr>
        <w:trPr>
          <w:cantSplit w:val="true"/>
        </w:trPr>
        <w:tc>
          <w:tcPr>
            <w:tcW w:type="dxa" w:w="1701"/>
            <w:shd w:val="clear" w:color="auto" w:fill="F9FAFB"/>
          </w:tcPr>
          <w:p>
            <w:pPr>
              <w:spacing w:after="0"/>
            </w:pPr>
            <w:r/>
            <w:r>
              <w:rPr>
                <w:b w:val="0"/>
                <w:i w:val="0"/>
                <w:sz w:val="17"/>
              </w:rPr>
              <w:t>High</w:t>
            </w:r>
          </w:p>
        </w:tc>
        <w:tc>
          <w:tcPr>
            <w:tcW w:type="dxa" w:w="5102"/>
            <w:shd w:val="clear" w:color="auto" w:fill="F9FAFB"/>
          </w:tcPr>
          <w:p>
            <w:pPr>
              <w:spacing w:after="0"/>
            </w:pPr>
            <w:r/>
            <w:r>
              <w:rPr>
                <w:b w:val="0"/>
                <w:i w:val="0"/>
                <w:sz w:val="17"/>
              </w:rPr>
              <w:t>Workaround exists but heavy impact</w:t>
            </w:r>
          </w:p>
        </w:tc>
        <w:tc>
          <w:tcPr>
            <w:tcW w:type="dxa" w:w="2835"/>
            <w:shd w:val="clear" w:color="auto" w:fill="F9FAFB"/>
          </w:tcPr>
          <w:p>
            <w:pPr>
              <w:spacing w:after="0"/>
            </w:pPr>
            <w:r/>
            <w:r>
              <w:rPr>
                <w:b w:val="0"/>
                <w:i w:val="0"/>
                <w:sz w:val="17"/>
              </w:rPr>
              <w:t>4 hours</w:t>
            </w:r>
          </w:p>
        </w:tc>
      </w:tr>
      <w:tr>
        <w:trPr>
          <w:cantSplit w:val="true"/>
        </w:trPr>
        <w:tc>
          <w:tcPr>
            <w:tcW w:type="dxa" w:w="1701"/>
          </w:tcPr>
          <w:p>
            <w:pPr>
              <w:spacing w:after="0"/>
            </w:pPr>
            <w:r/>
            <w:r>
              <w:rPr>
                <w:b w:val="0"/>
                <w:i w:val="0"/>
                <w:sz w:val="17"/>
              </w:rPr>
              <w:t>Medium</w:t>
            </w:r>
          </w:p>
        </w:tc>
        <w:tc>
          <w:tcPr>
            <w:tcW w:type="dxa" w:w="5102"/>
          </w:tcPr>
          <w:p>
            <w:pPr>
              <w:spacing w:after="0"/>
            </w:pPr>
            <w:r/>
            <w:r>
              <w:rPr>
                <w:b w:val="0"/>
                <w:i w:val="0"/>
                <w:sz w:val="17"/>
              </w:rPr>
              <w:t>Minor impact</w:t>
            </w:r>
          </w:p>
        </w:tc>
        <w:tc>
          <w:tcPr>
            <w:tcW w:type="dxa" w:w="2835"/>
          </w:tcPr>
          <w:p>
            <w:pPr>
              <w:spacing w:after="0"/>
            </w:pPr>
            <w:r/>
            <w:r>
              <w:rPr>
                <w:b w:val="0"/>
                <w:i w:val="0"/>
                <w:sz w:val="17"/>
              </w:rPr>
              <w:t>2 working days</w:t>
            </w:r>
          </w:p>
        </w:tc>
      </w:tr>
      <w:tr>
        <w:trPr>
          <w:cantSplit w:val="true"/>
        </w:trPr>
        <w:tc>
          <w:tcPr>
            <w:tcW w:type="dxa" w:w="1701"/>
            <w:shd w:val="clear" w:color="auto" w:fill="F9FAFB"/>
          </w:tcPr>
          <w:p>
            <w:pPr>
              <w:spacing w:after="0"/>
            </w:pPr>
            <w:r/>
            <w:r>
              <w:rPr>
                <w:b w:val="0"/>
                <w:i w:val="0"/>
                <w:sz w:val="17"/>
              </w:rPr>
              <w:t>Low</w:t>
            </w:r>
          </w:p>
        </w:tc>
        <w:tc>
          <w:tcPr>
            <w:tcW w:type="dxa" w:w="5102"/>
            <w:shd w:val="clear" w:color="auto" w:fill="F9FAFB"/>
          </w:tcPr>
          <w:p>
            <w:pPr>
              <w:spacing w:after="0"/>
            </w:pPr>
            <w:r/>
            <w:r>
              <w:rPr>
                <w:b w:val="0"/>
                <w:i w:val="0"/>
                <w:sz w:val="17"/>
              </w:rPr>
              <w:t>Cosmetic / request</w:t>
            </w:r>
          </w:p>
        </w:tc>
        <w:tc>
          <w:tcPr>
            <w:tcW w:type="dxa" w:w="2835"/>
            <w:shd w:val="clear" w:color="auto" w:fill="F9FAFB"/>
          </w:tcPr>
          <w:p>
            <w:pPr>
              <w:spacing w:after="0"/>
            </w:pPr>
            <w:r/>
            <w:r>
              <w:rPr>
                <w:b w:val="0"/>
                <w:i w:val="0"/>
                <w:sz w:val="17"/>
              </w:rPr>
              <w:t>Backlog</w:t>
            </w:r>
          </w:p>
        </w:tc>
      </w:tr>
    </w:tbl>
    <w:p>
      <w:pPr>
        <w:spacing w:after="40"/>
      </w:pPr>
    </w:p>
    <w:p>
      <w:pPr>
        <w:pStyle w:val="Heading1"/>
      </w:pPr>
      <w:r>
        <w:t>9. Roles and responsibilities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3118"/>
        <w:gridCol w:w="4252"/>
      </w:tblGrid>
      <w:tr>
        <w:trPr>
          <w:tblHeader w:val="true"/>
        </w:trPr>
        <w:tc>
          <w:tcPr>
            <w:tcW w:type="dxa" w:w="2268"/>
            <w:shd w:val="clear" w:color="auto" w:fill="C8102E"/>
          </w:tcPr>
          <w:p>
            <w:r/>
            <w:r>
              <w:rPr>
                <w:b/>
                <w:color w:val="FFFFFF"/>
                <w:sz w:val="17"/>
              </w:rPr>
              <w:t>Name</w:t>
            </w:r>
          </w:p>
        </w:tc>
        <w:tc>
          <w:tcPr>
            <w:tcW w:type="dxa" w:w="3118"/>
            <w:shd w:val="clear" w:color="auto" w:fill="C8102E"/>
          </w:tcPr>
          <w:p>
            <w:r/>
            <w:r>
              <w:rPr>
                <w:b/>
                <w:color w:val="FFFFFF"/>
                <w:sz w:val="17"/>
              </w:rPr>
              <w:t>Role</w:t>
            </w:r>
          </w:p>
        </w:tc>
        <w:tc>
          <w:tcPr>
            <w:tcW w:type="dxa" w:w="4252"/>
            <w:shd w:val="clear" w:color="auto" w:fill="C8102E"/>
          </w:tcPr>
          <w:p>
            <w:r/>
            <w:r>
              <w:rPr>
                <w:b/>
                <w:color w:val="FFFFFF"/>
                <w:sz w:val="17"/>
              </w:rPr>
              <w:t>Go-live responsibility</w:t>
            </w:r>
          </w:p>
        </w:tc>
      </w:tr>
      <w:tr>
        <w:trPr>
          <w:cantSplit w:val="true"/>
        </w:trPr>
        <w:tc>
          <w:tcPr>
            <w:tcW w:type="dxa" w:w="2268"/>
          </w:tcPr>
          <w:p>
            <w:pPr>
              <w:spacing w:after="0"/>
            </w:pPr>
            <w:r/>
            <w:r>
              <w:rPr>
                <w:b w:val="0"/>
                <w:i w:val="0"/>
                <w:sz w:val="17"/>
              </w:rPr>
              <w:t>Mohamed Mahmoud Abdel Bary</w:t>
            </w:r>
          </w:p>
        </w:tc>
        <w:tc>
          <w:tcPr>
            <w:tcW w:type="dxa" w:w="3118"/>
          </w:tcPr>
          <w:p>
            <w:pPr>
              <w:spacing w:after="0"/>
            </w:pPr>
            <w:r/>
            <w:r>
              <w:rPr>
                <w:b w:val="0"/>
                <w:i w:val="0"/>
                <w:sz w:val="17"/>
              </w:rPr>
              <w:t>Team Leader - Apps, Settings, Permissions &amp; Design</w:t>
            </w:r>
          </w:p>
        </w:tc>
        <w:tc>
          <w:tcPr>
            <w:tcW w:type="dxa" w:w="4252"/>
          </w:tcPr>
          <w:p>
            <w:pPr>
              <w:spacing w:after="0"/>
            </w:pPr>
            <w:r/>
            <w:r>
              <w:rPr>
                <w:b w:val="0"/>
                <w:i w:val="0"/>
                <w:sz w:val="17"/>
              </w:rPr>
              <w:t>App installation, general settings, companies and branches; Go-live support for this area</w:t>
            </w:r>
          </w:p>
        </w:tc>
      </w:tr>
      <w:tr>
        <w:trPr>
          <w:cantSplit w:val="true"/>
        </w:trPr>
        <w:tc>
          <w:tcPr>
            <w:tcW w:type="dxa" w:w="2268"/>
            <w:shd w:val="clear" w:color="auto" w:fill="F9FAFB"/>
          </w:tcPr>
          <w:p>
            <w:pPr>
              <w:spacing w:after="0"/>
            </w:pPr>
            <w:r/>
            <w:r>
              <w:rPr>
                <w:b w:val="0"/>
                <w:i w:val="0"/>
                <w:sz w:val="17"/>
              </w:rPr>
              <w:t>Mohamed Essam El-Din Youssef</w:t>
            </w:r>
          </w:p>
        </w:tc>
        <w:tc>
          <w:tcPr>
            <w:tcW w:type="dxa" w:w="3118"/>
            <w:shd w:val="clear" w:color="auto" w:fill="F9FAFB"/>
          </w:tcPr>
          <w:p>
            <w:pPr>
              <w:spacing w:after="0"/>
            </w:pPr>
            <w:r/>
            <w:r>
              <w:rPr>
                <w:b w:val="0"/>
                <w:i w:val="0"/>
                <w:sz w:val="17"/>
              </w:rPr>
              <w:t>Sales &amp; CRM</w:t>
            </w:r>
          </w:p>
        </w:tc>
        <w:tc>
          <w:tcPr>
            <w:tcW w:type="dxa" w:w="4252"/>
            <w:shd w:val="clear" w:color="auto" w:fill="F9FAFB"/>
          </w:tcPr>
          <w:p>
            <w:pPr>
              <w:spacing w:after="0"/>
            </w:pPr>
            <w:r/>
            <w:r>
              <w:rPr>
                <w:b w:val="0"/>
                <w:i w:val="0"/>
                <w:sz w:val="17"/>
              </w:rPr>
              <w:t>Sales and CRM configuration: pipeline, quotations, pricelists, sales teams; Go-live support for this area</w:t>
            </w:r>
          </w:p>
        </w:tc>
      </w:tr>
      <w:tr>
        <w:trPr>
          <w:cantSplit w:val="true"/>
        </w:trPr>
        <w:tc>
          <w:tcPr>
            <w:tcW w:type="dxa" w:w="2268"/>
          </w:tcPr>
          <w:p>
            <w:pPr>
              <w:spacing w:after="0"/>
            </w:pPr>
            <w:r/>
            <w:r>
              <w:rPr>
                <w:b w:val="0"/>
                <w:i w:val="0"/>
                <w:sz w:val="17"/>
              </w:rPr>
              <w:t>Ahmed Mahmoud Mohamed</w:t>
            </w:r>
          </w:p>
        </w:tc>
        <w:tc>
          <w:tcPr>
            <w:tcW w:type="dxa" w:w="3118"/>
          </w:tcPr>
          <w:p>
            <w:pPr>
              <w:spacing w:after="0"/>
            </w:pPr>
            <w:r/>
            <w:r>
              <w:rPr>
                <w:b w:val="0"/>
                <w:i w:val="0"/>
                <w:sz w:val="17"/>
              </w:rPr>
              <w:t>Inventory &amp; Data Upload</w:t>
            </w:r>
          </w:p>
        </w:tc>
        <w:tc>
          <w:tcPr>
            <w:tcW w:type="dxa" w:w="4252"/>
          </w:tcPr>
          <w:p>
            <w:pPr>
              <w:spacing w:after="0"/>
            </w:pPr>
            <w:r/>
            <w:r>
              <w:rPr>
                <w:b w:val="0"/>
                <w:i w:val="0"/>
                <w:sz w:val="17"/>
              </w:rPr>
              <w:t>Inventory configuration: warehouses, locations, routes, lots, serials, expiry, FEFO; Go-live support for this area</w:t>
            </w:r>
          </w:p>
        </w:tc>
      </w:tr>
      <w:tr>
        <w:trPr>
          <w:cantSplit w:val="true"/>
        </w:trPr>
        <w:tc>
          <w:tcPr>
            <w:tcW w:type="dxa" w:w="2268"/>
            <w:shd w:val="clear" w:color="auto" w:fill="F9FAFB"/>
          </w:tcPr>
          <w:p>
            <w:pPr>
              <w:spacing w:after="0"/>
            </w:pPr>
            <w:r/>
            <w:r>
              <w:rPr>
                <w:b w:val="0"/>
                <w:i w:val="0"/>
                <w:sz w:val="17"/>
              </w:rPr>
              <w:t>Fathy Adel Fathy</w:t>
            </w:r>
          </w:p>
        </w:tc>
        <w:tc>
          <w:tcPr>
            <w:tcW w:type="dxa" w:w="3118"/>
            <w:shd w:val="clear" w:color="auto" w:fill="F9FAFB"/>
          </w:tcPr>
          <w:p>
            <w:pPr>
              <w:spacing w:after="0"/>
            </w:pPr>
            <w:r/>
            <w:r>
              <w:rPr>
                <w:b w:val="0"/>
                <w:i w:val="0"/>
                <w:sz w:val="17"/>
              </w:rPr>
              <w:t>Purchase, Quality &amp; Testing</w:t>
            </w:r>
          </w:p>
        </w:tc>
        <w:tc>
          <w:tcPr>
            <w:tcW w:type="dxa" w:w="4252"/>
            <w:shd w:val="clear" w:color="auto" w:fill="F9FAFB"/>
          </w:tcPr>
          <w:p>
            <w:pPr>
              <w:spacing w:after="0"/>
            </w:pPr>
            <w:r/>
            <w:r>
              <w:rPr>
                <w:b w:val="0"/>
                <w:i w:val="0"/>
                <w:sz w:val="17"/>
              </w:rPr>
              <w:t>Purchase configuration: vendors, RFQ and PO, approvals, vendor pricelists; Go-live support for this area</w:t>
            </w:r>
          </w:p>
        </w:tc>
      </w:tr>
      <w:tr>
        <w:trPr>
          <w:cantSplit w:val="true"/>
        </w:trPr>
        <w:tc>
          <w:tcPr>
            <w:tcW w:type="dxa" w:w="2268"/>
          </w:tcPr>
          <w:p>
            <w:pPr>
              <w:spacing w:after="0"/>
            </w:pPr>
            <w:r/>
            <w:r>
              <w:rPr>
                <w:b w:val="0"/>
                <w:i w:val="0"/>
                <w:sz w:val="17"/>
              </w:rPr>
              <w:t>Omnia Haitham</w:t>
            </w:r>
          </w:p>
        </w:tc>
        <w:tc>
          <w:tcPr>
            <w:tcW w:type="dxa" w:w="3118"/>
          </w:tcPr>
          <w:p>
            <w:pPr>
              <w:spacing w:after="0"/>
            </w:pPr>
            <w:r/>
            <w:r>
              <w:rPr>
                <w:b w:val="0"/>
                <w:i w:val="0"/>
                <w:sz w:val="17"/>
              </w:rPr>
              <w:t>Accounting &amp; Finance</w:t>
            </w:r>
          </w:p>
        </w:tc>
        <w:tc>
          <w:tcPr>
            <w:tcW w:type="dxa" w:w="4252"/>
          </w:tcPr>
          <w:p>
            <w:pPr>
              <w:spacing w:after="0"/>
            </w:pPr>
            <w:r/>
            <w:r>
              <w:rPr>
                <w:b w:val="0"/>
                <w:i w:val="0"/>
                <w:sz w:val="17"/>
              </w:rPr>
              <w:t>Accounting configuration: chart of accounts, journals, taxes, payment terms; Go-live support for this area</w:t>
            </w:r>
          </w:p>
        </w:tc>
      </w:tr>
    </w:tbl>
    <w:p>
      <w:pPr>
        <w:spacing w:after="40"/>
      </w:pPr>
    </w:p>
    <w:p>
      <w:pPr>
        <w:pStyle w:val="Heading1"/>
      </w:pPr>
      <w:r>
        <w:t>10. Risks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3402"/>
        <w:gridCol w:w="6236"/>
      </w:tblGrid>
      <w:tr>
        <w:trPr>
          <w:tblHeader w:val="true"/>
        </w:trPr>
        <w:tc>
          <w:tcPr>
            <w:tcW w:type="dxa" w:w="3402"/>
            <w:shd w:val="clear" w:color="auto" w:fill="C8102E"/>
          </w:tcPr>
          <w:p>
            <w:r/>
            <w:r>
              <w:rPr>
                <w:b/>
                <w:color w:val="FFFFFF"/>
                <w:sz w:val="17"/>
              </w:rPr>
              <w:t>Risk</w:t>
            </w:r>
          </w:p>
        </w:tc>
        <w:tc>
          <w:tcPr>
            <w:tcW w:type="dxa" w:w="6236"/>
            <w:shd w:val="clear" w:color="auto" w:fill="C8102E"/>
          </w:tcPr>
          <w:p>
            <w:r/>
            <w:r>
              <w:rPr>
                <w:b/>
                <w:color w:val="FFFFFF"/>
                <w:sz w:val="17"/>
              </w:rPr>
              <w:t>Mitigation</w:t>
            </w:r>
          </w:p>
        </w:tc>
      </w:tr>
      <w:tr>
        <w:trPr>
          <w:cantSplit w:val="true"/>
        </w:trPr>
        <w:tc>
          <w:tcPr>
            <w:tcW w:type="dxa" w:w="3402"/>
          </w:tcPr>
          <w:p>
            <w:pPr>
              <w:spacing w:after="0"/>
            </w:pPr>
            <w:r/>
            <w:r>
              <w:rPr>
                <w:b w:val="0"/>
                <w:i w:val="0"/>
                <w:sz w:val="17"/>
              </w:rPr>
              <w:t>Data errors in lots/serials</w:t>
            </w:r>
          </w:p>
        </w:tc>
        <w:tc>
          <w:tcPr>
            <w:tcW w:type="dxa" w:w="6236"/>
          </w:tcPr>
          <w:p>
            <w:pPr>
              <w:spacing w:after="0"/>
            </w:pPr>
            <w:r/>
            <w:r>
              <w:rPr>
                <w:b w:val="0"/>
                <w:i w:val="0"/>
                <w:sz w:val="17"/>
              </w:rPr>
              <w:t>Two rehearsals; automated validation</w:t>
            </w:r>
          </w:p>
        </w:tc>
      </w:tr>
      <w:tr>
        <w:trPr>
          <w:cantSplit w:val="true"/>
        </w:trPr>
        <w:tc>
          <w:tcPr>
            <w:tcW w:type="dxa" w:w="3402"/>
            <w:shd w:val="clear" w:color="auto" w:fill="F9FAFB"/>
          </w:tcPr>
          <w:p>
            <w:pPr>
              <w:spacing w:after="0"/>
            </w:pPr>
            <w:r/>
            <w:r>
              <w:rPr>
                <w:b w:val="0"/>
                <w:i w:val="0"/>
                <w:sz w:val="17"/>
              </w:rPr>
              <w:t>Staff unfamiliarity</w:t>
            </w:r>
          </w:p>
        </w:tc>
        <w:tc>
          <w:tcPr>
            <w:tcW w:type="dxa" w:w="6236"/>
            <w:shd w:val="clear" w:color="auto" w:fill="F9FAFB"/>
          </w:tcPr>
          <w:p>
            <w:pPr>
              <w:spacing w:after="0"/>
            </w:pPr>
            <w:r/>
            <w:r>
              <w:rPr>
                <w:b w:val="0"/>
                <w:i w:val="0"/>
                <w:sz w:val="17"/>
              </w:rPr>
              <w:t>Training; super-users; hypercare</w:t>
            </w:r>
          </w:p>
        </w:tc>
      </w:tr>
      <w:tr>
        <w:trPr>
          <w:cantSplit w:val="true"/>
        </w:trPr>
        <w:tc>
          <w:tcPr>
            <w:tcW w:type="dxa" w:w="3402"/>
          </w:tcPr>
          <w:p>
            <w:pPr>
              <w:spacing w:after="0"/>
            </w:pPr>
            <w:r/>
            <w:r>
              <w:rPr>
                <w:b w:val="0"/>
                <w:i w:val="0"/>
                <w:sz w:val="17"/>
              </w:rPr>
              <w:t>Edition lacks a required feature</w:t>
            </w:r>
          </w:p>
        </w:tc>
        <w:tc>
          <w:tcPr>
            <w:tcW w:type="dxa" w:w="6236"/>
          </w:tcPr>
          <w:p>
            <w:pPr>
              <w:spacing w:after="0"/>
            </w:pPr>
            <w:r/>
            <w:r>
              <w:rPr>
                <w:b w:val="0"/>
                <w:i w:val="0"/>
                <w:sz w:val="17"/>
              </w:rPr>
              <w:t>Verify early; fallback manual checklist</w:t>
            </w:r>
          </w:p>
        </w:tc>
      </w:tr>
      <w:tr>
        <w:trPr>
          <w:cantSplit w:val="true"/>
        </w:trPr>
        <w:tc>
          <w:tcPr>
            <w:tcW w:type="dxa" w:w="3402"/>
            <w:shd w:val="clear" w:color="auto" w:fill="F9FAFB"/>
          </w:tcPr>
          <w:p>
            <w:pPr>
              <w:spacing w:after="0"/>
            </w:pPr>
            <w:r/>
            <w:r>
              <w:rPr>
                <w:b w:val="0"/>
                <w:i w:val="0"/>
                <w:sz w:val="17"/>
              </w:rPr>
              <w:t>Tax/accounting misconfiguration</w:t>
            </w:r>
          </w:p>
        </w:tc>
        <w:tc>
          <w:tcPr>
            <w:tcW w:type="dxa" w:w="6236"/>
            <w:shd w:val="clear" w:color="auto" w:fill="F9FAFB"/>
          </w:tcPr>
          <w:p>
            <w:pPr>
              <w:spacing w:after="0"/>
            </w:pPr>
            <w:r/>
            <w:r>
              <w:rPr>
                <w:b w:val="0"/>
                <w:i w:val="0"/>
                <w:sz w:val="17"/>
              </w:rPr>
              <w:t>Accountant sign-off before go-live</w:t>
            </w:r>
          </w:p>
        </w:tc>
      </w:tr>
      <w:tr>
        <w:trPr>
          <w:cantSplit w:val="true"/>
        </w:trPr>
        <w:tc>
          <w:tcPr>
            <w:tcW w:type="dxa" w:w="3402"/>
          </w:tcPr>
          <w:p>
            <w:pPr>
              <w:spacing w:after="0"/>
            </w:pPr>
            <w:r/>
            <w:r>
              <w:rPr>
                <w:b w:val="0"/>
                <w:i w:val="0"/>
                <w:sz w:val="17"/>
              </w:rPr>
              <w:t>Business interruption</w:t>
            </w:r>
          </w:p>
        </w:tc>
        <w:tc>
          <w:tcPr>
            <w:tcW w:type="dxa" w:w="6236"/>
          </w:tcPr>
          <w:p>
            <w:pPr>
              <w:spacing w:after="0"/>
            </w:pPr>
            <w:r/>
            <w:r>
              <w:rPr>
                <w:b w:val="0"/>
                <w:i w:val="0"/>
                <w:sz w:val="17"/>
              </w:rPr>
              <w:t>Weekend cut-over; legacy read-only fallback</w:t>
            </w:r>
          </w:p>
        </w:tc>
      </w:tr>
    </w:tbl>
    <w:p>
      <w:pPr>
        <w:spacing w:after="40"/>
      </w:pPr>
    </w:p>
    <w:p>
      <w:pPr>
        <w:pStyle w:val="Heading1"/>
      </w:pPr>
      <w:r>
        <w:t>11. Timeline (proposed)</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3402"/>
        <w:gridCol w:w="1701"/>
        <w:gridCol w:w="4535"/>
      </w:tblGrid>
      <w:tr>
        <w:trPr>
          <w:tblHeader w:val="true"/>
        </w:trPr>
        <w:tc>
          <w:tcPr>
            <w:tcW w:type="dxa" w:w="3402"/>
            <w:shd w:val="clear" w:color="auto" w:fill="C8102E"/>
          </w:tcPr>
          <w:p>
            <w:r/>
            <w:r>
              <w:rPr>
                <w:b/>
                <w:color w:val="FFFFFF"/>
                <w:sz w:val="17"/>
              </w:rPr>
              <w:t>Phase</w:t>
            </w:r>
          </w:p>
        </w:tc>
        <w:tc>
          <w:tcPr>
            <w:tcW w:type="dxa" w:w="1701"/>
            <w:shd w:val="clear" w:color="auto" w:fill="C8102E"/>
          </w:tcPr>
          <w:p>
            <w:r/>
            <w:r>
              <w:rPr>
                <w:b/>
                <w:color w:val="FFFFFF"/>
                <w:sz w:val="17"/>
              </w:rPr>
              <w:t>Duration</w:t>
            </w:r>
          </w:p>
        </w:tc>
        <w:tc>
          <w:tcPr>
            <w:tcW w:type="dxa" w:w="4535"/>
            <w:shd w:val="clear" w:color="auto" w:fill="C8102E"/>
          </w:tcPr>
          <w:p>
            <w:r/>
            <w:r>
              <w:rPr>
                <w:b/>
                <w:color w:val="FFFFFF"/>
                <w:sz w:val="17"/>
              </w:rPr>
              <w:t>Outcome</w:t>
            </w:r>
          </w:p>
        </w:tc>
      </w:tr>
      <w:tr>
        <w:trPr>
          <w:cantSplit w:val="true"/>
        </w:trPr>
        <w:tc>
          <w:tcPr>
            <w:tcW w:type="dxa" w:w="3402"/>
          </w:tcPr>
          <w:p>
            <w:pPr>
              <w:spacing w:after="0"/>
            </w:pPr>
            <w:r/>
            <w:r>
              <w:rPr>
                <w:b w:val="0"/>
                <w:i w:val="0"/>
                <w:sz w:val="17"/>
              </w:rPr>
              <w:t>Staging build and live UAT</w:t>
            </w:r>
          </w:p>
        </w:tc>
        <w:tc>
          <w:tcPr>
            <w:tcW w:type="dxa" w:w="1701"/>
          </w:tcPr>
          <w:p>
            <w:pPr>
              <w:spacing w:after="0"/>
            </w:pPr>
            <w:r/>
            <w:r>
              <w:rPr>
                <w:b w:val="0"/>
                <w:i w:val="0"/>
                <w:sz w:val="17"/>
              </w:rPr>
              <w:t>3 weeks</w:t>
            </w:r>
          </w:p>
        </w:tc>
        <w:tc>
          <w:tcPr>
            <w:tcW w:type="dxa" w:w="4535"/>
          </w:tcPr>
          <w:p>
            <w:pPr>
              <w:spacing w:after="0"/>
            </w:pPr>
            <w:r/>
            <w:r>
              <w:rPr>
                <w:b w:val="0"/>
                <w:i w:val="0"/>
                <w:sz w:val="17"/>
              </w:rPr>
              <w:t>Open UAT cases closed</w:t>
            </w:r>
          </w:p>
        </w:tc>
      </w:tr>
      <w:tr>
        <w:trPr>
          <w:cantSplit w:val="true"/>
        </w:trPr>
        <w:tc>
          <w:tcPr>
            <w:tcW w:type="dxa" w:w="3402"/>
            <w:shd w:val="clear" w:color="auto" w:fill="F9FAFB"/>
          </w:tcPr>
          <w:p>
            <w:pPr>
              <w:spacing w:after="0"/>
            </w:pPr>
            <w:r/>
            <w:r>
              <w:rPr>
                <w:b w:val="0"/>
                <w:i w:val="0"/>
                <w:sz w:val="17"/>
              </w:rPr>
              <w:t>Training</w:t>
            </w:r>
          </w:p>
        </w:tc>
        <w:tc>
          <w:tcPr>
            <w:tcW w:type="dxa" w:w="1701"/>
            <w:shd w:val="clear" w:color="auto" w:fill="F9FAFB"/>
          </w:tcPr>
          <w:p>
            <w:pPr>
              <w:spacing w:after="0"/>
            </w:pPr>
            <w:r/>
            <w:r>
              <w:rPr>
                <w:b w:val="0"/>
                <w:i w:val="0"/>
                <w:sz w:val="17"/>
              </w:rPr>
              <w:t>1 week</w:t>
            </w:r>
          </w:p>
        </w:tc>
        <w:tc>
          <w:tcPr>
            <w:tcW w:type="dxa" w:w="4535"/>
            <w:shd w:val="clear" w:color="auto" w:fill="F9FAFB"/>
          </w:tcPr>
          <w:p>
            <w:pPr>
              <w:spacing w:after="0"/>
            </w:pPr>
            <w:r/>
            <w:r>
              <w:rPr>
                <w:b w:val="0"/>
                <w:i w:val="0"/>
                <w:sz w:val="17"/>
              </w:rPr>
              <w:t>Competency sign-off</w:t>
            </w:r>
          </w:p>
        </w:tc>
      </w:tr>
      <w:tr>
        <w:trPr>
          <w:cantSplit w:val="true"/>
        </w:trPr>
        <w:tc>
          <w:tcPr>
            <w:tcW w:type="dxa" w:w="3402"/>
          </w:tcPr>
          <w:p>
            <w:pPr>
              <w:spacing w:after="0"/>
            </w:pPr>
            <w:r/>
            <w:r>
              <w:rPr>
                <w:b w:val="0"/>
                <w:i w:val="0"/>
                <w:sz w:val="17"/>
              </w:rPr>
              <w:t>Rehearsals</w:t>
            </w:r>
          </w:p>
        </w:tc>
        <w:tc>
          <w:tcPr>
            <w:tcW w:type="dxa" w:w="1701"/>
          </w:tcPr>
          <w:p>
            <w:pPr>
              <w:spacing w:after="0"/>
            </w:pPr>
            <w:r/>
            <w:r>
              <w:rPr>
                <w:b w:val="0"/>
                <w:i w:val="0"/>
                <w:sz w:val="17"/>
              </w:rPr>
              <w:t>1 week</w:t>
            </w:r>
          </w:p>
        </w:tc>
        <w:tc>
          <w:tcPr>
            <w:tcW w:type="dxa" w:w="4535"/>
          </w:tcPr>
          <w:p>
            <w:pPr>
              <w:spacing w:after="0"/>
            </w:pPr>
            <w:r/>
            <w:r>
              <w:rPr>
                <w:b w:val="0"/>
                <w:i w:val="0"/>
                <w:sz w:val="17"/>
              </w:rPr>
              <w:t>Two successful data loads</w:t>
            </w:r>
          </w:p>
        </w:tc>
      </w:tr>
      <w:tr>
        <w:trPr>
          <w:cantSplit w:val="true"/>
        </w:trPr>
        <w:tc>
          <w:tcPr>
            <w:tcW w:type="dxa" w:w="3402"/>
            <w:shd w:val="clear" w:color="auto" w:fill="F9FAFB"/>
          </w:tcPr>
          <w:p>
            <w:pPr>
              <w:spacing w:after="0"/>
            </w:pPr>
            <w:r/>
            <w:r>
              <w:rPr>
                <w:b w:val="0"/>
                <w:i w:val="0"/>
                <w:sz w:val="17"/>
              </w:rPr>
              <w:t>Cut-over weekend</w:t>
            </w:r>
          </w:p>
        </w:tc>
        <w:tc>
          <w:tcPr>
            <w:tcW w:type="dxa" w:w="1701"/>
            <w:shd w:val="clear" w:color="auto" w:fill="F9FAFB"/>
          </w:tcPr>
          <w:p>
            <w:pPr>
              <w:spacing w:after="0"/>
            </w:pPr>
            <w:r/>
            <w:r>
              <w:rPr>
                <w:b w:val="0"/>
                <w:i w:val="0"/>
                <w:sz w:val="17"/>
              </w:rPr>
              <w:t>2 days</w:t>
            </w:r>
          </w:p>
        </w:tc>
        <w:tc>
          <w:tcPr>
            <w:tcW w:type="dxa" w:w="4535"/>
            <w:shd w:val="clear" w:color="auto" w:fill="F9FAFB"/>
          </w:tcPr>
          <w:p>
            <w:pPr>
              <w:spacing w:after="0"/>
            </w:pPr>
            <w:r/>
            <w:r>
              <w:rPr>
                <w:b w:val="0"/>
                <w:i w:val="0"/>
                <w:sz w:val="17"/>
              </w:rPr>
              <w:t>Go-live</w:t>
            </w:r>
          </w:p>
        </w:tc>
      </w:tr>
      <w:tr>
        <w:trPr>
          <w:cantSplit w:val="true"/>
        </w:trPr>
        <w:tc>
          <w:tcPr>
            <w:tcW w:type="dxa" w:w="3402"/>
          </w:tcPr>
          <w:p>
            <w:pPr>
              <w:spacing w:after="0"/>
            </w:pPr>
            <w:r/>
            <w:r>
              <w:rPr>
                <w:b w:val="0"/>
                <w:i w:val="0"/>
                <w:sz w:val="17"/>
              </w:rPr>
              <w:t>Hypercare</w:t>
            </w:r>
          </w:p>
        </w:tc>
        <w:tc>
          <w:tcPr>
            <w:tcW w:type="dxa" w:w="1701"/>
          </w:tcPr>
          <w:p>
            <w:pPr>
              <w:spacing w:after="0"/>
            </w:pPr>
            <w:r/>
            <w:r>
              <w:rPr>
                <w:b w:val="0"/>
                <w:i w:val="0"/>
                <w:sz w:val="17"/>
              </w:rPr>
              <w:t>4 weeks</w:t>
            </w:r>
          </w:p>
        </w:tc>
        <w:tc>
          <w:tcPr>
            <w:tcW w:type="dxa" w:w="4535"/>
          </w:tcPr>
          <w:p>
            <w:pPr>
              <w:spacing w:after="0"/>
            </w:pPr>
            <w:r/>
            <w:r>
              <w:rPr>
                <w:b w:val="0"/>
                <w:i w:val="0"/>
                <w:sz w:val="17"/>
              </w:rPr>
              <w:t>Stable operations; handover</w:t>
            </w:r>
          </w:p>
        </w:tc>
      </w:tr>
    </w:tbl>
    <w:p>
      <w:pPr>
        <w:spacing w:after="40"/>
      </w:pP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RL-GLP-001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Go-Live and Deployment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