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ind w:hanging="11" w:start="0"/>
        <w:jc w:val="center"/>
        <w:rPr>
          <w:rFonts w:ascii="Times New Roman" w:hAnsi="Times New Roman" w:cs="Times New Roman"/>
          <w:b w:val="false"/>
          <w:bCs w:val="false"/>
          <w:sz w:val="20"/>
          <w:szCs w:val="20"/>
        </w:rPr>
      </w:pPr>
      <w:bookmarkStart w:id="0" w:name="_Hlk231724774"/>
      <w:r>
        <w:rPr/>
        <w:drawing>
          <wp:inline distT="0" distB="0" distL="0" distR="0">
            <wp:extent cx="556260" cy="594360"/>
            <wp:effectExtent l="0" t="0" r="0" b="0"/>
            <wp:docPr id="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3"/>
                    <pic:cNvPicPr>
                      <a:picLocks noChangeAspect="1" noChangeArrowheads="1"/>
                    </pic:cNvPicPr>
                  </pic:nvPicPr>
                  <pic:blipFill>
                    <a:blip r:embed="rId2"/>
                    <a:stretch>
                      <a:fillRect/>
                    </a:stretch>
                  </pic:blipFill>
                  <pic:spPr bwMode="auto">
                    <a:xfrm>
                      <a:off x="0" y="0"/>
                      <a:ext cx="556260" cy="594360"/>
                    </a:xfrm>
                    <a:prstGeom prst="rect">
                      <a:avLst/>
                    </a:prstGeom>
                    <a:noFill/>
                  </pic:spPr>
                </pic:pic>
              </a:graphicData>
            </a:graphic>
          </wp:inline>
        </w:drawing>
      </w:r>
    </w:p>
    <w:p>
      <w:pPr>
        <w:pStyle w:val="Header"/>
        <w:ind w:hanging="0" w:start="0"/>
        <w:jc w:val="center"/>
        <w:rPr>
          <w:rFonts w:ascii="Times New Roman" w:hAnsi="Times New Roman" w:cs="Times New Roman"/>
          <w:b w:val="false"/>
          <w:bCs w:val="false"/>
          <w:sz w:val="20"/>
          <w:szCs w:val="20"/>
        </w:rPr>
      </w:pPr>
      <w:r>
        <w:rPr>
          <w:rFonts w:cs="Times New Roman" w:ascii="Times New Roman" w:hAnsi="Times New Roman"/>
          <w:sz w:val="20"/>
          <w:szCs w:val="20"/>
        </w:rPr>
        <w:t>UNIVERSIDADE DO ESTADO DO PARÁ</w:t>
      </w:r>
    </w:p>
    <w:p>
      <w:pPr>
        <w:pStyle w:val="Normal"/>
        <w:shd w:val="clear" w:color="auto" w:fill="FFFFFF"/>
        <w:ind w:hanging="0" w:start="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PROGRAMA INSTITUCIONAL MULHERES NA CIÊNCIA - BOLSAS DE INICIAÇÃO CIENTÍFICA – UEPA/MULHERES | EDITAL 12/2026</w:t>
      </w:r>
    </w:p>
    <w:p>
      <w:pPr>
        <w:pStyle w:val="Normal"/>
        <w:shd w:val="clear" w:color="auto" w:fill="FFFFFF"/>
        <w:ind w:hanging="0" w:start="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CENTRO DE CIÊNCIAS BIOLÓGICAS E DA SAÚDE </w:t>
      </w:r>
    </w:p>
    <w:p>
      <w:pPr>
        <w:pStyle w:val="Normal"/>
        <w:shd w:val="clear" w:color="auto" w:fill="FFFFFF"/>
        <w:ind w:hanging="0" w:start="0"/>
        <w:jc w:val="center"/>
        <w:rPr>
          <w:rFonts w:ascii="Times New Roman" w:hAnsi="Times New Roman" w:eastAsia="Times New Roman" w:cs="Times New Roman"/>
          <w:b w:val="false"/>
          <w:bCs w:val="false"/>
          <w:sz w:val="20"/>
          <w:szCs w:val="20"/>
        </w:rPr>
      </w:pPr>
      <w:r>
        <w:rPr>
          <w:rFonts w:eastAsia="Times New Roman" w:cs="Times New Roman" w:ascii="Times New Roman" w:hAnsi="Times New Roman"/>
          <w:sz w:val="20"/>
          <w:szCs w:val="20"/>
        </w:rPr>
        <w:t xml:space="preserve">CURSO DE MEDICINA </w:t>
      </w:r>
      <w:bookmarkEnd w:id="0"/>
    </w:p>
    <w:p>
      <w:pPr>
        <w:pStyle w:val="Header"/>
        <w:ind w:hanging="0" w:start="0"/>
        <w:rPr/>
      </w:pPr>
      <w:r>
        <w:rPr/>
      </w:r>
    </w:p>
    <w:p>
      <w:pPr>
        <w:pStyle w:val="Normal"/>
        <w:widowControl w:val="false"/>
        <w:spacing w:before="44" w:after="0"/>
        <w:ind w:hanging="0" w:start="0"/>
        <w:jc w:val="start"/>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center"/>
        <w:rPr>
          <w:rFonts w:ascii="Times New Roman" w:hAnsi="Times New Roman" w:eastAsia="Times New Roman" w:cs="Times New Roman"/>
          <w:b w:val="false"/>
          <w:bCs w:val="false"/>
        </w:rPr>
      </w:pPr>
      <w:r>
        <w:rPr>
          <w:rFonts w:eastAsia="Times New Roman" w:cs="Times New Roman" w:ascii="Times New Roman" w:hAnsi="Times New Roman"/>
          <w:b w:val="false"/>
          <w:bCs w:val="false"/>
        </w:rPr>
        <w:t>PROJETO DE PESQUISA</w:t>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center"/>
        <w:rPr>
          <w:rFonts w:ascii="Times New Roman" w:hAnsi="Times New Roman" w:eastAsia="Times New Roman" w:cs="Times New Roman"/>
        </w:rPr>
      </w:pPr>
      <w:bookmarkStart w:id="1" w:name="_Hlk231725154"/>
      <w:r>
        <w:rPr>
          <w:rFonts w:eastAsia="Times New Roman" w:cs="Times New Roman" w:ascii="Times New Roman" w:hAnsi="Times New Roman"/>
        </w:rPr>
        <w:t>EDUCAÇÃO EM SAÚDE SEXUAL E REPRODUTIVA PARA ADOLESCENTES: DIÁLOGO ENTRE A UNIVERSIDADE E ESTUDANTES DE ESCOLAS PÚBLICAS DE MARABÁ</w:t>
      </w:r>
      <w:bookmarkEnd w:id="1"/>
    </w:p>
    <w:p>
      <w:pPr>
        <w:pStyle w:val="Normal"/>
        <w:widowControl w:val="false"/>
        <w:spacing w:lineRule="auto" w:line="360"/>
        <w:ind w:hanging="0" w:start="0"/>
        <w:jc w:val="center"/>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ind w:hanging="0" w:start="0"/>
        <w:jc w:val="center"/>
        <w:rPr>
          <w:sz w:val="28"/>
          <w:szCs w:val="28"/>
        </w:rPr>
      </w:pPr>
      <w:r>
        <w:rPr>
          <w:sz w:val="28"/>
          <w:szCs w:val="28"/>
        </w:rPr>
      </w:r>
    </w:p>
    <w:p>
      <w:pPr>
        <w:pStyle w:val="Normal"/>
        <w:widowControl w:val="false"/>
        <w:spacing w:lineRule="auto" w:line="360" w:before="1" w:after="0"/>
        <w:ind w:hanging="0" w:start="0" w:end="144"/>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1" w:after="0"/>
        <w:ind w:hanging="0" w:start="0" w:end="144"/>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1" w:after="0"/>
        <w:ind w:hanging="0" w:start="0" w:end="144"/>
        <w:jc w:val="start"/>
        <w:rPr>
          <w:b w:val="false"/>
          <w:bCs w:val="false"/>
          <w:sz w:val="28"/>
          <w:szCs w:val="28"/>
        </w:rPr>
      </w:pPr>
      <w:r>
        <w:rPr>
          <w:b w:val="false"/>
          <w:bCs w:val="false"/>
          <w:sz w:val="28"/>
          <w:szCs w:val="28"/>
        </w:rPr>
      </w:r>
    </w:p>
    <w:p>
      <w:pPr>
        <w:pStyle w:val="Normal"/>
        <w:widowControl w:val="false"/>
        <w:spacing w:lineRule="auto" w:line="360" w:before="1" w:after="0"/>
        <w:ind w:hanging="0" w:start="0" w:end="144"/>
        <w:jc w:val="start"/>
        <w:rPr>
          <w:b w:val="false"/>
          <w:bCs w:val="false"/>
          <w:sz w:val="28"/>
          <w:szCs w:val="28"/>
        </w:rPr>
      </w:pPr>
      <w:r>
        <w:rPr>
          <w:b w:val="false"/>
          <w:bCs w:val="false"/>
          <w:sz w:val="28"/>
          <w:szCs w:val="28"/>
        </w:rPr>
      </w:r>
    </w:p>
    <w:p>
      <w:pPr>
        <w:pStyle w:val="Normal"/>
        <w:widowControl w:val="false"/>
        <w:spacing w:lineRule="auto" w:line="360" w:before="1" w:after="0"/>
        <w:ind w:hanging="0" w:start="0" w:end="144"/>
        <w:jc w:val="start"/>
        <w:rPr>
          <w:b w:val="false"/>
          <w:bCs w:val="false"/>
          <w:sz w:val="28"/>
          <w:szCs w:val="28"/>
        </w:rPr>
      </w:pPr>
      <w:r>
        <w:rPr>
          <w:b w:val="false"/>
          <w:bCs w:val="false"/>
          <w:sz w:val="28"/>
          <w:szCs w:val="28"/>
        </w:rPr>
      </w:r>
    </w:p>
    <w:p>
      <w:pPr>
        <w:pStyle w:val="Normal"/>
        <w:widowControl w:val="false"/>
        <w:spacing w:lineRule="auto" w:line="360" w:before="1" w:after="0"/>
        <w:ind w:hanging="0" w:start="0" w:end="144"/>
        <w:jc w:val="start"/>
        <w:rPr>
          <w:b w:val="false"/>
          <w:bCs w:val="false"/>
          <w:sz w:val="28"/>
          <w:szCs w:val="28"/>
        </w:rPr>
      </w:pPr>
      <w:r>
        <w:rPr>
          <w:b w:val="false"/>
          <w:bCs w:val="false"/>
          <w:sz w:val="28"/>
          <w:szCs w:val="28"/>
        </w:rPr>
      </w:r>
    </w:p>
    <w:p>
      <w:pPr>
        <w:pStyle w:val="Normal"/>
        <w:widowControl w:val="false"/>
        <w:spacing w:lineRule="auto" w:line="360" w:before="1" w:after="0"/>
        <w:ind w:hanging="0" w:start="0" w:end="144"/>
        <w:jc w:val="start"/>
        <w:rPr>
          <w:b w:val="false"/>
          <w:bCs w:val="false"/>
          <w:sz w:val="28"/>
          <w:szCs w:val="28"/>
        </w:rPr>
      </w:pPr>
      <w:r>
        <w:rPr>
          <w:b w:val="false"/>
          <w:bCs w:val="false"/>
          <w:sz w:val="28"/>
          <w:szCs w:val="28"/>
        </w:rPr>
      </w:r>
    </w:p>
    <w:p>
      <w:pPr>
        <w:pStyle w:val="Normal"/>
        <w:widowControl w:val="false"/>
        <w:spacing w:lineRule="auto" w:line="360" w:before="1" w:after="0"/>
        <w:ind w:hanging="0" w:start="0" w:end="144"/>
        <w:jc w:val="start"/>
        <w:rPr>
          <w:b w:val="false"/>
          <w:bCs w:val="false"/>
          <w:sz w:val="28"/>
          <w:szCs w:val="28"/>
        </w:rPr>
      </w:pPr>
      <w:r>
        <w:rPr>
          <w:b w:val="false"/>
          <w:bCs w:val="false"/>
          <w:sz w:val="28"/>
          <w:szCs w:val="28"/>
        </w:rPr>
      </w:r>
    </w:p>
    <w:p>
      <w:pPr>
        <w:pStyle w:val="Normal"/>
        <w:widowControl w:val="false"/>
        <w:spacing w:lineRule="auto" w:line="360" w:before="1" w:after="0"/>
        <w:ind w:hanging="0" w:start="0" w:end="144"/>
        <w:jc w:val="start"/>
        <w:rPr>
          <w:b w:val="false"/>
          <w:bCs w:val="false"/>
          <w:sz w:val="28"/>
          <w:szCs w:val="28"/>
        </w:rPr>
      </w:pPr>
      <w:r>
        <w:rPr>
          <w:b w:val="false"/>
          <w:bCs w:val="false"/>
          <w:sz w:val="28"/>
          <w:szCs w:val="28"/>
        </w:rPr>
      </w:r>
    </w:p>
    <w:p>
      <w:pPr>
        <w:pStyle w:val="Normal"/>
        <w:widowControl w:val="false"/>
        <w:spacing w:lineRule="auto" w:line="360" w:before="1" w:after="0"/>
        <w:ind w:hanging="0" w:start="0" w:end="144"/>
        <w:jc w:val="start"/>
        <w:rPr>
          <w:b w:val="false"/>
          <w:bCs w:val="false"/>
          <w:sz w:val="28"/>
          <w:szCs w:val="28"/>
        </w:rPr>
      </w:pPr>
      <w:r>
        <w:rPr>
          <w:b w:val="false"/>
          <w:bCs w:val="false"/>
          <w:sz w:val="28"/>
          <w:szCs w:val="28"/>
        </w:rPr>
      </w:r>
    </w:p>
    <w:p>
      <w:pPr>
        <w:pStyle w:val="Normal"/>
        <w:widowControl w:val="false"/>
        <w:spacing w:lineRule="auto" w:line="360" w:before="1" w:after="0"/>
        <w:ind w:hanging="0" w:start="0" w:end="144"/>
        <w:jc w:val="center"/>
        <w:rPr>
          <w:rFonts w:ascii="Times New Roman" w:hAnsi="Times New Roman" w:cs="Times New Roman"/>
          <w:b w:val="false"/>
          <w:bCs w:val="false"/>
        </w:rPr>
      </w:pPr>
      <w:r>
        <w:rPr>
          <w:rFonts w:cs="Times New Roman" w:ascii="Times New Roman" w:hAnsi="Times New Roman"/>
          <w:b w:val="false"/>
          <w:bCs w:val="false"/>
        </w:rPr>
        <w:t>MARABÁ – PA</w:t>
      </w:r>
    </w:p>
    <w:p>
      <w:pPr>
        <w:pStyle w:val="Normal"/>
        <w:widowControl w:val="false"/>
        <w:spacing w:lineRule="auto" w:line="360" w:before="1" w:after="0"/>
        <w:ind w:hanging="0" w:start="0" w:end="144"/>
        <w:jc w:val="center"/>
        <w:rPr>
          <w:rFonts w:ascii="Times New Roman" w:hAnsi="Times New Roman" w:cs="Times New Roman"/>
          <w:b w:val="false"/>
          <w:bCs w:val="false"/>
        </w:rPr>
      </w:pPr>
      <w:r>
        <w:rPr>
          <w:rFonts w:cs="Times New Roman" w:ascii="Times New Roman" w:hAnsi="Times New Roman"/>
          <w:b w:val="false"/>
          <w:bCs w:val="false"/>
        </w:rPr>
        <w:t>2026</w:t>
      </w:r>
    </w:p>
    <w:p>
      <w:pPr>
        <w:pStyle w:val="Normal"/>
        <w:widowControl w:val="false"/>
        <w:spacing w:before="242" w:after="0"/>
        <w:ind w:hanging="0" w:start="0"/>
        <w:jc w:val="start"/>
        <w:rPr>
          <w:sz w:val="28"/>
          <w:szCs w:val="28"/>
        </w:rPr>
      </w:pPr>
      <w:r>
        <w:rPr>
          <w:rFonts w:eastAsia="Times New Roman" w:cs="Times New Roman" w:ascii="Times New Roman" w:hAnsi="Times New Roman"/>
        </w:rPr>
        <w:t xml:space="preserve">RESUMO </w:t>
      </w:r>
    </w:p>
    <w:p>
      <w:pPr>
        <w:pStyle w:val="Normal"/>
        <w:widowControl w:val="false"/>
        <w:ind w:hanging="0" w:start="0" w:end="161"/>
        <w:rPr>
          <w:b w:val="false"/>
          <w:bCs w:val="false"/>
          <w:sz w:val="28"/>
          <w:szCs w:val="28"/>
        </w:rPr>
      </w:pPr>
      <w:r>
        <w:rPr>
          <w:rFonts w:eastAsia="Times New Roman" w:cs="Times New Roman" w:ascii="Times New Roman" w:hAnsi="Times New Roman"/>
          <w:b w:val="false"/>
          <w:bCs w:val="false"/>
        </w:rPr>
        <w:t>Promover o acesso à informação sobre saúde sexual e reprodutiva na adolescência — para além de abordar apenas a gravidez nessa fase da vida — é imprescindível para formação de mulheres mais conscientes e informadas sobre a própria saúde, especialmente entre estudantes da rede pública de ensino. Dessa forma, a presente pesquisa busca, dentro da proposta do Arco de Manguerez, investigar, por meio de questionários pré e pós-intervenção, o conhecimento prévio e adquirido de adolescentes acerca de temas relacionados ao sistema reprodutor feminino, ciclo menstrual, métodos contraceptivos, prevenção de infecções sexualmente transmissíveis (ISTs), HIV, PrEP e PEP. Trata-se de um estudo quantitativo, quase-experimental, do tipo pré e pós-intervenção, realizado com aproximadamente 100 alunas do 2º e 3º ano do ensino médio de quatro escolas públicas do município de Marabá. A intervenção será realizada por meio de palestra educativa expositivo-dialogada, com espaço para esclarecimento de dúvidas. Espera-se que haja ampliação do conhecimento das participantes sobre saúde sexual e reprodutiva, quantificável pela análise comparativa entre os questionários aplicados antes e após a atividade educativa.</w:t>
      </w:r>
    </w:p>
    <w:p>
      <w:pPr>
        <w:pStyle w:val="Normal"/>
        <w:widowControl w:val="false"/>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jc w:val="start"/>
        <w:rPr>
          <w:b w:val="false"/>
          <w:bCs w:val="false"/>
          <w:sz w:val="28"/>
          <w:szCs w:val="28"/>
        </w:rPr>
      </w:pPr>
      <w:r>
        <w:rPr>
          <w:rFonts w:eastAsia="Times New Roman" w:cs="Times New Roman" w:ascii="Times New Roman" w:hAnsi="Times New Roman"/>
        </w:rPr>
        <w:t>Palavras–chave ou descritores:</w:t>
      </w:r>
      <w:r>
        <w:rPr>
          <w:rFonts w:eastAsia="Times New Roman" w:cs="Times New Roman" w:ascii="Times New Roman" w:hAnsi="Times New Roman"/>
          <w:b w:val="false"/>
          <w:bCs w:val="false"/>
        </w:rPr>
        <w:t xml:space="preserve"> Educação em Saúde; Saúde da Mulher; Adolescentes do Sexo Feminino; Saúde Sexual e Reprodutiva.</w:t>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TOC1"/>
        <w:rPr/>
      </w:pPr>
      <w:r>
        <w:rPr/>
        <w:t>SUMÁRIO</w:t>
      </w:r>
    </w:p>
    <w:p>
      <w:pPr>
        <w:pStyle w:val="TOC1"/>
        <w:rPr>
          <w:b w:val="false"/>
          <w:bCs w:val="false"/>
        </w:rPr>
      </w:pPr>
      <w:r>
        <w:rPr>
          <w:b w:val="false"/>
          <w:bCs w:val="false"/>
        </w:rPr>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b w:val="false"/>
              <w:bCs w:val="false"/>
              <w:sz w:val="22"/>
              <w:szCs w:val="22"/>
            </w:rPr>
          </w:pPr>
          <w:r>
            <w:fldChar w:fldCharType="begin"/>
          </w:r>
          <w:r>
            <w:rPr>
              <w:rStyle w:val="Vnculodendice"/>
              <w:webHidden/>
            </w:rPr>
            <w:instrText xml:space="preserve"> TOC \z \t "TÍTULO,1" \h</w:instrText>
          </w:r>
          <w:r>
            <w:rPr>
              <w:rStyle w:val="Vnculodendice"/>
              <w:webHidden/>
            </w:rPr>
            <w:fldChar w:fldCharType="separate"/>
          </w:r>
          <w:hyperlink w:anchor="_Toc231734787">
            <w:r>
              <w:rPr>
                <w:rStyle w:val="Vnculodendice"/>
                <w:webHidden/>
              </w:rPr>
              <w:t>1.</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INTRODUÇÃO</w:t>
            </w:r>
            <w:r>
              <w:rPr>
                <w:webHidden/>
              </w:rPr>
              <w:fldChar w:fldCharType="begin"/>
            </w:r>
            <w:r>
              <w:rPr>
                <w:webHidden/>
              </w:rPr>
              <w:instrText xml:space="preserve">PAGEREF _Toc231734787 \h</w:instrText>
            </w:r>
            <w:r>
              <w:rPr>
                <w:webHidden/>
              </w:rPr>
              <w:fldChar w:fldCharType="separate"/>
            </w:r>
            <w:r>
              <w:rPr>
                <w:rStyle w:val="Vnculodendice"/>
                <w:vanish w:val="false"/>
              </w:rPr>
              <w:tab/>
              <w:t>4</w:t>
            </w:r>
            <w:r>
              <w:rPr>
                <w:webHidden/>
              </w:rPr>
              <w:fldChar w:fldCharType="end"/>
            </w:r>
          </w:hyperlink>
        </w:p>
        <w:p>
          <w:pPr>
            <w:pStyle w:val="TOC1"/>
            <w:rPr>
              <w:rFonts w:ascii="Cambria" w:hAnsi="Cambria" w:eastAsia="" w:cs="" w:asciiTheme="minorHAnsi" w:cstheme="minorBidi" w:eastAsiaTheme="minorEastAsia" w:hAnsiTheme="minorHAnsi"/>
              <w:b w:val="false"/>
              <w:bCs w:val="false"/>
              <w:sz w:val="22"/>
              <w:szCs w:val="22"/>
            </w:rPr>
          </w:pPr>
          <w:hyperlink w:anchor="_Toc231734788">
            <w:r>
              <w:rPr>
                <w:rStyle w:val="Vnculodendice"/>
                <w:webHidden/>
              </w:rPr>
              <w:t>2.</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JUSTIFICATIVA</w:t>
            </w:r>
            <w:r>
              <w:rPr>
                <w:webHidden/>
              </w:rPr>
              <w:fldChar w:fldCharType="begin"/>
            </w:r>
            <w:r>
              <w:rPr>
                <w:webHidden/>
              </w:rPr>
              <w:instrText xml:space="preserve">PAGEREF _Toc231734788 \h</w:instrText>
            </w:r>
            <w:r>
              <w:rPr>
                <w:webHidden/>
              </w:rPr>
              <w:fldChar w:fldCharType="separate"/>
            </w:r>
            <w:r>
              <w:rPr>
                <w:rStyle w:val="Vnculodendice"/>
                <w:vanish w:val="false"/>
              </w:rPr>
              <w:tab/>
              <w:t>6</w:t>
            </w:r>
            <w:r>
              <w:rPr>
                <w:webHidden/>
              </w:rPr>
              <w:fldChar w:fldCharType="end"/>
            </w:r>
          </w:hyperlink>
        </w:p>
        <w:p>
          <w:pPr>
            <w:pStyle w:val="TOC1"/>
            <w:rPr>
              <w:rFonts w:ascii="Cambria" w:hAnsi="Cambria" w:eastAsia="" w:cs="" w:asciiTheme="minorHAnsi" w:cstheme="minorBidi" w:eastAsiaTheme="minorEastAsia" w:hAnsiTheme="minorHAnsi"/>
              <w:b w:val="false"/>
              <w:bCs w:val="false"/>
              <w:sz w:val="22"/>
              <w:szCs w:val="22"/>
            </w:rPr>
          </w:pPr>
          <w:hyperlink w:anchor="_Toc231734789">
            <w:r>
              <w:rPr>
                <w:rStyle w:val="Vnculodendice"/>
                <w:webHidden/>
              </w:rPr>
              <w:t>3.</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OBJETIVO GERAL</w:t>
            </w:r>
            <w:r>
              <w:rPr>
                <w:webHidden/>
              </w:rPr>
              <w:fldChar w:fldCharType="begin"/>
            </w:r>
            <w:r>
              <w:rPr>
                <w:webHidden/>
              </w:rPr>
              <w:instrText xml:space="preserve">PAGEREF _Toc231734789 \h</w:instrText>
            </w:r>
            <w:r>
              <w:rPr>
                <w:webHidden/>
              </w:rPr>
              <w:fldChar w:fldCharType="separate"/>
            </w:r>
            <w:r>
              <w:rPr>
                <w:rStyle w:val="Vnculodendice"/>
                <w:vanish w:val="false"/>
              </w:rPr>
              <w:tab/>
              <w:t>8</w:t>
            </w:r>
            <w:r>
              <w:rPr>
                <w:webHidden/>
              </w:rPr>
              <w:fldChar w:fldCharType="end"/>
            </w:r>
          </w:hyperlink>
        </w:p>
        <w:p>
          <w:pPr>
            <w:pStyle w:val="TOC1"/>
            <w:rPr>
              <w:rFonts w:ascii="Cambria" w:hAnsi="Cambria" w:eastAsia="" w:cs="" w:asciiTheme="minorHAnsi" w:cstheme="minorBidi" w:eastAsiaTheme="minorEastAsia" w:hAnsiTheme="minorHAnsi"/>
              <w:b w:val="false"/>
              <w:bCs w:val="false"/>
              <w:sz w:val="22"/>
              <w:szCs w:val="22"/>
            </w:rPr>
          </w:pPr>
          <w:hyperlink w:anchor="_Toc231734790">
            <w:r>
              <w:rPr>
                <w:rStyle w:val="Vnculodendice"/>
                <w:webHidden/>
              </w:rPr>
              <w:t>4.</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OBJETIVOS ESPECÍFICOS</w:t>
            </w:r>
            <w:r>
              <w:rPr>
                <w:webHidden/>
              </w:rPr>
              <w:fldChar w:fldCharType="begin"/>
            </w:r>
            <w:r>
              <w:rPr>
                <w:webHidden/>
              </w:rPr>
              <w:instrText xml:space="preserve">PAGEREF _Toc231734790 \h</w:instrText>
            </w:r>
            <w:r>
              <w:rPr>
                <w:webHidden/>
              </w:rPr>
              <w:fldChar w:fldCharType="separate"/>
            </w:r>
            <w:r>
              <w:rPr>
                <w:rStyle w:val="Vnculodendice"/>
                <w:vanish w:val="false"/>
              </w:rPr>
              <w:tab/>
              <w:t>8</w:t>
            </w:r>
            <w:r>
              <w:rPr>
                <w:webHidden/>
              </w:rPr>
              <w:fldChar w:fldCharType="end"/>
            </w:r>
          </w:hyperlink>
        </w:p>
        <w:p>
          <w:pPr>
            <w:pStyle w:val="TOC1"/>
            <w:rPr>
              <w:rFonts w:ascii="Cambria" w:hAnsi="Cambria" w:eastAsia="" w:cs="" w:asciiTheme="minorHAnsi" w:cstheme="minorBidi" w:eastAsiaTheme="minorEastAsia" w:hAnsiTheme="minorHAnsi"/>
              <w:b w:val="false"/>
              <w:bCs w:val="false"/>
              <w:sz w:val="22"/>
              <w:szCs w:val="22"/>
            </w:rPr>
          </w:pPr>
          <w:hyperlink w:anchor="_Toc231734791">
            <w:r>
              <w:rPr>
                <w:rStyle w:val="Vnculodendice"/>
                <w:webHidden/>
              </w:rPr>
              <w:t>5.</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MATERIAIS E MÉTODOS</w:t>
            </w:r>
            <w:r>
              <w:rPr>
                <w:webHidden/>
              </w:rPr>
              <w:fldChar w:fldCharType="begin"/>
            </w:r>
            <w:r>
              <w:rPr>
                <w:webHidden/>
              </w:rPr>
              <w:instrText xml:space="preserve">PAGEREF _Toc231734791 \h</w:instrText>
            </w:r>
            <w:r>
              <w:rPr>
                <w:webHidden/>
              </w:rPr>
              <w:fldChar w:fldCharType="separate"/>
            </w:r>
            <w:r>
              <w:rPr>
                <w:rStyle w:val="Vnculodendice"/>
                <w:vanish w:val="false"/>
              </w:rPr>
              <w:tab/>
              <w:t>9</w:t>
            </w:r>
            <w:r>
              <w:rPr>
                <w:webHidden/>
              </w:rPr>
              <w:fldChar w:fldCharType="end"/>
            </w:r>
          </w:hyperlink>
        </w:p>
        <w:p>
          <w:pPr>
            <w:pStyle w:val="TOC1"/>
            <w:rPr>
              <w:rFonts w:ascii="Cambria" w:hAnsi="Cambria" w:eastAsia="" w:cs="" w:asciiTheme="minorHAnsi" w:cstheme="minorBidi" w:eastAsiaTheme="minorEastAsia" w:hAnsiTheme="minorHAnsi"/>
              <w:b w:val="false"/>
              <w:bCs w:val="false"/>
              <w:sz w:val="22"/>
              <w:szCs w:val="22"/>
            </w:rPr>
          </w:pPr>
          <w:hyperlink w:anchor="_Toc231734792">
            <w:r>
              <w:rPr>
                <w:rStyle w:val="Vnculodendice"/>
                <w:webHidden/>
              </w:rPr>
              <w:t>6.</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RISCOS E BENEFÍCIOS</w:t>
            </w:r>
            <w:r>
              <w:rPr>
                <w:webHidden/>
              </w:rPr>
              <w:fldChar w:fldCharType="begin"/>
            </w:r>
            <w:r>
              <w:rPr>
                <w:webHidden/>
              </w:rPr>
              <w:instrText xml:space="preserve">PAGEREF _Toc231734792 \h</w:instrText>
            </w:r>
            <w:r>
              <w:rPr>
                <w:webHidden/>
              </w:rPr>
              <w:fldChar w:fldCharType="separate"/>
            </w:r>
            <w:r>
              <w:rPr>
                <w:rStyle w:val="Vnculodendice"/>
                <w:vanish w:val="false"/>
              </w:rPr>
              <w:tab/>
              <w:t>12</w:t>
            </w:r>
            <w:r>
              <w:rPr>
                <w:webHidden/>
              </w:rPr>
              <w:fldChar w:fldCharType="end"/>
            </w:r>
          </w:hyperlink>
        </w:p>
        <w:p>
          <w:pPr>
            <w:pStyle w:val="TOC1"/>
            <w:rPr>
              <w:rFonts w:ascii="Cambria" w:hAnsi="Cambria" w:eastAsia="" w:cs="" w:asciiTheme="minorHAnsi" w:cstheme="minorBidi" w:eastAsiaTheme="minorEastAsia" w:hAnsiTheme="minorHAnsi"/>
              <w:b w:val="false"/>
              <w:bCs w:val="false"/>
              <w:sz w:val="22"/>
              <w:szCs w:val="22"/>
            </w:rPr>
          </w:pPr>
          <w:hyperlink w:anchor="_Toc231734793">
            <w:r>
              <w:rPr>
                <w:rStyle w:val="Vnculodendice"/>
                <w:webHidden/>
              </w:rPr>
              <w:t>7.</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RESULTADOS ESPERADOS</w:t>
            </w:r>
            <w:r>
              <w:rPr>
                <w:webHidden/>
              </w:rPr>
              <w:fldChar w:fldCharType="begin"/>
            </w:r>
            <w:r>
              <w:rPr>
                <w:webHidden/>
              </w:rPr>
              <w:instrText xml:space="preserve">PAGEREF _Toc231734793 \h</w:instrText>
            </w:r>
            <w:r>
              <w:rPr>
                <w:webHidden/>
              </w:rPr>
              <w:fldChar w:fldCharType="separate"/>
            </w:r>
            <w:r>
              <w:rPr>
                <w:rStyle w:val="Vnculodendice"/>
                <w:vanish w:val="false"/>
              </w:rPr>
              <w:tab/>
              <w:t>13</w:t>
            </w:r>
            <w:r>
              <w:rPr>
                <w:webHidden/>
              </w:rPr>
              <w:fldChar w:fldCharType="end"/>
            </w:r>
          </w:hyperlink>
        </w:p>
        <w:p>
          <w:pPr>
            <w:pStyle w:val="TOC1"/>
            <w:rPr>
              <w:rFonts w:ascii="Cambria" w:hAnsi="Cambria" w:eastAsia="" w:cs="" w:asciiTheme="minorHAnsi" w:cstheme="minorBidi" w:eastAsiaTheme="minorEastAsia" w:hAnsiTheme="minorHAnsi"/>
              <w:b w:val="false"/>
              <w:bCs w:val="false"/>
              <w:sz w:val="22"/>
              <w:szCs w:val="22"/>
            </w:rPr>
          </w:pPr>
          <w:hyperlink w:anchor="_Toc231734794">
            <w:r>
              <w:rPr>
                <w:rStyle w:val="Vnculodendice"/>
                <w:webHidden/>
              </w:rPr>
              <w:t>8.</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CRONOGRAMA</w:t>
            </w:r>
            <w:r>
              <w:rPr>
                <w:webHidden/>
              </w:rPr>
              <w:fldChar w:fldCharType="begin"/>
            </w:r>
            <w:r>
              <w:rPr>
                <w:webHidden/>
              </w:rPr>
              <w:instrText xml:space="preserve">PAGEREF _Toc231734794 \h</w:instrText>
            </w:r>
            <w:r>
              <w:rPr>
                <w:webHidden/>
              </w:rPr>
              <w:fldChar w:fldCharType="separate"/>
            </w:r>
            <w:r>
              <w:rPr>
                <w:rStyle w:val="Vnculodendice"/>
                <w:vanish w:val="false"/>
              </w:rPr>
              <w:tab/>
              <w:t>14</w:t>
            </w:r>
            <w:r>
              <w:rPr>
                <w:webHidden/>
              </w:rPr>
              <w:fldChar w:fldCharType="end"/>
            </w:r>
          </w:hyperlink>
        </w:p>
        <w:p>
          <w:pPr>
            <w:pStyle w:val="TOC1"/>
            <w:rPr>
              <w:rFonts w:ascii="Cambria" w:hAnsi="Cambria" w:eastAsia="" w:cs="" w:asciiTheme="minorHAnsi" w:cstheme="minorBidi" w:eastAsiaTheme="minorEastAsia" w:hAnsiTheme="minorHAnsi"/>
              <w:b w:val="false"/>
              <w:bCs w:val="false"/>
              <w:sz w:val="22"/>
              <w:szCs w:val="22"/>
            </w:rPr>
          </w:pPr>
          <w:hyperlink w:anchor="_Toc231734795">
            <w:r>
              <w:rPr>
                <w:rStyle w:val="Vnculodendice"/>
                <w:webHidden/>
              </w:rPr>
              <w:t>9.</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ORÇAMENTO DO PROJETO</w:t>
            </w:r>
            <w:r>
              <w:rPr>
                <w:webHidden/>
              </w:rPr>
              <w:fldChar w:fldCharType="begin"/>
            </w:r>
            <w:r>
              <w:rPr>
                <w:webHidden/>
              </w:rPr>
              <w:instrText xml:space="preserve">PAGEREF _Toc231734795 \h</w:instrText>
            </w:r>
            <w:r>
              <w:rPr>
                <w:webHidden/>
              </w:rPr>
              <w:fldChar w:fldCharType="separate"/>
            </w:r>
            <w:r>
              <w:rPr>
                <w:rStyle w:val="Vnculodendice"/>
                <w:vanish w:val="false"/>
              </w:rPr>
              <w:tab/>
              <w:t>15</w:t>
            </w:r>
            <w:r>
              <w:rPr>
                <w:webHidden/>
              </w:rPr>
              <w:fldChar w:fldCharType="end"/>
            </w:r>
          </w:hyperlink>
        </w:p>
        <w:p>
          <w:pPr>
            <w:pStyle w:val="TOC1"/>
            <w:rPr>
              <w:rFonts w:ascii="Cambria" w:hAnsi="Cambria" w:eastAsia="" w:cs="" w:asciiTheme="minorHAnsi" w:cstheme="minorBidi" w:eastAsiaTheme="minorEastAsia" w:hAnsiTheme="minorHAnsi"/>
              <w:b w:val="false"/>
              <w:bCs w:val="false"/>
              <w:sz w:val="22"/>
              <w:szCs w:val="22"/>
            </w:rPr>
          </w:pPr>
          <w:hyperlink w:anchor="_Toc231734796">
            <w:r>
              <w:rPr>
                <w:rStyle w:val="Vnculodendice"/>
                <w:webHidden/>
              </w:rPr>
              <w:t>10.</w:t>
            </w:r>
            <w:r>
              <w:rPr>
                <w:rStyle w:val="Vnculodendice"/>
                <w:rFonts w:eastAsia="" w:cs="" w:ascii="Cambria" w:hAnsi="Cambria" w:asciiTheme="minorHAnsi" w:cstheme="minorBidi" w:eastAsiaTheme="minorEastAsia" w:hAnsiTheme="minorHAnsi"/>
                <w:b w:val="false"/>
                <w:bCs w:val="false"/>
                <w:sz w:val="22"/>
                <w:szCs w:val="22"/>
              </w:rPr>
              <w:tab/>
            </w:r>
            <w:r>
              <w:rPr>
                <w:rStyle w:val="Vnculodendice"/>
              </w:rPr>
              <w:t>REFERÊNCIAS</w:t>
            </w:r>
            <w:r>
              <w:rPr>
                <w:webHidden/>
              </w:rPr>
              <w:fldChar w:fldCharType="begin"/>
            </w:r>
            <w:r>
              <w:rPr>
                <w:webHidden/>
              </w:rPr>
              <w:instrText xml:space="preserve">PAGEREF _Toc231734796 \h</w:instrText>
            </w:r>
            <w:r>
              <w:rPr>
                <w:webHidden/>
              </w:rPr>
              <w:fldChar w:fldCharType="separate"/>
            </w:r>
            <w:r>
              <w:rPr>
                <w:rStyle w:val="Vnculodendice"/>
                <w:vanish w:val="false"/>
              </w:rPr>
              <w:tab/>
              <w:t>16</w:t>
            </w:r>
            <w:r>
              <w:rPr>
                <w:webHidden/>
              </w:rPr>
              <w:fldChar w:fldCharType="end"/>
            </w:r>
          </w:hyperlink>
          <w:r>
            <w:rPr>
              <w:rStyle w:val="Vnculodendice"/>
              <w:vanish w:val="false"/>
            </w:rPr>
            <w:fldChar w:fldCharType="end"/>
          </w:r>
        </w:p>
      </w:sdtContent>
    </w:sdt>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ind w:hanging="0" w:start="0"/>
        <w:jc w:val="start"/>
        <w:rPr>
          <w:b w:val="false"/>
          <w:bCs w:val="false"/>
          <w:sz w:val="28"/>
          <w:szCs w:val="28"/>
        </w:rPr>
      </w:pPr>
      <w:r>
        <w:rPr>
          <w:b w:val="false"/>
          <w:bCs w:val="false"/>
          <w:sz w:val="28"/>
          <w:szCs w:val="28"/>
        </w:rPr>
      </w:r>
    </w:p>
    <w:p>
      <w:pPr>
        <w:pStyle w:val="Normal"/>
        <w:widowControl w:val="false"/>
        <w:spacing w:lineRule="auto" w:line="360" w:before="0" w:after="240"/>
        <w:ind w:firstLine="851" w:start="0"/>
        <w:jc w:val="start"/>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before="0" w:after="240"/>
        <w:ind w:firstLine="851" w:start="0"/>
        <w:jc w:val="start"/>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before="0" w:after="240"/>
        <w:ind w:firstLine="851" w:start="0"/>
        <w:jc w:val="start"/>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before="0" w:after="240"/>
        <w:ind w:firstLine="851" w:start="0"/>
        <w:jc w:val="start"/>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ind w:hanging="0" w:start="0"/>
        <w:rPr>
          <w:rFonts w:ascii="Times New Roman" w:hAnsi="Times New Roman" w:eastAsia="Times New Roman" w:cs="Times New Roman"/>
        </w:rPr>
      </w:pPr>
      <w:r>
        <w:rPr>
          <w:rFonts w:eastAsia="Times New Roman" w:cs="Times New Roman" w:ascii="Times New Roman" w:hAnsi="Times New Roman"/>
        </w:rPr>
      </w:r>
    </w:p>
    <w:p>
      <w:pPr>
        <w:pStyle w:val="Normal"/>
        <w:spacing w:before="0" w:after="0"/>
        <w:ind w:hanging="0" w:start="0"/>
        <w:rPr>
          <w:rFonts w:ascii="Times New Roman" w:hAnsi="Times New Roman" w:eastAsia="Times New Roman" w:cs="Times New Roman"/>
        </w:rPr>
        <w:sectPr>
          <w:headerReference w:type="even" r:id="rId3"/>
          <w:headerReference w:type="default" r:id="rId4"/>
          <w:headerReference w:type="first" r:id="rId5"/>
          <w:type w:val="nextPage"/>
          <w:pgSz w:w="11906" w:h="16838"/>
          <w:pgMar w:left="1701" w:right="1134" w:gutter="0" w:header="720" w:top="1701" w:footer="0" w:bottom="1134"/>
          <w:pgNumType w:start="1" w:fmt="decimal"/>
          <w:formProt w:val="false"/>
          <w:textDirection w:val="lrTb"/>
          <w:docGrid w:type="default" w:linePitch="328" w:charSpace="0"/>
        </w:sectPr>
      </w:pPr>
      <w:r>
        <w:rPr>
          <w:rFonts w:eastAsia="Times New Roman" w:cs="Times New Roman" w:ascii="Times New Roman" w:hAnsi="Times New Roman"/>
        </w:rPr>
      </w:r>
    </w:p>
    <w:p>
      <w:pPr>
        <w:pStyle w:val="TTULO1"/>
        <w:numPr>
          <w:ilvl w:val="0"/>
          <w:numId w:val="32"/>
        </w:numPr>
        <w:ind w:hanging="426" w:start="426"/>
        <w:rPr>
          <w:sz w:val="28"/>
          <w:szCs w:val="28"/>
        </w:rPr>
      </w:pPr>
      <w:bookmarkStart w:id="2" w:name="_Toc231734787"/>
      <w:r>
        <w:rPr/>
        <w:t>INTRODUÇÃO</w:t>
      </w:r>
      <w:bookmarkEnd w:id="2"/>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A adolescência, definida pela Organização Mundial da Saúde (OMS) como o estágio entre 10 e 19 anos de idade, é uma fase de desenvolvimento biopsicossocial marcada por profundas transformações físicas, emocionais e relacionais. Durante esse período há a emergência da sexualidade, a formação da identidade reprodutiva e a consolidação de valores, atitudes e comportamentos que podem influenciar a saúde ao longo da vida. A saúde sexual e reprodutiva (SSR) na adolescência é, portanto, um eixo crítico para a promoção da saúde pública, com implicações diretas na prevenção de infecções sexualmente transmissíveis (IST), gravidez não planejada e emancipação reprodutiva responsável dos jovens.</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No Brasil, os indicadores mais recentes continuam a revelar desafios significativos. Informações do DATASUS de 2022 apontam que 315.606 partos ocorreram em adolescentes de até 19 anos, representando cerca de 12,3% de todos os partos no país, com percentuais ainda mais elevados nas região Norte (19,7%). Esses números evidenciam que persistem lacunas na oferta e na efetividade de intervenções educativas que promovam conhecimento, habilidades e atitudes saudáveis entre adolescentes. A Pesquisa Nacional de Saúde do Escolar (2009-2019) — PeNSE — realizada pelo IBGE, demonstra que práticas de risco como a iniciação sexual precoce e o uso inconsistente de preservativos permanecem preocupantes ao longo dos ciclos avaliados, reforçando a necessidade de abordagens educativas assertivas (Sousa et al., 2022).</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Assim, as iniciativas educação em SSR fundamentam-se não apenas na transmissão de informações técnicas sobre anatomia, métodos contraceptivos e prevenção de ISTs, mas também na promoção de direitos sexuais e reprodutivos, compreensão dos determinantes sociais de saúde e reconhecimento dos fatores de risco e proteção no contexto adolescente. Putri, Maryati &amp; Solehati, (2025) discutem em sua revisão de escopo que intervenções baseadas em educação sexual abrangente, especialmente aquelas implementadas em ambiente escolar, podem resultar em melhorias significativas no conhecimento e atitudes dos jovens, influenciando positivamente práticas contraceptivas e reduzindo comportamentos de risco sexual. </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Sob a perspectiva da educação em saúde, o processo educativo não deve restringir-se à transmissão verticalizada de informações biomédicas, mas promover construção crítica do conhecimento, autonomia e capacidade de tomada de decisão consciente pelos adolescentes. Nesse contexto, a educação dialógica proposta por Paulo Freire fortalece práticas participativas e problematizadoras, permitindo que os sujeitos compreendam sua realidade social e desenvolvam maior protagonismo sobre o próprio cuidado em saúde. No campo da saúde sexual e reprodutiva, tais estratégias mostram-se especialmente relevantes por favorecerem ambientes seguros de escuta, acolhimento e esclarecimento de dúvidas frequentemente atravessadas por tabus sociais, desinformação e desigualdades de gênero. </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O ambiente escolar configura-se como espaço estratégico para desenvolvimento de ações de promoção da saúde entre adolescentes, especialmente por possibilitar intervenções contínuas, coletivas e integradas entre os setores da saúde e educação. No Brasil, o Programa Saúde na Escola (PSE), instituído pelos Ministérios da Saúde e da Educação, reforça a importância da articulação intersetorial na promoção da saúde integral de crianças e adolescentes, incluindo ações voltadas à saúde sexual e reprodutiva, prevenção de ISTs e fortalecimento da autonomia juvenil. </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Além disso, adolescentes do sexo feminino frequentemente vivenciam vulnerabilidades específicas relacionadas às desigualdades de gênero, incluindo menor autonomia sobre decisões reprodutivas, dificuldade de acesso à informação qualificada e maior exposição a situações de violência sexual e relações desiguais de poder. Dessa forma, intervenções educativas voltadas à saúde sexual e reprodutiva possuem potencial de fortalecimento da autonomia feminina e promoção da equidade em saúde. </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Nesse contexto, a promoção da saúde sexual nas escolas públicas é um passo importante na construção local de mulheres cada vez mais conscientes da própria saúde desde a adolescência, assim, torna-se fundamental desenvolver intervenções educativas baseadas em evidências científicas e metodologias participativas que fortaleçam o conhecimento, autonomia e protagonismo juvenil, especialmente entre adolescentes em contextos de maior vulnerabilidade social.</w:t>
      </w:r>
    </w:p>
    <w:p>
      <w:pPr>
        <w:pStyle w:val="Normal"/>
        <w:widowControl w:val="false"/>
        <w:spacing w:lineRule="auto" w:line="360" w:before="257" w:after="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57" w:after="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57" w:after="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57" w:after="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57" w:after="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57" w:after="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0" w:after="240"/>
        <w:ind w:hanging="0" w:start="0"/>
        <w:jc w:val="start"/>
        <w:rPr>
          <w:rFonts w:ascii="Times New Roman" w:hAnsi="Times New Roman" w:eastAsia="Times New Roman" w:cs="Times New Roman"/>
        </w:rPr>
      </w:pPr>
      <w:r>
        <w:rPr>
          <w:rFonts w:eastAsia="Times New Roman" w:cs="Times New Roman" w:ascii="Times New Roman" w:hAnsi="Times New Roman"/>
        </w:rPr>
      </w:r>
    </w:p>
    <w:p>
      <w:pPr>
        <w:pStyle w:val="TTULO1"/>
        <w:numPr>
          <w:ilvl w:val="0"/>
          <w:numId w:val="32"/>
        </w:numPr>
        <w:ind w:hanging="426" w:start="426"/>
        <w:rPr>
          <w:sz w:val="28"/>
          <w:szCs w:val="28"/>
        </w:rPr>
      </w:pPr>
      <w:bookmarkStart w:id="3" w:name="_Toc231734788"/>
      <w:r>
        <w:rPr/>
        <w:t>JUSTIFICATIVA</w:t>
      </w:r>
      <w:bookmarkEnd w:id="3"/>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A promoção da saúde sexual e reprodutiva (SSR) na adolescência constitui uma estratégia de saúde pública, com impacto direto na redução de desigualdades socioeconômicas, na equidade de gênero e na interrupção de ciclos intergeracionais de vulnerabilidade. A adolescência representa fase crítica de consolidação de autonomia, construção identitária e início da vida sexual, sendo, portanto, momento oportuno para intervenções educativas baseadas em evidências.</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No contexto brasileiro, a gravidez na adolescência permanece como importante marcador de desigualdade social. Dados do Ministério da Saúde, por meio do Sistema de Informações sobre Nascidos Vivos (SINASC/DATASUS), indicam que no estado do Pará, os indicadores mantêm-se historicamente acima da média nacional. No município de Marabá, conforme dados da plataforma, o percentual de nascidos vivos de mães menores de 19 anos alcançou 26% no período entre 1994 e 2024, revelando um cenário persistente de vulnerabilidade reprodutiva juvenil.</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Ainda, a gravidez na adolescência deve ser compreendida para além do evento biológico. Trata-se de fenômeno multifatorial, associado a determinantes sociais da saúde como renda, escolaridade, acesso a serviços de saúde, desigualdade de gênero e exposição à violência. O Instituto Brasileiro de Geografia e Estatística (IBGE) evidencia que a maternidade precoce está fortemente associada à evasão escolar, redução dos anos de estudo e inserção antecipada e precarizada no mercado de trabalho, perpetuando ciclos de pobreza e dependência econômica. Tal contexto reforça que intervenções em SSR possuem potencial não apenas sanitário, mas também estruturante do desenvolvimento social.</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Do ponto de vista clínico e epidemiológico, a gestação na adolescência associa-se a maior risco de complicações obstétricas, como anemia, pré-eclâmpsia, prematuridade e baixo peso ao nascer, além de impactos psicológicos relevantes, especialmente quando a gestação não é planejada. O Fundo de População das Nações Unidas (UNFPA) estima que aproximadamente dois terços das gestações em adolescentes no Brasil não são planejadas, evidenciando lacunas no acesso a métodos contraceptivos, educação sexual estruturada e autonomia reprodutiva.</w:t>
      </w:r>
    </w:p>
    <w:p>
      <w:pPr>
        <w:pStyle w:val="Normal"/>
        <w:widowControl w:val="false"/>
        <w:spacing w:lineRule="auto" w:line="360"/>
        <w:ind w:firstLine="851"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Nesse cenário, o presente projeto é uma estratégia de fortalecimento do diálogo entre universidade e escola pública com elevada relevância social. A universidade, enquanto espaço de produção de conhecimento científico e formação de profissionais de saúde, possui responsabilidade social na tradução do saber acadêmico em intervenções práticas que impactem diretamente a comunidade. Tal aproximação torna-se ainda mais estratégica quando direcionada a estudantes da rede pública, que frequentemente enfrentam maior vulnerabilidade socioeconômica e menor acesso a informações qualificadas em saúde.</w:t>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end="173"/>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before="233" w:after="0"/>
        <w:ind w:hanging="0" w:start="0" w:end="173"/>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before="233" w:after="0"/>
        <w:ind w:hanging="0" w:start="0" w:end="173"/>
        <w:rPr>
          <w:rFonts w:ascii="Times New Roman" w:hAnsi="Times New Roman" w:eastAsia="Times New Roman" w:cs="Times New Roman"/>
        </w:rPr>
      </w:pPr>
      <w:r>
        <w:rPr>
          <w:rFonts w:eastAsia="Times New Roman" w:cs="Times New Roman" w:ascii="Times New Roman" w:hAnsi="Times New Roman"/>
        </w:rPr>
      </w:r>
    </w:p>
    <w:p>
      <w:pPr>
        <w:pStyle w:val="TTULO1"/>
        <w:numPr>
          <w:ilvl w:val="0"/>
          <w:numId w:val="32"/>
        </w:numPr>
        <w:ind w:hanging="426" w:start="426"/>
        <w:rPr/>
      </w:pPr>
      <w:bookmarkStart w:id="4" w:name="_Toc231734789"/>
      <w:r>
        <w:rPr/>
        <w:t>OBJETIVO GERAL</w:t>
      </w:r>
      <w:bookmarkEnd w:id="4"/>
    </w:p>
    <w:p>
      <w:pPr>
        <w:pStyle w:val="Normal"/>
        <w:widowControl w:val="false"/>
        <w:spacing w:lineRule="auto" w:line="360" w:before="233" w:after="0"/>
        <w:ind w:firstLine="709"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Informar estudantes da rede pública de ensino sobre saúde reprodutiva e sexual da mulher nas áreas de contracepção, planejamento familiar, prevenção de ISTs e saúde menstrual.</w:t>
      </w:r>
    </w:p>
    <w:p>
      <w:pPr>
        <w:pStyle w:val="Normal"/>
        <w:widowControl w:val="false"/>
        <w:spacing w:lineRule="auto" w:line="360" w:before="233" w:after="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TTULO1"/>
        <w:numPr>
          <w:ilvl w:val="0"/>
          <w:numId w:val="32"/>
        </w:numPr>
        <w:ind w:hanging="426" w:start="426"/>
        <w:rPr/>
      </w:pPr>
      <w:bookmarkStart w:id="5" w:name="_Toc231734790"/>
      <w:r>
        <w:rPr/>
        <w:t>OBJETIVOS ESPECÍFICOS</w:t>
      </w:r>
      <w:bookmarkEnd w:id="5"/>
    </w:p>
    <w:p>
      <w:pPr>
        <w:pStyle w:val="Normal"/>
        <w:widowControl w:val="false"/>
        <w:numPr>
          <w:ilvl w:val="0"/>
          <w:numId w:val="1"/>
        </w:numPr>
        <w:spacing w:lineRule="auto" w:line="360" w:before="233" w:after="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Realizar palestras educativas em quatro escolas públicas da cidade de Marabá, Pará, sobre saúde da mulher na adolescência;</w:t>
      </w:r>
    </w:p>
    <w:p>
      <w:pPr>
        <w:pStyle w:val="Normal"/>
        <w:widowControl w:val="false"/>
        <w:numPr>
          <w:ilvl w:val="0"/>
          <w:numId w:val="1"/>
        </w:numPr>
        <w:spacing w:lineRule="auto" w:line="36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Aplicar questionários antes e após a intervenção educativa;</w:t>
      </w:r>
    </w:p>
    <w:p>
      <w:pPr>
        <w:pStyle w:val="Normal"/>
        <w:widowControl w:val="false"/>
        <w:numPr>
          <w:ilvl w:val="0"/>
          <w:numId w:val="1"/>
        </w:numPr>
        <w:spacing w:lineRule="auto" w:line="36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Sanar dúvidas das jovens durante e após a exposição;</w:t>
      </w:r>
    </w:p>
    <w:p>
      <w:pPr>
        <w:pStyle w:val="Normal"/>
        <w:widowControl w:val="false"/>
        <w:numPr>
          <w:ilvl w:val="0"/>
          <w:numId w:val="1"/>
        </w:numPr>
        <w:spacing w:lineRule="auto" w:line="36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Comparar os questionários e a aquisição desse novo conhecimento entre as jovens;</w:t>
      </w:r>
    </w:p>
    <w:p>
      <w:pPr>
        <w:pStyle w:val="Normal"/>
        <w:widowControl w:val="false"/>
        <w:numPr>
          <w:ilvl w:val="0"/>
          <w:numId w:val="1"/>
        </w:numPr>
        <w:spacing w:lineRule="auto" w:line="36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Promover educação em saúde sexual e reprodutiva.</w:t>
      </w:r>
    </w:p>
    <w:p>
      <w:pPr>
        <w:pStyle w:val="Normal"/>
        <w:widowControl w:val="false"/>
        <w:numPr>
          <w:ilvl w:val="0"/>
          <w:numId w:val="1"/>
        </w:numPr>
        <w:spacing w:lineRule="auto" w:line="36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Incentivar a busca das jovens pela prevenção primária em saúde em Unidades Básicas de suas respectivas regiões. </w:t>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426"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TTULO1"/>
        <w:numPr>
          <w:ilvl w:val="0"/>
          <w:numId w:val="32"/>
        </w:numPr>
        <w:ind w:hanging="426" w:start="426"/>
        <w:rPr/>
      </w:pPr>
      <w:bookmarkStart w:id="6" w:name="_Toc231734791"/>
      <w:r>
        <w:rPr/>
        <w:t>MATERIAIS E MÉTODOS</w:t>
      </w:r>
      <w:bookmarkEnd w:id="6"/>
    </w:p>
    <w:p>
      <w:pPr>
        <w:pStyle w:val="Normal"/>
        <w:widowControl w:val="false"/>
        <w:spacing w:lineRule="auto" w:line="360"/>
        <w:ind w:firstLine="709"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Trata-se de um estudo quantitativo, quase-experimental, do tipo pré e pós-intervenção, sem grupo controle, com abordagem analítica comparativa intragrupo. O delineamento metodológico fundamenta-se na aplicação de instrumento estruturado antes da intervenção educativa (pré-teste), realização de atividade educativa em saúde sexual e reprodutiva (intervenção) e reaplicação do mesmo instrumento após a atividade (pós-teste), permitindo avaliação do impacto imediato da intervenção sobre o conhecimento das participantes. A proposta pedagógica inspira-se no Arco de Manguerez, metodologia ativa problematizadora que parte da observação da realidade, identificação de pontos-chave, teorização, formulação de hipóteses de solução e aplicação à realidade, favorecendo aprendizagem significativa e contextualizada. Tal abordagem encontra respaldo nas diretrizes contemporâneas de educação em saúde e educação permanente em saúde, preconizadas pelo Ministério da Saúde e pelo Ministério da Educação, que incentivam metodologias participativas e dialógicas na interface ensino-serviço-comunidade.</w:t>
      </w:r>
    </w:p>
    <w:p>
      <w:pPr>
        <w:pStyle w:val="Normal"/>
        <w:widowControl w:val="false"/>
        <w:spacing w:lineRule="auto" w:line="360"/>
        <w:ind w:firstLine="709"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O estudo será realizado em quatro escolas públicas estaduais de ensino médio situadas no município de Marabá, previamente designadas em articulação com a Secretaria Municipal de Saúde e a direção escolar, e o público-alvo será composto por alunas regularmente matriculadas no 2º e 3º ano do ensino médio das escolas selecionadas. A amostra será não probabilística, por conveniência, composta pelas estudantes presentes nas atividades educativas e que aceitarem participar da pesquisa voluntariamente. Estima-se participação de aproximadamente 100 adolescentes, considerando média de 25 participantes por escola.</w:t>
      </w:r>
    </w:p>
    <w:p>
      <w:pPr>
        <w:pStyle w:val="Normal"/>
        <w:widowControl w:val="false"/>
        <w:spacing w:lineRule="auto" w:line="360"/>
        <w:ind w:firstLine="709"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Serão incluídas as alunas do sexo feminino, regularmente matriculadas no 2° ou 3° ano do ensino médio, com idade superior a 15 anos, que manifestarem interesse voluntário em participar do estudo e assinarem o Termo de Consentimento Livre e Esclarecido (TCLE) quando maiores de 18 anos ou o Termo de Assentimento Livre e Esclarecido (TALE) quando menor de 18 anos, acompanhado do TCLE assinado pelo responsável legal. Serão excluídas do estudo as participantes de outras séries, que não sinalizem interesse em participar da pesquisa por meio da não-assinatura do TCLE ou TALE, que deixarem os questionários incompletos ou que desistiam durante o processo, e aquelas que estiverem ausentes durante a coleta.</w:t>
      </w:r>
    </w:p>
    <w:p>
      <w:pPr>
        <w:pStyle w:val="Normal"/>
        <w:widowControl w:val="false"/>
        <w:spacing w:lineRule="auto" w:line="360"/>
        <w:ind w:firstLine="709" w:start="0" w:end="173"/>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A coleta ocorrerá em três etapas sequenciais: </w:t>
      </w:r>
    </w:p>
    <w:p>
      <w:pPr>
        <w:pStyle w:val="ListParagraph"/>
        <w:widowControl w:val="false"/>
        <w:numPr>
          <w:ilvl w:val="0"/>
          <w:numId w:val="2"/>
        </w:numPr>
        <w:spacing w:lineRule="auto" w:line="360"/>
        <w:ind w:firstLine="709" w:start="0" w:end="315"/>
        <w:rPr>
          <w:b w:val="false"/>
          <w:bCs w:val="false"/>
        </w:rPr>
      </w:pPr>
      <w:r>
        <w:rPr>
          <w:rFonts w:eastAsia="Times New Roman" w:cs="Times New Roman" w:ascii="Times New Roman" w:hAnsi="Times New Roman"/>
          <w:b w:val="false"/>
          <w:bCs w:val="false"/>
        </w:rPr>
        <w:t xml:space="preserve"> </w:t>
      </w:r>
      <w:r>
        <w:rPr>
          <w:rFonts w:eastAsia="Times New Roman" w:cs="Times New Roman" w:ascii="Times New Roman" w:hAnsi="Times New Roman"/>
          <w:b w:val="false"/>
          <w:bCs w:val="false"/>
        </w:rPr>
        <w:t>Aplicação do questionário pré-intervenção: Será aplicado questionário estruturado, autoaplicável, com linguagem acessível e anônimo, contendo perguntas objetivas e de múltipla escolha, com auxílio da escala Likert, sobre conhecimento anatômico básico, métodos contraceptivos, prevenção de infecções sexualmente transmissíveis, saúde reprodutiva e fontes de informação sobre saúde sexual. O instrumento será elaborado com base nas diretrizes de Educação Integral em Sexualidade da Organização das Nações Unidas para a Educação, a Ciência e a Cultura (UNESCO) e nas recomendações técnicas da Organização Mundial da Saúde (OMS) para educação em saúde sexual de adolescentes. Será realizado estudo piloto com aproximadamente 10 a 20 estudantes não pertencentes à amostra final, com objetivo de avaliar clareza, compreensão e adequação do instrumento. O preenchimento ocorrerá em sala reservada, garantindo privacidade e confidencialidade.</w:t>
      </w:r>
    </w:p>
    <w:p>
      <w:pPr>
        <w:pStyle w:val="Normal"/>
        <w:widowControl w:val="false"/>
        <w:numPr>
          <w:ilvl w:val="0"/>
          <w:numId w:val="2"/>
        </w:numPr>
        <w:spacing w:lineRule="auto" w:line="360"/>
        <w:ind w:firstLine="709" w:start="0" w:end="315"/>
        <w:rPr>
          <w:b w:val="false"/>
          <w:bCs w:val="false"/>
        </w:rPr>
      </w:pPr>
      <w:r>
        <w:rPr>
          <w:rFonts w:eastAsia="Times New Roman" w:cs="Times New Roman" w:ascii="Times New Roman" w:hAnsi="Times New Roman"/>
          <w:b w:val="false"/>
          <w:bCs w:val="false"/>
        </w:rPr>
        <w:t xml:space="preserve"> </w:t>
      </w:r>
      <w:r>
        <w:rPr>
          <w:rFonts w:eastAsia="Times New Roman" w:cs="Times New Roman" w:ascii="Times New Roman" w:hAnsi="Times New Roman"/>
          <w:b w:val="false"/>
          <w:bCs w:val="false"/>
        </w:rPr>
        <w:t>Intervenção educativa: Após o pré-teste, será realizada palestra expositivo-dialogada com duração aproximada de 60 a 90 minutos, abordando mudanças fisiológicas da puberdade, métodos contraceptivos disponíveis no SUS, prevenção de ISTs (com ênfase em HIV, sífilis e HPV), saúde reprodutiva e acesso aos serviços de saúde no</w:t>
      </w:r>
      <w:r>
        <w:rPr/>
        <w:t xml:space="preserve"> </w:t>
      </w:r>
      <w:r>
        <w:rPr>
          <w:rFonts w:eastAsia="Times New Roman" w:cs="Times New Roman" w:ascii="Times New Roman" w:hAnsi="Times New Roman"/>
          <w:b w:val="false"/>
          <w:bCs w:val="false"/>
        </w:rPr>
        <w:t>município, ministrada por acadêmicas previamente treinadas, utilizando roteiro padronizado. Serão utilizados recursos audiovisuais uniformes (projeção multimídia de apresentação de Slides) entre as escolas, visando reduzir variabilidade da intervenção, linguagem acessível e espaço para perguntas. A intervenção seguirá abordagem dialógica, estimulando participação ativa e problematização de situações reais.</w:t>
      </w:r>
    </w:p>
    <w:p>
      <w:pPr>
        <w:pStyle w:val="Normal"/>
        <w:widowControl w:val="false"/>
        <w:numPr>
          <w:ilvl w:val="0"/>
          <w:numId w:val="2"/>
        </w:numPr>
        <w:spacing w:lineRule="auto" w:line="360"/>
        <w:ind w:firstLine="709" w:start="0" w:end="315"/>
        <w:rPr>
          <w:b w:val="false"/>
          <w:bCs w:val="false"/>
        </w:rPr>
      </w:pPr>
      <w:r>
        <w:rPr>
          <w:rFonts w:eastAsia="Times New Roman" w:cs="Times New Roman" w:ascii="Times New Roman" w:hAnsi="Times New Roman"/>
          <w:b w:val="false"/>
          <w:bCs w:val="false"/>
        </w:rPr>
        <w:t xml:space="preserve"> </w:t>
      </w:r>
      <w:r>
        <w:rPr>
          <w:rFonts w:eastAsia="Times New Roman" w:cs="Times New Roman" w:ascii="Times New Roman" w:hAnsi="Times New Roman"/>
          <w:b w:val="false"/>
          <w:bCs w:val="false"/>
        </w:rPr>
        <w:t>Aplicação do questionário pós-intervenção: Imediatamente após a palestra, será reaplicado o mesmo instrumento, permitindo análise comparativa do desempenho pré e pós-intervenção.</w:t>
      </w:r>
    </w:p>
    <w:p>
      <w:pPr>
        <w:pStyle w:val="Normal"/>
        <w:widowControl w:val="false"/>
        <w:spacing w:lineRule="auto" w:line="360" w:before="0" w:after="100"/>
        <w:ind w:firstLine="709" w:start="0" w:end="315"/>
        <w:rPr>
          <w:rFonts w:ascii="Times New Roman" w:hAnsi="Times New Roman" w:eastAsia="Times New Roman" w:cs="Times New Roman"/>
          <w:b w:val="false"/>
          <w:bCs w:val="false"/>
        </w:rPr>
      </w:pPr>
      <w:r>
        <w:rPr>
          <w:rFonts w:eastAsia="Times New Roman" w:cs="Times New Roman" w:ascii="Times New Roman" w:hAnsi="Times New Roman"/>
          <w:b w:val="false"/>
          <w:bCs w:val="false"/>
        </w:rPr>
        <w:t>Os dados serão digitados em planilha eletrônica e analisados por meio de estatística descritiva (frequência absoluta e relativa) e inferencial, tendo como facilitador o software estatístico R</w:t>
      </w:r>
      <w:r>
        <w:rPr>
          <w:rFonts w:eastAsia="Times New Roman" w:cs="Times New Roman" w:ascii="Times New Roman" w:hAnsi="Times New Roman"/>
          <w:b w:val="false"/>
          <w:bCs w:val="false"/>
          <w:color w:val="040C28"/>
        </w:rPr>
        <w:t>©</w:t>
      </w:r>
      <w:r>
        <w:rPr>
          <w:rFonts w:eastAsia="Times New Roman" w:cs="Times New Roman" w:ascii="Times New Roman" w:hAnsi="Times New Roman"/>
          <w:b w:val="false"/>
          <w:bCs w:val="false"/>
        </w:rPr>
        <w:t>. Para comparação entre os escores obtidos antes e após a intervenção será utilizado o teste t pareado, considerando a distribuição paramétrica dos dados. Caso os pressupostos de normalidade não sejam atendidos, será utilizado o teste não paramétrico de Wilcoxon. Será adotado um nível de significância de 5% (p &lt; 0,05). A consistência interna do instrumento será avaliada por meio do coeficiente alfa de Cronbach.</w:t>
      </w:r>
    </w:p>
    <w:p>
      <w:pPr>
        <w:pStyle w:val="Normal"/>
        <w:widowControl w:val="false"/>
        <w:spacing w:lineRule="auto" w:line="360"/>
        <w:ind w:firstLine="709" w:start="0" w:end="315"/>
        <w:rPr>
          <w:rFonts w:ascii="Times New Roman" w:hAnsi="Times New Roman" w:eastAsia="Times New Roman" w:cs="Times New Roman"/>
          <w:b w:val="false"/>
          <w:bCs w:val="false"/>
          <w:shd w:fill="F6B26B" w:val="clear"/>
        </w:rPr>
      </w:pPr>
      <w:r>
        <w:rPr>
          <w:rFonts w:eastAsia="Times New Roman" w:cs="Times New Roman" w:ascii="Times New Roman" w:hAnsi="Times New Roman"/>
          <w:b w:val="false"/>
          <w:bCs w:val="false"/>
        </w:rPr>
        <w:t>Com o objetivo de minimizar vieses metodológicos, serão adotadas estratégias de padronização da coleta de dados e da intervenção educativa. As palestras seguirão roteiro previamente estruturado e uniforme entre as escolas participantes, buscando reduzir a variabilidade entre as aplicações. O questionário será autoaplicável e anônimo, visando minimizar viés de desejabilidade social e proporcionar maior liberdade nas respostas. Além disso, será realizado estudo piloto para avaliação da clareza e compreensão do instrumento. A aplicação imediata do pós-teste buscará reduzir viés de memória e interferências externas sobre os conhecimentos adquiridos. Reconhece-se, entretanto, a possibilidade de viés de seleção, uma vez que a participação ocorrerá de forma voluntária e por amostra de conveniência.</w:t>
      </w:r>
    </w:p>
    <w:p>
      <w:pPr>
        <w:pStyle w:val="Normal"/>
        <w:widowControl w:val="false"/>
        <w:spacing w:lineRule="auto" w:line="360"/>
        <w:ind w:firstLine="709" w:start="0" w:end="315"/>
        <w:rPr>
          <w:rFonts w:ascii="Times New Roman" w:hAnsi="Times New Roman" w:eastAsia="Times New Roman" w:cs="Times New Roman"/>
          <w:b w:val="false"/>
          <w:bCs w:val="false"/>
        </w:rPr>
      </w:pPr>
      <w:r>
        <w:rPr>
          <w:rFonts w:eastAsia="Times New Roman" w:cs="Times New Roman" w:ascii="Times New Roman" w:hAnsi="Times New Roman"/>
          <w:b w:val="false"/>
          <w:bCs w:val="false"/>
        </w:rPr>
        <w:t>O projeto será submetido ao Comitê de Ética em Pesquisa (CEP) da Universidade do Estado do Pará, respeitando as diretrizes do Conselho Nacional de Saúde, conforme a Resolução nº 466/2012 e a Resolução nº 510/2016, que regulamentam pesquisas envolvendo seres humanos no Brasil. A participação será voluntária, sem qualquer tipo de remuneração ou prejuízo escolar em caso de recusa. Será assegurado sigilo das informações, anonimato das participantes, liberdade para desistir a qualquer momento, armazenamento seguro dos dados por período determinado pela normativa ética. Os dados físicos serão armazenados em armário trancado sob responsabilidade da pesquisadora responsável, enquanto os arquivos digitais permanecerão protegidos por senha em dispositivo eletrônico seguro por período mínimo de cinco anos após término da pesquisa. Não serão coletadas informações que permitam identificação individual.</w:t>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NormalWeb"/>
        <w:spacing w:lineRule="auto" w:line="360" w:beforeAutospacing="0" w:before="0" w:after="280"/>
        <w:rPr/>
      </w:pPr>
      <w:r>
        <w:rPr/>
      </w:r>
    </w:p>
    <w:p>
      <w:pPr>
        <w:pStyle w:val="TTULO1"/>
        <w:numPr>
          <w:ilvl w:val="0"/>
          <w:numId w:val="32"/>
        </w:numPr>
        <w:ind w:hanging="426" w:start="426"/>
        <w:rPr/>
      </w:pPr>
      <w:bookmarkStart w:id="7" w:name="_Toc231734792"/>
      <w:r>
        <w:rPr/>
        <w:t>RISCOS E BENEFÍCIOS</w:t>
      </w:r>
      <w:bookmarkEnd w:id="7"/>
    </w:p>
    <w:p>
      <w:pPr>
        <w:pStyle w:val="NormalWeb"/>
        <w:spacing w:lineRule="auto" w:line="360" w:beforeAutospacing="0" w:before="0" w:afterAutospacing="0" w:after="0"/>
        <w:ind w:firstLine="709" w:start="0"/>
        <w:jc w:val="both"/>
        <w:rPr/>
      </w:pPr>
      <w:r>
        <w:rPr/>
        <w:t xml:space="preserve">Esta pesquisa é classificada como de risco mínimo, conforme previsto na Resolução nº 510/2016 do Conselho Nacional de Saúde, por envolver a aplicação de questionários antes e após uma atividade educativa sobre saúde sexual e reprodutiva da mulher. Entretanto, alguns riscos potenciais podem estar associados à participação das estudantes, tais como: </w:t>
      </w:r>
    </w:p>
    <w:p>
      <w:pPr>
        <w:pStyle w:val="ListParagraph"/>
        <w:numPr>
          <w:ilvl w:val="0"/>
          <w:numId w:val="3"/>
        </w:numPr>
        <w:spacing w:lineRule="auto" w:line="360"/>
        <w:rPr>
          <w:rFonts w:ascii="Times New Roman" w:hAnsi="Times New Roman" w:cs="Times New Roman"/>
          <w:b w:val="false"/>
          <w:bCs w:val="false"/>
        </w:rPr>
      </w:pPr>
      <w:r>
        <w:rPr>
          <w:rFonts w:cs="Times New Roman" w:ascii="Times New Roman" w:hAnsi="Times New Roman"/>
          <w:b w:val="false"/>
          <w:bCs w:val="false"/>
        </w:rPr>
        <w:t>D</w:t>
      </w:r>
      <w:r>
        <w:rPr>
          <w:rStyle w:val="Strong"/>
          <w:rFonts w:cs="Times New Roman" w:ascii="Times New Roman" w:hAnsi="Times New Roman"/>
        </w:rPr>
        <w:t>esconforto emocional ou constrangimento</w:t>
      </w:r>
      <w:r>
        <w:rPr>
          <w:rFonts w:cs="Times New Roman" w:ascii="Times New Roman" w:hAnsi="Times New Roman"/>
          <w:b w:val="false"/>
          <w:bCs w:val="false"/>
        </w:rPr>
        <w:t xml:space="preserve"> ao responder perguntas relacionadas à sexualidade, métodos contraceptivos, infecções sexualmente transmissíveis (ISTs), saúde reprodutiva e outros temas considerados íntimos ou sensíveis, ainda que em questionário particular e sigiloso. </w:t>
      </w:r>
    </w:p>
    <w:p>
      <w:pPr>
        <w:pStyle w:val="ListParagraph"/>
        <w:numPr>
          <w:ilvl w:val="0"/>
          <w:numId w:val="3"/>
        </w:numPr>
        <w:spacing w:lineRule="auto" w:line="360"/>
        <w:rPr>
          <w:rFonts w:ascii="Times New Roman" w:hAnsi="Times New Roman" w:cs="Times New Roman"/>
          <w:b w:val="false"/>
          <w:bCs w:val="false"/>
        </w:rPr>
      </w:pPr>
      <w:r>
        <w:rPr>
          <w:rStyle w:val="Strong"/>
          <w:rFonts w:cs="Times New Roman" w:ascii="Times New Roman" w:hAnsi="Times New Roman"/>
        </w:rPr>
        <w:t>Sentimentos de vergonha, ansiedade ou insegurança</w:t>
      </w:r>
      <w:r>
        <w:rPr>
          <w:rFonts w:cs="Times New Roman" w:ascii="Times New Roman" w:hAnsi="Times New Roman"/>
          <w:b w:val="false"/>
          <w:bCs w:val="false"/>
        </w:rPr>
        <w:t xml:space="preserve"> decorrentes da reflexão sobre experiências, conhecimentos ou dúvidas pessoais relacionadas ao tema abordado. </w:t>
      </w:r>
    </w:p>
    <w:p>
      <w:pPr>
        <w:pStyle w:val="ListParagraph"/>
        <w:numPr>
          <w:ilvl w:val="0"/>
          <w:numId w:val="3"/>
        </w:numPr>
        <w:spacing w:lineRule="auto" w:line="360"/>
        <w:rPr>
          <w:rFonts w:ascii="Times New Roman" w:hAnsi="Times New Roman" w:cs="Times New Roman"/>
          <w:b w:val="false"/>
          <w:bCs w:val="false"/>
        </w:rPr>
      </w:pPr>
      <w:r>
        <w:rPr>
          <w:rStyle w:val="Strong"/>
          <w:rFonts w:cs="Times New Roman" w:ascii="Times New Roman" w:hAnsi="Times New Roman"/>
        </w:rPr>
        <w:t>Sentimentos de vergonha, ansiedade ou insegurança</w:t>
      </w:r>
      <w:r>
        <w:rPr>
          <w:rFonts w:cs="Times New Roman" w:ascii="Times New Roman" w:hAnsi="Times New Roman"/>
          <w:b w:val="false"/>
          <w:bCs w:val="false"/>
        </w:rPr>
        <w:t xml:space="preserve"> decorrentes da reflexão sobre experiências, conhecimentos ou dúvidas pessoais relacionadas ao tema abordado. </w:t>
      </w:r>
    </w:p>
    <w:p>
      <w:pPr>
        <w:pStyle w:val="ListParagraph"/>
        <w:numPr>
          <w:ilvl w:val="0"/>
          <w:numId w:val="3"/>
        </w:numPr>
        <w:spacing w:lineRule="auto" w:line="360"/>
        <w:rPr>
          <w:rFonts w:ascii="Times New Roman" w:hAnsi="Times New Roman" w:cs="Times New Roman"/>
          <w:b w:val="false"/>
          <w:bCs w:val="false"/>
        </w:rPr>
      </w:pPr>
      <w:r>
        <w:rPr>
          <w:rStyle w:val="Strong"/>
          <w:rFonts w:cs="Times New Roman" w:ascii="Times New Roman" w:hAnsi="Times New Roman"/>
        </w:rPr>
        <w:t>Possível receio de exposição de informações pessoais</w:t>
      </w:r>
      <w:r>
        <w:rPr>
          <w:rFonts w:cs="Times New Roman" w:ascii="Times New Roman" w:hAnsi="Times New Roman"/>
          <w:b w:val="false"/>
          <w:bCs w:val="false"/>
        </w:rPr>
        <w:t xml:space="preserve">, mesmo que o questionário não solicite identificação direta das participantes. </w:t>
      </w:r>
    </w:p>
    <w:p>
      <w:pPr>
        <w:pStyle w:val="ListParagraph"/>
        <w:numPr>
          <w:ilvl w:val="0"/>
          <w:numId w:val="3"/>
        </w:numPr>
        <w:spacing w:lineRule="auto" w:line="360"/>
        <w:rPr>
          <w:rFonts w:ascii="Times New Roman" w:hAnsi="Times New Roman" w:cs="Times New Roman"/>
          <w:b w:val="false"/>
          <w:bCs w:val="false"/>
        </w:rPr>
      </w:pPr>
      <w:r>
        <w:rPr>
          <w:rStyle w:val="Strong"/>
          <w:rFonts w:cs="Times New Roman" w:ascii="Times New Roman" w:hAnsi="Times New Roman"/>
        </w:rPr>
        <w:t>Desconforto decorrente da discussão de temas que possam remeter a experiências prévias desagradáveis</w:t>
      </w:r>
      <w:r>
        <w:rPr>
          <w:rFonts w:cs="Times New Roman" w:ascii="Times New Roman" w:hAnsi="Times New Roman"/>
          <w:b w:val="false"/>
          <w:bCs w:val="false"/>
        </w:rPr>
        <w:t xml:space="preserve">, conflitos familiares, relacionamentos afetivos ou situações de vulnerabilidade. </w:t>
      </w:r>
    </w:p>
    <w:p>
      <w:pPr>
        <w:pStyle w:val="NormalWeb"/>
        <w:spacing w:lineRule="auto" w:line="360" w:beforeAutospacing="0" w:before="0" w:afterAutospacing="0" w:after="0"/>
        <w:jc w:val="both"/>
        <w:rPr/>
      </w:pPr>
      <w:r>
        <w:rPr/>
      </w:r>
    </w:p>
    <w:p>
      <w:pPr>
        <w:pStyle w:val="NormalWeb"/>
        <w:spacing w:lineRule="auto" w:line="360" w:beforeAutospacing="0" w:before="0" w:afterAutospacing="0" w:after="0"/>
        <w:ind w:firstLine="709" w:start="0"/>
        <w:jc w:val="both"/>
        <w:rPr>
          <w:b/>
          <w:bCs/>
        </w:rPr>
      </w:pPr>
      <w:r>
        <w:rPr/>
        <w:t xml:space="preserve">Para minimizar tais riscos, os questionários serão respondidos de forma voluntária, anônima e confidencial. Não serão coletadas informações que permitam a identificação individual das participantes. As estudantes serão informadas de que poderão deixar de responder qualquer pergunta que lhes cause desconforto, sem necessidade de justificativa. A participação poderá ser interrompida a qualquer momento, sem qualquer prejuízo acadêmico, social ou institucional. A palestra será conduzida por pesquisadores capacitados para abordar o tema de forma ética, respeitosa, acolhedora e adequada à faixa etária das participantes. Caso alguma participante apresente desconforto emocional significativo durante a atividade, será orientada e encaminhada aos serviços de apoio disponíveis na instituição ou na rede de saúde local, quando necessário. </w:t>
      </w:r>
    </w:p>
    <w:p>
      <w:pPr>
        <w:pStyle w:val="NormalWeb"/>
        <w:spacing w:lineRule="auto" w:line="360" w:beforeAutospacing="0" w:before="0" w:afterAutospacing="0" w:after="0"/>
        <w:ind w:firstLine="709" w:start="0"/>
        <w:jc w:val="both"/>
        <w:rPr/>
      </w:pPr>
      <w:r>
        <w:rPr/>
        <w:t xml:space="preserve">Embora não haja benefício direto financeiro ou material às participantes, espera-se que a pesquisa proporcione importantes benefícios individuais e coletivos, como a ampliação do conhecimento sobre saúde sexual e reprodutiva da mulher, o esclarecimento de dúvidas relacionadas à puberdade, sexualidade, métodos contraceptivos, prevenção da gravidez não planejada e prevenção das ISTs. Ainda, haverá a promoção da autonomia e do autocuidado em saúde e o incentivo à adoção de comportamentos preventivos e à busca por informações seguras e baseadas em evidências científicas. Secundariamente, a participação nessa intervenção de educação em saúde promove o desenvolvimento da capacidade crítica para tomada de decisões relacionadas à saúde sexual e reprodutiva. </w:t>
      </w:r>
    </w:p>
    <w:p>
      <w:pPr>
        <w:pStyle w:val="NormalWeb"/>
        <w:spacing w:lineRule="auto" w:line="360" w:beforeAutospacing="0" w:before="0" w:afterAutospacing="0" w:after="0"/>
        <w:ind w:firstLine="709" w:start="0"/>
        <w:jc w:val="both"/>
        <w:rPr/>
      </w:pPr>
      <w:r>
        <w:rPr/>
        <w:t>Outros benefícios são a produção de dados científicos sobre o conhecimento de adolescentes acerca da saúde sexual e reprodutiva, a avaliação da efetividade de ações educativas voltadas para estudantes do ensino médio, a contribuição para o planejamento de futuras intervenções de educação em saúde no ambiente escolar, o fortalecimento das estratégias de promoção da saúde e prevenção de agravos entre adolescentes e a possível contribuição para a formulação de atividades educativas mais adequadas às necessidades identificadas na população estudada. Dessa forma, considera-se que os benefícios esperados superam os riscos envolvidos na participação da pesquisa, especialmente em razão das medidas adotadas para garantir a segurança, o sigilo, a privacidade e o bem-estar das participantes.</w:t>
      </w:r>
    </w:p>
    <w:p>
      <w:pPr>
        <w:pStyle w:val="Normal"/>
        <w:widowControl w:val="false"/>
        <w:spacing w:lineRule="auto" w:line="360" w:before="100" w:after="100"/>
        <w:ind w:hanging="0" w:start="0" w:end="315"/>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100" w:after="100"/>
        <w:ind w:hanging="0" w:start="0" w:end="315"/>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100" w:after="100"/>
        <w:ind w:hanging="0" w:start="0" w:end="315"/>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100" w:after="100"/>
        <w:ind w:hanging="0" w:start="0" w:end="315"/>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TTULO1"/>
        <w:numPr>
          <w:ilvl w:val="0"/>
          <w:numId w:val="32"/>
        </w:numPr>
        <w:ind w:hanging="426" w:start="426"/>
        <w:rPr/>
      </w:pPr>
      <w:bookmarkStart w:id="8" w:name="_Toc231734793"/>
      <w:r>
        <w:rPr/>
        <w:t>RESULTADOS ESPERADOS</w:t>
      </w:r>
      <w:bookmarkEnd w:id="8"/>
      <w:r>
        <w:rPr/>
        <w:t xml:space="preserve"> </w:t>
      </w:r>
    </w:p>
    <w:p>
      <w:pPr>
        <w:pStyle w:val="Normal"/>
        <w:widowControl w:val="false"/>
        <w:spacing w:lineRule="auto" w:line="360" w:before="0" w:after="100"/>
        <w:ind w:firstLine="709" w:start="0" w:end="315"/>
        <w:rPr>
          <w:rFonts w:ascii="Times New Roman" w:hAnsi="Times New Roman" w:eastAsia="Times New Roman" w:cs="Times New Roman"/>
          <w:b w:val="false"/>
          <w:bCs w:val="false"/>
        </w:rPr>
      </w:pPr>
      <w:r>
        <w:rPr>
          <w:rFonts w:eastAsia="Times New Roman" w:cs="Times New Roman" w:ascii="Times New Roman" w:hAnsi="Times New Roman"/>
          <w:b w:val="false"/>
          <w:bCs w:val="false"/>
        </w:rPr>
        <w:tab/>
        <w:t>Espera-se, como desfecho primário, que a intervenção educativa produza aumento estatisticamente significativo no nível de conhecimento das participantes acerca de saúde sexual e reprodutiva, evidenciado pela comparação entre os escores do questionário pré e pós-intervenção, com aumento do escore médio de conhecimento pós-intervenção. Assim como, dentre os desfechos secundários, projeta-se uma mudança positiva em relação a conhecimentos específicos, especialmente nos domínios relacionados a métodos contraceptivos disponíveis no Sistema Único de Saúde (SUS), prevenção de infecções sexualmente transmissíveis (IST), compreensão dos direitos sexuais e reprodutivos e reconhecimento de situações de vulnerabilidade e violência. Espera-se, ainda, redução de concepções equivocadas previamente identificadas no diagnóstico situacional, demonstrando impacto imediato da estratégia educativa baseada em metodologia ativa.</w:t>
      </w:r>
    </w:p>
    <w:p>
      <w:pPr>
        <w:pStyle w:val="Normal"/>
        <w:widowControl w:val="false"/>
        <w:spacing w:lineRule="auto" w:line="360" w:before="0" w:after="100"/>
        <w:ind w:firstLine="709" w:start="0" w:end="315"/>
        <w:rPr>
          <w:rFonts w:ascii="Times New Roman" w:hAnsi="Times New Roman" w:eastAsia="Times New Roman" w:cs="Times New Roman"/>
          <w:b w:val="false"/>
          <w:bCs w:val="false"/>
        </w:rPr>
      </w:pPr>
      <w:r>
        <w:rPr>
          <w:rFonts w:eastAsia="Times New Roman" w:cs="Times New Roman" w:ascii="Times New Roman" w:hAnsi="Times New Roman"/>
          <w:b w:val="false"/>
          <w:bCs w:val="false"/>
        </w:rPr>
        <w:tab/>
        <w:t>Também é esperado fortalecimento da autonomia das adolescentes, ampliando sua capacidade de tomada de decisão consciente quanto à vida sexual, uso de métodos contraceptivos e busca por serviços de saúde. Embora o delineamento não permita avaliar desfechos comportamentais de longo prazo, espera-se que o aumento do conhecimento constitua fator protetor indireto frente à gravidez não planejada e às ISTs, contribuindo para redução de vulnerabilidades associadas à maternidade precoce, evasão escolar e desigualdades de gênero.</w:t>
      </w:r>
    </w:p>
    <w:p>
      <w:pPr>
        <w:pStyle w:val="Normal"/>
        <w:widowControl w:val="false"/>
        <w:spacing w:lineRule="auto" w:line="360" w:before="0" w:after="100"/>
        <w:ind w:firstLine="709" w:start="0" w:end="315"/>
        <w:rPr>
          <w:rFonts w:ascii="Times New Roman" w:hAnsi="Times New Roman" w:eastAsia="Times New Roman" w:cs="Times New Roman"/>
          <w:b w:val="false"/>
          <w:bCs w:val="false"/>
        </w:rPr>
      </w:pPr>
      <w:r>
        <w:rPr>
          <w:rFonts w:eastAsia="Times New Roman" w:cs="Times New Roman" w:ascii="Times New Roman" w:hAnsi="Times New Roman"/>
          <w:b w:val="false"/>
          <w:bCs w:val="false"/>
        </w:rPr>
        <w:t>Em nível institucional e comunitário, espera-se que o projeto consolide a articulação entre universidade e escola pública como estratégia viável de promoção da saúde, produzindo evidências locais que possam subsidiar futuras ações intersetoriais no município de Marabá. Os resultados poderão fundamentar a ampliação de programas educativos continuados e estimular a incorporação sistemática de intervenções em saúde sexual e reprodutiva no ambiente escolar, fortalecendo a responsabilidade social da universidade e a promoção da saúde integral dos adolescentes.</w:t>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TTULO1"/>
        <w:numPr>
          <w:ilvl w:val="0"/>
          <w:numId w:val="32"/>
        </w:numPr>
        <w:ind w:hanging="426" w:start="426"/>
        <w:rPr/>
      </w:pPr>
      <w:bookmarkStart w:id="9" w:name="_Toc231734794"/>
      <w:r>
        <w:rPr/>
        <w:t>CRONOGRAMA</w:t>
      </w:r>
      <w:bookmarkEnd w:id="9"/>
    </w:p>
    <w:p>
      <w:pPr>
        <w:pStyle w:val="Normal"/>
        <w:widowControl w:val="false"/>
        <w:spacing w:lineRule="auto" w:line="360" w:before="233" w:after="0"/>
        <w:ind w:hanging="0" w:start="0"/>
        <w:jc w:val="center"/>
        <w:rPr>
          <w:rFonts w:ascii="Times New Roman" w:hAnsi="Times New Roman" w:eastAsia="Times New Roman" w:cs="Times New Roman"/>
        </w:rPr>
      </w:pPr>
      <w:r>
        <w:rPr>
          <w:rFonts w:eastAsia="Times New Roman" w:cs="Times New Roman" w:ascii="Times New Roman" w:hAnsi="Times New Roman"/>
        </w:rPr>
      </w:r>
    </w:p>
    <w:tbl>
      <w:tblPr>
        <w:tblW w:w="9420" w:type="dxa"/>
        <w:jc w:val="center"/>
        <w:tblInd w:w="0" w:type="dxa"/>
        <w:tblLayout w:type="fixed"/>
        <w:tblCellMar>
          <w:top w:w="100" w:type="dxa"/>
          <w:start w:w="100" w:type="dxa"/>
          <w:bottom w:w="100" w:type="dxa"/>
          <w:end w:w="100" w:type="dxa"/>
        </w:tblCellMar>
        <w:tblLook w:val="0600" w:firstRow="0" w:noVBand="1" w:lastRow="0" w:firstColumn="0" w:lastColumn="0" w:noHBand="1"/>
      </w:tblPr>
      <w:tblGrid>
        <w:gridCol w:w="2805"/>
        <w:gridCol w:w="629"/>
        <w:gridCol w:w="615"/>
        <w:gridCol w:w="676"/>
        <w:gridCol w:w="585"/>
        <w:gridCol w:w="719"/>
        <w:gridCol w:w="615"/>
        <w:gridCol w:w="661"/>
        <w:gridCol w:w="704"/>
        <w:gridCol w:w="691"/>
        <w:gridCol w:w="720"/>
      </w:tblGrid>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Atividades</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Abr/26</w:t>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Mai/26</w:t>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Jun/26</w:t>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Jul/26</w:t>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Ago/26</w:t>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Set/26</w:t>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Out/26</w:t>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Nov/ 26</w:t>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Dez/ 26</w:t>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rPr>
                <w:rFonts w:ascii="Times New Roman" w:hAnsi="Times New Roman" w:cs="Times New Roman"/>
                <w:sz w:val="20"/>
                <w:szCs w:val="20"/>
              </w:rPr>
            </w:pPr>
            <w:r>
              <w:rPr>
                <w:rFonts w:cs="Times New Roman" w:ascii="Times New Roman" w:hAnsi="Times New Roman"/>
                <w:sz w:val="20"/>
                <w:szCs w:val="20"/>
              </w:rPr>
              <w:t>Jan/ 27</w:t>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Revisão bibliográfica e aprofundamento teórico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Elaboração dos instrumentos de pesquisa (TCLE, TALE e questionários)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Elaboração do projeto e adequações metodológicas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Submissão ao Comitê de Ética em Pesquisa (CEP)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Tramitação e apreciação ética pelo CEP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Organização logística das atividades educativas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Aplicação do pré-teste, das palestras educativas e do pós-teste</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Organização e conferência dos dados coletados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Digitação e tabulação dos dados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Análise estatística dos resultados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Elaboração de tabelas, gráficos e interpretação dos resultados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Elaboração do resumo científico</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Redação de relatório parcial e/ou resumo científico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Redação do relatório final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r>
      <w:tr>
        <w:trPr/>
        <w:tc>
          <w:tcPr>
            <w:tcW w:w="280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sz w:val="20"/>
                <w:szCs w:val="20"/>
              </w:rPr>
            </w:pPr>
            <w:r>
              <w:rPr>
                <w:rFonts w:cs="Times New Roman" w:ascii="Times New Roman" w:hAnsi="Times New Roman"/>
                <w:b w:val="false"/>
                <w:bCs w:val="false"/>
                <w:sz w:val="20"/>
                <w:szCs w:val="20"/>
              </w:rPr>
              <w:t xml:space="preserve">Devolutiva dos resultados às escolas participantes </w:t>
            </w:r>
          </w:p>
        </w:tc>
        <w:tc>
          <w:tcPr>
            <w:tcW w:w="62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76"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5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19"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1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6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704"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r>
          </w:p>
        </w:tc>
        <w:tc>
          <w:tcPr>
            <w:tcW w:w="691"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c>
          <w:tcPr>
            <w:tcW w:w="720"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sz w:val="20"/>
                <w:szCs w:val="20"/>
              </w:rPr>
            </w:pPr>
            <w:r>
              <w:rPr>
                <w:rFonts w:cs="Times New Roman" w:ascii="Times New Roman" w:hAnsi="Times New Roman"/>
                <w:sz w:val="20"/>
                <w:szCs w:val="20"/>
              </w:rPr>
              <w:t>X</w:t>
            </w:r>
          </w:p>
        </w:tc>
      </w:tr>
    </w:tbl>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TTULO1"/>
        <w:numPr>
          <w:ilvl w:val="0"/>
          <w:numId w:val="32"/>
        </w:numPr>
        <w:ind w:hanging="426" w:start="426"/>
        <w:rPr/>
      </w:pPr>
      <w:bookmarkStart w:id="10" w:name="_Toc231734795"/>
      <w:r>
        <w:rPr/>
        <w:t>ORÇAMENTO DO PROJETO</w:t>
      </w:r>
      <w:bookmarkEnd w:id="10"/>
    </w:p>
    <w:p>
      <w:pPr>
        <w:pStyle w:val="Normal"/>
        <w:ind w:hanging="0" w:start="0"/>
        <w:rPr>
          <w:rFonts w:ascii="Times New Roman" w:hAnsi="Times New Roman" w:cs="Times New Roman"/>
          <w:b w:val="false"/>
          <w:bCs w:val="false"/>
        </w:rPr>
      </w:pPr>
      <w:r>
        <w:rPr>
          <w:rFonts w:cs="Times New Roman" w:ascii="Times New Roman" w:hAnsi="Times New Roman"/>
          <w:b w:val="false"/>
          <w:bCs w:val="false"/>
        </w:rPr>
      </w:r>
    </w:p>
    <w:p>
      <w:pPr>
        <w:pStyle w:val="Normal"/>
        <w:ind w:hanging="0" w:start="0"/>
        <w:rPr>
          <w:rFonts w:ascii="Times New Roman" w:hAnsi="Times New Roman" w:cs="Times New Roman"/>
        </w:rPr>
      </w:pPr>
      <w:r>
        <w:rPr>
          <w:rFonts w:cs="Times New Roman" w:ascii="Times New Roman" w:hAnsi="Times New Roman"/>
          <w:b w:val="false"/>
          <w:bCs w:val="false"/>
        </w:rPr>
        <w:t xml:space="preserve">Título: </w:t>
      </w:r>
      <w:r>
        <w:rPr>
          <w:rFonts w:cs="Times New Roman" w:ascii="Times New Roman" w:hAnsi="Times New Roman"/>
        </w:rPr>
        <w:t>Educação em saúde sexual e reprodutiva para adolescentes: diálogo entre a universidade e estudantes de escolas públicas de Marabá</w:t>
      </w:r>
    </w:p>
    <w:p>
      <w:pPr>
        <w:pStyle w:val="Normal"/>
        <w:ind w:hanging="0" w:start="0"/>
        <w:rPr>
          <w:rFonts w:ascii="Times New Roman" w:hAnsi="Times New Roman" w:cs="Times New Roman"/>
          <w:b w:val="false"/>
          <w:bCs w:val="false"/>
        </w:rPr>
      </w:pPr>
      <w:r>
        <w:rPr>
          <w:rFonts w:cs="Times New Roman" w:ascii="Times New Roman" w:hAnsi="Times New Roman"/>
          <w:b w:val="false"/>
          <w:bCs w:val="false"/>
        </w:rPr>
      </w:r>
    </w:p>
    <w:p>
      <w:pPr>
        <w:pStyle w:val="Normal"/>
        <w:ind w:hanging="0" w:start="0"/>
        <w:rPr>
          <w:rFonts w:ascii="Times New Roman" w:hAnsi="Times New Roman" w:cs="Times New Roman"/>
          <w:b w:val="false"/>
          <w:bCs w:val="false"/>
        </w:rPr>
      </w:pPr>
      <w:r>
        <w:rPr>
          <w:rFonts w:cs="Times New Roman" w:ascii="Times New Roman" w:hAnsi="Times New Roman"/>
          <w:b w:val="false"/>
          <w:bCs w:val="false"/>
        </w:rPr>
        <w:t>Período de execução: 2026-2027</w:t>
      </w:r>
    </w:p>
    <w:p>
      <w:pPr>
        <w:pStyle w:val="Normal"/>
        <w:ind w:hanging="0" w:start="0"/>
        <w:rPr>
          <w:rFonts w:ascii="Times New Roman" w:hAnsi="Times New Roman" w:cs="Times New Roman"/>
          <w:b w:val="false"/>
          <w:bCs w:val="false"/>
        </w:rPr>
      </w:pPr>
      <w:r>
        <w:rPr>
          <w:rFonts w:cs="Times New Roman" w:ascii="Times New Roman" w:hAnsi="Times New Roman"/>
          <w:b w:val="false"/>
          <w:bCs w:val="false"/>
        </w:rPr>
      </w:r>
    </w:p>
    <w:p>
      <w:pPr>
        <w:pStyle w:val="Normal"/>
        <w:ind w:hanging="0" w:start="0"/>
        <w:rPr>
          <w:rFonts w:ascii="Times New Roman" w:hAnsi="Times New Roman" w:cs="Times New Roman"/>
          <w:b w:val="false"/>
          <w:bCs w:val="false"/>
        </w:rPr>
      </w:pPr>
      <w:r>
        <w:rPr>
          <w:rFonts w:cs="Times New Roman" w:ascii="Times New Roman" w:hAnsi="Times New Roman"/>
          <w:b w:val="false"/>
          <w:bCs w:val="false"/>
        </w:rPr>
        <w:t>O presente projeto faz parte do Programa de Iniciação Científica (PIBIC Mulheres) e, portanto, utilizará dos recursos da bolsa de pesquisa e infraestrutura disponibilizada pelas instituições participantes.</w:t>
      </w:r>
    </w:p>
    <w:p>
      <w:pPr>
        <w:pStyle w:val="Normal"/>
        <w:ind w:hanging="0" w:start="0"/>
        <w:rPr>
          <w:rFonts w:ascii="Times New Roman" w:hAnsi="Times New Roman" w:cs="Times New Roman"/>
          <w:b w:val="false"/>
          <w:bCs w:val="false"/>
        </w:rPr>
      </w:pPr>
      <w:r>
        <w:rPr>
          <w:rFonts w:cs="Times New Roman" w:ascii="Times New Roman" w:hAnsi="Times New Roman"/>
          <w:b w:val="false"/>
          <w:bCs w:val="false"/>
        </w:rPr>
      </w:r>
    </w:p>
    <w:tbl>
      <w:tblPr>
        <w:tblW w:w="8987" w:type="dxa"/>
        <w:jc w:val="start"/>
        <w:tblInd w:w="0" w:type="dxa"/>
        <w:tblLayout w:type="fixed"/>
        <w:tblCellMar>
          <w:top w:w="100" w:type="dxa"/>
          <w:start w:w="100" w:type="dxa"/>
          <w:bottom w:w="100" w:type="dxa"/>
          <w:end w:w="100" w:type="dxa"/>
        </w:tblCellMar>
        <w:tblLook w:val="0600" w:firstRow="0" w:noVBand="1" w:lastRow="0" w:firstColumn="0" w:lastColumn="0" w:noHBand="1"/>
      </w:tblPr>
      <w:tblGrid>
        <w:gridCol w:w="2685"/>
        <w:gridCol w:w="1738"/>
        <w:gridCol w:w="2247"/>
        <w:gridCol w:w="2317"/>
      </w:tblGrid>
      <w:tr>
        <w:trPr>
          <w:trHeight w:val="193" w:hRule="atLeast"/>
        </w:trPr>
        <w:tc>
          <w:tcPr>
            <w:tcW w:w="26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ind w:hanging="0" w:start="0"/>
              <w:jc w:val="center"/>
              <w:rPr>
                <w:rFonts w:ascii="Times New Roman" w:hAnsi="Times New Roman" w:cs="Times New Roman"/>
              </w:rPr>
            </w:pPr>
            <w:r>
              <w:rPr>
                <w:rFonts w:cs="Times New Roman" w:ascii="Times New Roman" w:hAnsi="Times New Roman"/>
              </w:rPr>
              <w:t>Item</w:t>
            </w:r>
          </w:p>
        </w:tc>
        <w:tc>
          <w:tcPr>
            <w:tcW w:w="173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ind w:hanging="0" w:start="0"/>
              <w:jc w:val="center"/>
              <w:rPr>
                <w:rFonts w:ascii="Times New Roman" w:hAnsi="Times New Roman" w:cs="Times New Roman"/>
              </w:rPr>
            </w:pPr>
            <w:r>
              <w:rPr>
                <w:rFonts w:cs="Times New Roman" w:ascii="Times New Roman" w:hAnsi="Times New Roman"/>
              </w:rPr>
              <w:t>Quantidade</w:t>
            </w:r>
          </w:p>
        </w:tc>
        <w:tc>
          <w:tcPr>
            <w:tcW w:w="224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ind w:hanging="0" w:start="0"/>
              <w:jc w:val="center"/>
              <w:rPr>
                <w:rFonts w:ascii="Times New Roman" w:hAnsi="Times New Roman" w:cs="Times New Roman"/>
              </w:rPr>
            </w:pPr>
            <w:r>
              <w:rPr>
                <w:rFonts w:cs="Times New Roman" w:ascii="Times New Roman" w:hAnsi="Times New Roman"/>
              </w:rPr>
              <w:t>Valor Unitário (R$)</w:t>
            </w:r>
          </w:p>
        </w:tc>
        <w:tc>
          <w:tcPr>
            <w:tcW w:w="231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ind w:hanging="0" w:start="0"/>
              <w:jc w:val="center"/>
              <w:rPr>
                <w:rFonts w:ascii="Times New Roman" w:hAnsi="Times New Roman" w:cs="Times New Roman"/>
              </w:rPr>
            </w:pPr>
            <w:r>
              <w:rPr>
                <w:rFonts w:cs="Times New Roman" w:ascii="Times New Roman" w:hAnsi="Times New Roman"/>
              </w:rPr>
              <w:t>Valor Total (R$)</w:t>
            </w:r>
          </w:p>
        </w:tc>
      </w:tr>
      <w:tr>
        <w:trPr>
          <w:trHeight w:val="588" w:hRule="atLeast"/>
        </w:trPr>
        <w:tc>
          <w:tcPr>
            <w:tcW w:w="26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 xml:space="preserve">Impressão de TCLE, TALE, questionários pré e pós-intervenção </w:t>
            </w:r>
          </w:p>
        </w:tc>
        <w:tc>
          <w:tcPr>
            <w:tcW w:w="173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2.160 páginas</w:t>
            </w:r>
          </w:p>
        </w:tc>
        <w:tc>
          <w:tcPr>
            <w:tcW w:w="224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0,20</w:t>
            </w:r>
          </w:p>
        </w:tc>
        <w:tc>
          <w:tcPr>
            <w:tcW w:w="231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432,00</w:t>
            </w:r>
          </w:p>
        </w:tc>
      </w:tr>
      <w:tr>
        <w:trPr>
          <w:trHeight w:val="773" w:hRule="atLeast"/>
        </w:trPr>
        <w:tc>
          <w:tcPr>
            <w:tcW w:w="26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 xml:space="preserve">Material de papelaria (pastas, grampos, canetas e organização dos documentos) </w:t>
            </w:r>
          </w:p>
        </w:tc>
        <w:tc>
          <w:tcPr>
            <w:tcW w:w="173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1</w:t>
            </w:r>
          </w:p>
        </w:tc>
        <w:tc>
          <w:tcPr>
            <w:tcW w:w="224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50,00</w:t>
            </w:r>
          </w:p>
        </w:tc>
        <w:tc>
          <w:tcPr>
            <w:tcW w:w="231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50,00</w:t>
            </w:r>
          </w:p>
        </w:tc>
      </w:tr>
      <w:tr>
        <w:trPr>
          <w:trHeight w:val="966" w:hRule="atLeast"/>
        </w:trPr>
        <w:tc>
          <w:tcPr>
            <w:tcW w:w="26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 xml:space="preserve">Combustível para transporte local para deslocamento das pesquisadoras às escolas participantes </w:t>
            </w:r>
          </w:p>
        </w:tc>
        <w:tc>
          <w:tcPr>
            <w:tcW w:w="173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5 visitas</w:t>
            </w:r>
          </w:p>
        </w:tc>
        <w:tc>
          <w:tcPr>
            <w:tcW w:w="224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20,00</w:t>
            </w:r>
          </w:p>
        </w:tc>
        <w:tc>
          <w:tcPr>
            <w:tcW w:w="231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100,00</w:t>
            </w:r>
          </w:p>
        </w:tc>
      </w:tr>
      <w:tr>
        <w:trPr>
          <w:trHeight w:val="386" w:hRule="atLeast"/>
        </w:trPr>
        <w:tc>
          <w:tcPr>
            <w:tcW w:w="268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 xml:space="preserve">Reserva para impressões adicionais e reposições </w:t>
            </w:r>
          </w:p>
        </w:tc>
        <w:tc>
          <w:tcPr>
            <w:tcW w:w="1738"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1</w:t>
            </w:r>
          </w:p>
        </w:tc>
        <w:tc>
          <w:tcPr>
            <w:tcW w:w="224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30,00</w:t>
            </w:r>
          </w:p>
        </w:tc>
        <w:tc>
          <w:tcPr>
            <w:tcW w:w="2317"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ind w:hanging="0" w:start="0"/>
              <w:jc w:val="start"/>
              <w:rPr>
                <w:rFonts w:ascii="Times New Roman" w:hAnsi="Times New Roman" w:cs="Times New Roman"/>
                <w:b w:val="false"/>
                <w:bCs w:val="false"/>
              </w:rPr>
            </w:pPr>
            <w:r>
              <w:rPr>
                <w:rFonts w:cs="Times New Roman" w:ascii="Times New Roman" w:hAnsi="Times New Roman"/>
                <w:b w:val="false"/>
                <w:bCs w:val="false"/>
              </w:rPr>
              <w:t>30,00</w:t>
            </w:r>
          </w:p>
        </w:tc>
      </w:tr>
    </w:tbl>
    <w:p>
      <w:pPr>
        <w:pStyle w:val="Normal"/>
        <w:ind w:hanging="0" w:start="0"/>
        <w:rPr>
          <w:rFonts w:ascii="Times New Roman" w:hAnsi="Times New Roman" w:cs="Times New Roman"/>
          <w:b w:val="false"/>
          <w:bCs w:val="false"/>
        </w:rPr>
      </w:pPr>
      <w:r>
        <w:rPr>
          <w:rFonts w:cs="Times New Roman" w:ascii="Times New Roman" w:hAnsi="Times New Roman"/>
          <w:b w:val="false"/>
          <w:bCs w:val="false"/>
        </w:rPr>
      </w:r>
    </w:p>
    <w:p>
      <w:pPr>
        <w:pStyle w:val="Normal"/>
        <w:ind w:hanging="0" w:start="0"/>
        <w:rPr>
          <w:rFonts w:ascii="Times New Roman" w:hAnsi="Times New Roman" w:cs="Times New Roman"/>
          <w:b w:val="false"/>
          <w:bCs w:val="false"/>
        </w:rPr>
      </w:pPr>
      <w:r>
        <w:rPr>
          <w:rFonts w:cs="Times New Roman" w:ascii="Times New Roman" w:hAnsi="Times New Roman"/>
          <w:b w:val="false"/>
          <w:bCs w:val="false"/>
        </w:rPr>
        <w:t xml:space="preserve">TOTAL ESTIMADO: R$ 612,00 </w:t>
      </w:r>
    </w:p>
    <w:p>
      <w:pPr>
        <w:pStyle w:val="Normal"/>
        <w:ind w:hanging="0" w:start="0"/>
        <w:rPr>
          <w:rFonts w:ascii="Times New Roman" w:hAnsi="Times New Roman" w:cs="Times New Roman"/>
          <w:b w:val="false"/>
          <w:bCs w:val="false"/>
        </w:rPr>
      </w:pPr>
      <w:r>
        <w:rPr>
          <w:rFonts w:cs="Times New Roman" w:ascii="Times New Roman" w:hAnsi="Times New Roman"/>
          <w:b w:val="false"/>
          <w:bCs w:val="false"/>
        </w:rPr>
      </w:r>
    </w:p>
    <w:p>
      <w:pPr>
        <w:pStyle w:val="Normal"/>
        <w:ind w:hanging="0" w:start="0"/>
        <w:rPr>
          <w:rFonts w:ascii="Times New Roman" w:hAnsi="Times New Roman" w:cs="Times New Roman"/>
          <w:b w:val="false"/>
          <w:bCs w:val="false"/>
        </w:rPr>
      </w:pPr>
      <w:r>
        <w:rPr>
          <w:rFonts w:cs="Times New Roman" w:ascii="Times New Roman" w:hAnsi="Times New Roman"/>
          <w:b w:val="false"/>
          <w:bCs w:val="false"/>
        </w:rPr>
        <w:t>Observação: Os valores apresentados constituem estimativa de custos para execução do projeto e poderão sofrer pequenas variações conforme disponibilidade de materiais e logística das atividades.</w:t>
      </w:r>
    </w:p>
    <w:p>
      <w:pPr>
        <w:pStyle w:val="Normal"/>
        <w:ind w:hanging="0" w:start="0"/>
        <w:rPr/>
      </w:pPr>
      <w:r>
        <w:rPr/>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spacing w:lineRule="auto" w:line="360" w:before="233" w:after="0"/>
        <w:ind w:hanging="0" w:start="0"/>
        <w:jc w:val="start"/>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before="233" w:after="0"/>
        <w:ind w:hanging="0" w:start="0"/>
        <w:jc w:val="start"/>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before="233" w:after="0"/>
        <w:ind w:hanging="0" w:start="0"/>
        <w:jc w:val="start"/>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before="233" w:after="0"/>
        <w:ind w:hanging="0" w:start="0"/>
        <w:jc w:val="start"/>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360" w:before="233" w:after="0"/>
        <w:ind w:hanging="0" w:start="0"/>
        <w:jc w:val="start"/>
        <w:rPr>
          <w:rFonts w:ascii="Times New Roman" w:hAnsi="Times New Roman" w:eastAsia="Times New Roman" w:cs="Times New Roman"/>
        </w:rPr>
      </w:pPr>
      <w:r>
        <w:rPr>
          <w:rFonts w:eastAsia="Times New Roman" w:cs="Times New Roman" w:ascii="Times New Roman" w:hAnsi="Times New Roman"/>
        </w:rPr>
      </w:r>
    </w:p>
    <w:p>
      <w:pPr>
        <w:pStyle w:val="TTULO1"/>
        <w:numPr>
          <w:ilvl w:val="0"/>
          <w:numId w:val="32"/>
        </w:numPr>
        <w:ind w:hanging="426" w:start="426"/>
        <w:rPr/>
      </w:pPr>
      <w:bookmarkStart w:id="11" w:name="_Toc231734796"/>
      <w:r>
        <w:rPr/>
        <w:t>REFERÊNCIAS</w:t>
      </w:r>
      <w:bookmarkEnd w:id="11"/>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BRASIL. Conselho Nacional de Saúde. </w:t>
      </w:r>
      <w:r>
        <w:rPr>
          <w:rFonts w:eastAsia="Times New Roman" w:cs="Times New Roman" w:ascii="Times New Roman" w:hAnsi="Times New Roman"/>
        </w:rPr>
        <w:t>Resolução nº 466, de 12 de dezembro de 2012</w:t>
      </w:r>
      <w:r>
        <w:rPr>
          <w:rFonts w:eastAsia="Times New Roman" w:cs="Times New Roman" w:ascii="Times New Roman" w:hAnsi="Times New Roman"/>
          <w:b w:val="false"/>
          <w:bCs w:val="false"/>
        </w:rPr>
        <w:t>. Aprova diretrizes e normas regulamentadoras de pesquisas envolvendo seres humanos. Diário Oficial da União: seção 1, Brasília, DF, 13 jun. 2013.</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BRASIL. Conselho Nacional de Saúde. </w:t>
      </w:r>
      <w:r>
        <w:rPr>
          <w:rFonts w:eastAsia="Times New Roman" w:cs="Times New Roman" w:ascii="Times New Roman" w:hAnsi="Times New Roman"/>
        </w:rPr>
        <w:t>Resolução nº 510, de 7 de abril de 2016</w:t>
      </w:r>
      <w:r>
        <w:rPr>
          <w:rFonts w:eastAsia="Times New Roman" w:cs="Times New Roman" w:ascii="Times New Roman" w:hAnsi="Times New Roman"/>
          <w:b w:val="false"/>
          <w:bCs w:val="false"/>
        </w:rPr>
        <w:t>. Dispõe sobre as normas aplicáveis a pesquisas em Ciências Humanas e Sociais. Diário Oficial da União: seção 1, Brasília, DF, 24 maio 2016.</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BRASIL. Instituto Brasileiro de Geografia e Estatística. </w:t>
      </w:r>
      <w:r>
        <w:rPr>
          <w:rFonts w:eastAsia="Times New Roman" w:cs="Times New Roman" w:ascii="Times New Roman" w:hAnsi="Times New Roman"/>
        </w:rPr>
        <w:t>Estatísticas de gênero: indicadores sociais das mulheres no Brasil</w:t>
      </w:r>
      <w:r>
        <w:rPr>
          <w:rFonts w:eastAsia="Times New Roman" w:cs="Times New Roman" w:ascii="Times New Roman" w:hAnsi="Times New Roman"/>
          <w:b w:val="false"/>
          <w:bCs w:val="false"/>
        </w:rPr>
        <w:t xml:space="preserve">. Rio de Janeiro: IBGE, 2022. </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BRASIL. Ministério da Saúde. </w:t>
      </w:r>
      <w:r>
        <w:rPr>
          <w:rFonts w:eastAsia="Times New Roman" w:cs="Times New Roman" w:ascii="Times New Roman" w:hAnsi="Times New Roman"/>
        </w:rPr>
        <w:t>Diretrizes nacionais para a atenção integral à saúde de adolescentes e jovens na promoção, proteção e recuperação da saúde</w:t>
      </w:r>
      <w:r>
        <w:rPr>
          <w:rFonts w:eastAsia="Times New Roman" w:cs="Times New Roman" w:ascii="Times New Roman" w:hAnsi="Times New Roman"/>
          <w:b w:val="false"/>
          <w:bCs w:val="false"/>
        </w:rPr>
        <w:t xml:space="preserve">. Brasília: Ministério da Saúde, 2010. </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BRASIL. Ministério da Saúde. </w:t>
      </w:r>
      <w:r>
        <w:rPr>
          <w:rFonts w:eastAsia="Times New Roman" w:cs="Times New Roman" w:ascii="Times New Roman" w:hAnsi="Times New Roman"/>
        </w:rPr>
        <w:t>Sistema de Informações sobre Nascidos Vivos – SINASC</w:t>
      </w:r>
      <w:r>
        <w:rPr>
          <w:rFonts w:eastAsia="Times New Roman" w:cs="Times New Roman" w:ascii="Times New Roman" w:hAnsi="Times New Roman"/>
          <w:b w:val="false"/>
          <w:bCs w:val="false"/>
        </w:rPr>
        <w:t xml:space="preserve">. Brasília: DATASUS, 2024. Disponível em: </w:t>
      </w:r>
      <w:r>
        <w:rPr>
          <w:rFonts w:eastAsia="Times New Roman" w:cs="Times New Roman" w:ascii="Times New Roman" w:hAnsi="Times New Roman"/>
          <w:b w:val="false"/>
          <w:bCs w:val="false"/>
          <w:color w:val="0000FF"/>
          <w:u w:val="single"/>
        </w:rPr>
        <w:t>https://datasus.saude.gov.br</w:t>
      </w:r>
      <w:r>
        <w:rPr>
          <w:rFonts w:eastAsia="Times New Roman" w:cs="Times New Roman" w:ascii="Times New Roman" w:hAnsi="Times New Roman"/>
          <w:b w:val="false"/>
          <w:bCs w:val="false"/>
        </w:rPr>
        <w:t>. Acesso em: ___ ___ 2026.</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BRASIL. Ministério da Saúde. </w:t>
      </w:r>
      <w:r>
        <w:rPr>
          <w:rFonts w:eastAsia="Times New Roman" w:cs="Times New Roman" w:ascii="Times New Roman" w:hAnsi="Times New Roman"/>
        </w:rPr>
        <w:t>Pesquisa Nacional de Saúde do Escolar (PeNSE) 2019</w:t>
      </w:r>
      <w:r>
        <w:rPr>
          <w:rFonts w:eastAsia="Times New Roman" w:cs="Times New Roman" w:ascii="Times New Roman" w:hAnsi="Times New Roman"/>
          <w:b w:val="false"/>
          <w:bCs w:val="false"/>
        </w:rPr>
        <w:t>. Brasília: Ministério da Saúde, 2021.</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BRASIL. Ministério da Saúde. Programa Saúde na Escola (PSE): políticas de saúde e educação para crianças, adolescentes, jovens e adultos da educação pública brasileira. Brasília: Ministério da Saúde, 2022.</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FALKENBERG, Mirian Benites et al. Educação em saúde e educação na saúde: conceitos e implicações para a saúde coletiva. Ciência &amp; Saúde Coletiva, Rio de Janeiro, v. 19, n. 3, p. 847-852, 2014.</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FUNDO DE POPULAÇÃO DAS NAÇÕES UNIDAS (UNFPA). </w:t>
      </w:r>
      <w:r>
        <w:rPr>
          <w:rFonts w:eastAsia="Times New Roman" w:cs="Times New Roman" w:ascii="Times New Roman" w:hAnsi="Times New Roman"/>
        </w:rPr>
        <w:t>Situação da população mundial 2023: 8 bilhões de vidas, infinitas possibilidades</w:t>
      </w:r>
      <w:r>
        <w:rPr>
          <w:rFonts w:eastAsia="Times New Roman" w:cs="Times New Roman" w:ascii="Times New Roman" w:hAnsi="Times New Roman"/>
          <w:b w:val="false"/>
          <w:bCs w:val="false"/>
        </w:rPr>
        <w:t>. Brasília: UNFPA Brasil, 2023.</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FREIRE, Paulo. </w:t>
      </w:r>
      <w:r>
        <w:rPr>
          <w:rFonts w:eastAsia="Times New Roman" w:cs="Times New Roman" w:ascii="Times New Roman" w:hAnsi="Times New Roman"/>
        </w:rPr>
        <w:t>Pedagogia da autonomia: saberes necessários à prática educativa</w:t>
      </w:r>
      <w:r>
        <w:rPr>
          <w:rFonts w:eastAsia="Times New Roman" w:cs="Times New Roman" w:ascii="Times New Roman" w:hAnsi="Times New Roman"/>
          <w:b w:val="false"/>
          <w:bCs w:val="false"/>
        </w:rPr>
        <w:t>. São Paulo: Paz e Terra, 1996</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ORGANIZAÇÃO DAS NAÇÕES UNIDAS PARA A EDUCAÇÃO, A CIÊNCIA E A CULTURA (UNESCO). </w:t>
      </w:r>
      <w:r>
        <w:rPr>
          <w:rFonts w:eastAsia="Times New Roman" w:cs="Times New Roman" w:ascii="Times New Roman" w:hAnsi="Times New Roman"/>
        </w:rPr>
        <w:t>Orientações técnicas internacionais sobre educação em sexualidade: uma abordagem baseada em evidências</w:t>
      </w:r>
      <w:r>
        <w:rPr>
          <w:rFonts w:eastAsia="Times New Roman" w:cs="Times New Roman" w:ascii="Times New Roman" w:hAnsi="Times New Roman"/>
          <w:b w:val="false"/>
          <w:bCs w:val="false"/>
        </w:rPr>
        <w:t>. Paris: UNESCO, 2018.</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ORGANIZAÇÃO MUNDIAL DA SAÚDE. </w:t>
      </w:r>
      <w:r>
        <w:rPr>
          <w:rFonts w:eastAsia="Times New Roman" w:cs="Times New Roman" w:ascii="Times New Roman" w:hAnsi="Times New Roman"/>
        </w:rPr>
        <w:t>Adolescent health</w:t>
      </w:r>
      <w:r>
        <w:rPr>
          <w:rFonts w:eastAsia="Times New Roman" w:cs="Times New Roman" w:ascii="Times New Roman" w:hAnsi="Times New Roman"/>
          <w:b w:val="false"/>
          <w:bCs w:val="false"/>
        </w:rPr>
        <w:t xml:space="preserve">. Geneva: World Health Organization, 2024. Disponível em: </w:t>
      </w:r>
      <w:r>
        <w:rPr>
          <w:rFonts w:eastAsia="Times New Roman" w:cs="Times New Roman" w:ascii="Times New Roman" w:hAnsi="Times New Roman"/>
          <w:b w:val="false"/>
          <w:bCs w:val="false"/>
          <w:color w:val="0000FF"/>
          <w:u w:val="single"/>
        </w:rPr>
        <w:t>https://www.who.int</w:t>
      </w:r>
      <w:r>
        <w:rPr>
          <w:rFonts w:eastAsia="Times New Roman" w:cs="Times New Roman" w:ascii="Times New Roman" w:hAnsi="Times New Roman"/>
          <w:b w:val="false"/>
          <w:bCs w:val="false"/>
        </w:rPr>
        <w:t>. Acesso em: 06 de Junho de 2026.</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PUTRI, Yayu Handayani Syaidar et al. </w:t>
      </w:r>
      <w:r>
        <w:rPr>
          <w:rFonts w:eastAsia="Times New Roman" w:cs="Times New Roman" w:ascii="Times New Roman" w:hAnsi="Times New Roman"/>
        </w:rPr>
        <w:t>Interventions to improve sexual and reproductive health related knowledge and attitudes among adolescents: scoping review</w:t>
      </w:r>
      <w:r>
        <w:rPr>
          <w:rFonts w:eastAsia="Times New Roman" w:cs="Times New Roman" w:ascii="Times New Roman" w:hAnsi="Times New Roman"/>
          <w:b w:val="false"/>
          <w:bCs w:val="false"/>
        </w:rPr>
        <w:t xml:space="preserve">. </w:t>
      </w:r>
      <w:r>
        <w:rPr>
          <w:rFonts w:eastAsia="Times New Roman" w:cs="Times New Roman" w:ascii="Times New Roman" w:hAnsi="Times New Roman"/>
          <w:b w:val="false"/>
          <w:bCs w:val="false"/>
          <w:i/>
          <w:iCs/>
        </w:rPr>
        <w:t>Risk Management and Healthcare Policy</w:t>
      </w:r>
      <w:r>
        <w:rPr>
          <w:rFonts w:eastAsia="Times New Roman" w:cs="Times New Roman" w:ascii="Times New Roman" w:hAnsi="Times New Roman"/>
          <w:b w:val="false"/>
          <w:bCs w:val="false"/>
        </w:rPr>
        <w:t>, Auckland, v. 18, p. 105-116, 2025.</w:t>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r>
    </w:p>
    <w:p>
      <w:pPr>
        <w:pStyle w:val="Normal"/>
        <w:widowControl w:val="false"/>
        <w:ind w:hanging="0" w:start="0" w:end="173"/>
        <w:jc w:val="start"/>
        <w:rPr>
          <w:rFonts w:ascii="Times New Roman" w:hAnsi="Times New Roman" w:eastAsia="Times New Roman" w:cs="Times New Roman"/>
          <w:b w:val="false"/>
          <w:bCs w:val="false"/>
        </w:rPr>
      </w:pPr>
      <w:r>
        <w:rPr>
          <w:rFonts w:eastAsia="Times New Roman" w:cs="Times New Roman" w:ascii="Times New Roman" w:hAnsi="Times New Roman"/>
          <w:b w:val="false"/>
          <w:bCs w:val="false"/>
        </w:rPr>
        <w:t xml:space="preserve">GUO, Ruru et al. Web-based sexual and reproductive health education for adolescents aged 10–17 years: a systematic review and meta-analysis. </w:t>
      </w:r>
      <w:r>
        <w:rPr>
          <w:rFonts w:eastAsia="Times New Roman" w:cs="Times New Roman" w:ascii="Times New Roman" w:hAnsi="Times New Roman"/>
          <w:b w:val="false"/>
          <w:bCs w:val="false"/>
          <w:i/>
          <w:iCs/>
        </w:rPr>
        <w:t>BMJ Paediatrics Open</w:t>
      </w:r>
      <w:r>
        <w:rPr>
          <w:rFonts w:eastAsia="Times New Roman" w:cs="Times New Roman" w:ascii="Times New Roman" w:hAnsi="Times New Roman"/>
          <w:b w:val="false"/>
          <w:bCs w:val="false"/>
        </w:rPr>
        <w:t>, London, v. 9, 2025.</w:t>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t xml:space="preserve">ANEXO A – QUESTIONÁRIO  </w:t>
      </w:r>
    </w:p>
    <w:p>
      <w:pPr>
        <w:pStyle w:val="Normal"/>
        <w:ind w:hanging="0" w:start="0"/>
        <w:rPr/>
      </w:pPr>
      <w:r>
        <w:rPr/>
      </w:r>
    </w:p>
    <w:p>
      <w:pPr>
        <w:pStyle w:val="Normal"/>
        <w:ind w:hanging="0" w:start="0"/>
        <w:rPr/>
      </w:pPr>
      <w:r>
        <w:rPr/>
        <w:t xml:space="preserve">ANEXO B – FOLHA DE ROSTO SUBMISSÃO AO CEP </w:t>
      </w:r>
    </w:p>
    <w:p>
      <w:pPr>
        <w:pStyle w:val="Normal"/>
        <w:ind w:hanging="0" w:start="0"/>
        <w:rPr/>
      </w:pPr>
      <w:r>
        <w:rPr/>
      </w:r>
    </w:p>
    <w:p>
      <w:pPr>
        <w:pStyle w:val="Normal"/>
        <w:ind w:hanging="0" w:start="0"/>
        <w:rPr/>
      </w:pPr>
      <w:r>
        <w:rPr/>
        <w:t xml:space="preserve">ANEXO C – TERMO DE ACEITE DA ORIENTADORA </w:t>
      </w:r>
    </w:p>
    <w:p>
      <w:pPr>
        <w:pStyle w:val="Normal"/>
        <w:ind w:hanging="0" w:start="0"/>
        <w:rPr/>
      </w:pPr>
      <w:r>
        <w:rPr/>
      </w:r>
    </w:p>
    <w:p>
      <w:pPr>
        <w:pStyle w:val="Normal"/>
        <w:ind w:hanging="0" w:start="0"/>
        <w:rPr/>
      </w:pPr>
      <w:r>
        <w:rPr/>
        <w:t>ANEXO D – TERMO DE SIGILO DOS PESQUISADORES</w:t>
      </w:r>
    </w:p>
    <w:p>
      <w:pPr>
        <w:pStyle w:val="Normal"/>
        <w:ind w:hanging="0" w:start="0"/>
        <w:rPr/>
      </w:pPr>
      <w:r>
        <w:rPr/>
      </w:r>
    </w:p>
    <w:p>
      <w:pPr>
        <w:pStyle w:val="Normal"/>
        <w:ind w:hanging="0" w:start="0"/>
        <w:rPr/>
      </w:pPr>
      <w:r>
        <w:rPr/>
        <w:t xml:space="preserve">ANEXO E – OFÍCIO SECRETARIA DE EDUCAÇÃO </w:t>
      </w:r>
    </w:p>
    <w:p>
      <w:pPr>
        <w:pStyle w:val="Normal"/>
        <w:ind w:hanging="0" w:start="0"/>
        <w:rPr/>
      </w:pPr>
      <w:r>
        <w:rPr/>
      </w:r>
    </w:p>
    <w:p>
      <w:pPr>
        <w:pStyle w:val="Normal"/>
        <w:ind w:hanging="0" w:start="0"/>
        <w:rPr/>
      </w:pPr>
      <w:r>
        <w:rPr/>
        <w:t xml:space="preserve">ANEXO F – TERMO DIRETOR WALKISE VIANNA </w:t>
      </w:r>
    </w:p>
    <w:p>
      <w:pPr>
        <w:pStyle w:val="Normal"/>
        <w:ind w:hanging="0" w:start="0"/>
        <w:rPr/>
      </w:pPr>
      <w:r>
        <w:rPr/>
      </w:r>
    </w:p>
    <w:p>
      <w:pPr>
        <w:pStyle w:val="Normal"/>
        <w:ind w:hanging="0" w:start="0"/>
        <w:rPr/>
      </w:pPr>
      <w:r>
        <w:rPr/>
        <w:t xml:space="preserve">ANEXO G – TERMO DIRETOR PEQUENO PRÍNCIPE </w:t>
      </w:r>
    </w:p>
    <w:p>
      <w:pPr>
        <w:pStyle w:val="Normal"/>
        <w:ind w:hanging="0" w:start="0"/>
        <w:rPr/>
      </w:pPr>
      <w:r>
        <w:rPr/>
      </w:r>
    </w:p>
    <w:p>
      <w:pPr>
        <w:pStyle w:val="Normal"/>
        <w:ind w:hanging="0" w:start="0"/>
        <w:rPr/>
      </w:pPr>
      <w:r>
        <w:rPr/>
        <w:t>ANEXO H – TERMO DIRETORA ANÍSIO TEIXIERA</w:t>
      </w:r>
    </w:p>
    <w:p>
      <w:pPr>
        <w:pStyle w:val="Normal"/>
        <w:ind w:hanging="0" w:start="0"/>
        <w:rPr/>
      </w:pPr>
      <w:r>
        <w:rPr/>
      </w:r>
    </w:p>
    <w:p>
      <w:pPr>
        <w:pStyle w:val="Normal"/>
        <w:ind w:hanging="0" w:start="0"/>
        <w:rPr/>
      </w:pPr>
      <w:r>
        <w:rPr/>
        <w:t xml:space="preserve">ANEXO I – TERMO DIRETOR PLÍNIO PINHEIRO </w:t>
      </w:r>
    </w:p>
    <w:p>
      <w:pPr>
        <w:pStyle w:val="Normal"/>
        <w:ind w:hanging="0" w:start="0"/>
        <w:rPr/>
      </w:pPr>
      <w:r>
        <w:rPr/>
      </w:r>
    </w:p>
    <w:p>
      <w:pPr>
        <w:pStyle w:val="Normal"/>
        <w:ind w:hanging="0" w:start="0"/>
        <w:rPr/>
      </w:pPr>
      <w:r>
        <w:rPr/>
        <w:t xml:space="preserve">ANEXO J – SLIDES DA PALESTRA </w:t>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numPr>
          <w:ilvl w:val="0"/>
          <w:numId w:val="0"/>
        </w:numPr>
        <w:ind w:hanging="360" w:start="360"/>
        <w:jc w:val="center"/>
        <w:outlineLvl w:val="1"/>
        <w:rPr>
          <w:rFonts w:ascii="Times New Roman" w:hAnsi="Times New Roman" w:eastAsia="Times New Roman" w:cs="Times New Roman"/>
        </w:rPr>
      </w:pPr>
      <w:r>
        <w:rPr>
          <w:rFonts w:eastAsia="Times New Roman" w:cs="Times New Roman" w:ascii="Times New Roman" w:hAnsi="Times New Roman"/>
        </w:rPr>
        <w:t xml:space="preserve">ANEXO A </w:t>
      </w:r>
    </w:p>
    <w:p>
      <w:pPr>
        <w:pStyle w:val="Normal"/>
        <w:numPr>
          <w:ilvl w:val="0"/>
          <w:numId w:val="0"/>
        </w:numPr>
        <w:ind w:hanging="360" w:start="360"/>
        <w:jc w:val="center"/>
        <w:outlineLvl w:val="1"/>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QUESTIONÁRIO PRÉ E PÓS INTERVENÇÃO: </w:t>
      </w:r>
      <w:r>
        <w:rPr>
          <w:rFonts w:eastAsia="Times New Roman" w:cs="Times New Roman" w:ascii="Times New Roman" w:hAnsi="Times New Roman"/>
          <w:color w:val="000000"/>
          <w:sz w:val="22"/>
          <w:szCs w:val="22"/>
        </w:rPr>
        <w:t>Educação em Saúde Sexual e Reprodutiva para Adolescentes: Diálogo Entre Universidade e Estudantes de Escolas Públicas de Marabá.</w:t>
      </w:r>
    </w:p>
    <w:p>
      <w:pPr>
        <w:pStyle w:val="Normal"/>
        <w:numPr>
          <w:ilvl w:val="0"/>
          <w:numId w:val="0"/>
        </w:numPr>
        <w:ind w:hanging="360" w:start="360"/>
        <w:jc w:val="center"/>
        <w:outlineLvl w:val="1"/>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ind w:hanging="0" w:start="0"/>
        <w:jc w:val="center"/>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Pesquisadoras:</w:t>
      </w:r>
    </w:p>
    <w:p>
      <w:pPr>
        <w:pStyle w:val="Normal"/>
        <w:ind w:hanging="0" w:start="0"/>
        <w:jc w:val="center"/>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Drª Glaucielen Gomes da Silva – Orientadora da Pesquisa; e-mail: glaucielen.gomes@uepa.br</w:t>
      </w:r>
    </w:p>
    <w:p>
      <w:pPr>
        <w:pStyle w:val="Normal"/>
        <w:ind w:hanging="0" w:start="0"/>
        <w:jc w:val="center"/>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Clara Maria Vitória Araújo – Bolsista PIBIC e-mail: clara.mvaraujo@aluno.uepa.br</w:t>
      </w:r>
    </w:p>
    <w:p>
      <w:pPr>
        <w:pStyle w:val="Normal"/>
        <w:ind w:hanging="0" w:start="0"/>
        <w:jc w:val="center"/>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Isabela Cometti Lelis – Voluntária PIBIC</w:t>
      </w:r>
    </w:p>
    <w:p>
      <w:pPr>
        <w:pStyle w:val="Normal"/>
        <w:ind w:hanging="0" w:start="0"/>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r>
    </w:p>
    <w:p>
      <w:pPr>
        <w:pStyle w:val="Normal"/>
        <w:ind w:hanging="0" w:start="0"/>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r>
    </w:p>
    <w:p>
      <w:pPr>
        <w:pStyle w:val="Normal"/>
        <w:ind w:hanging="0" w:start="0"/>
        <w:jc w:val="start"/>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Código da Participante: (a ser preenchido pelas pesquisadoras): ______________________________</w:t>
      </w:r>
    </w:p>
    <w:p>
      <w:pPr>
        <w:pStyle w:val="Normal"/>
        <w:ind w:hanging="0" w:start="0"/>
        <w:jc w:val="start"/>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r>
    </w:p>
    <w:p>
      <w:pPr>
        <w:pStyle w:val="Normal"/>
        <w:ind w:hanging="0" w:start="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ind w:hanging="0" w:start="0"/>
        <w:jc w:val="center"/>
        <w:rPr>
          <w:rFonts w:ascii="Times New Roman" w:hAnsi="Times New Roman" w:eastAsia="Times New Roman" w:cs="Times New Roman"/>
          <w:b w:val="false"/>
          <w:bCs w:val="false"/>
          <w:sz w:val="22"/>
          <w:szCs w:val="22"/>
        </w:rPr>
      </w:pPr>
      <w:r>
        <w:rPr>
          <w:rFonts w:eastAsia="Times New Roman" w:cs="Times New Roman" w:ascii="Times New Roman" w:hAnsi="Times New Roman"/>
          <w:color w:val="000000"/>
          <w:sz w:val="22"/>
          <w:szCs w:val="22"/>
        </w:rPr>
        <w:t>BLOCO 1 - CARACTERIZAÇÃO DAS PARTICIPANTES</w:t>
      </w:r>
    </w:p>
    <w:p>
      <w:pPr>
        <w:pStyle w:val="Normal"/>
        <w:ind w:hanging="0" w:start="0"/>
        <w:jc w:val="start"/>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r>
    </w:p>
    <w:p>
      <w:pPr>
        <w:pStyle w:val="Normal"/>
        <w:numPr>
          <w:ilvl w:val="0"/>
          <w:numId w:val="31"/>
        </w:numPr>
        <w:spacing w:lineRule="auto" w:line="259" w:before="0" w:after="80"/>
        <w:ind w:hanging="284" w:start="284"/>
        <w:contextualSpacing/>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Idade:</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15 anos</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16 anos</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17 anos</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18 anos ou mais</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4"/>
        </w:numPr>
        <w:spacing w:lineRule="auto" w:line="259" w:before="0" w:after="80"/>
        <w:ind w:hanging="284" w:start="284"/>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Série:</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2º ano do ensino médio</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3º ano do ensino médio</w:t>
      </w:r>
    </w:p>
    <w:p>
      <w:pPr>
        <w:pStyle w:val="Normal"/>
        <w:ind w:hanging="284" w:start="284"/>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5"/>
        </w:numPr>
        <w:spacing w:lineRule="auto" w:line="259" w:before="0" w:after="80"/>
        <w:ind w:hanging="284" w:start="284"/>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Escola:</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E.E.E.F.M Anísio Teixeira</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E.E.E.M O Pequeno Príncipe</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E.E.E.M. Doutor José Cursino</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E.E.E.M Plinio Pinheiro</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E.E.E.M Walkise da Silveira Vianna</w:t>
      </w:r>
    </w:p>
    <w:p>
      <w:pPr>
        <w:pStyle w:val="Normal"/>
        <w:ind w:hanging="284" w:start="284"/>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6"/>
        </w:numPr>
        <w:spacing w:lineRule="auto" w:line="259" w:before="0" w:after="80"/>
        <w:ind w:hanging="284" w:start="284"/>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Você já participou de alguma atividade educativa sobre saúde sexual e reprodutiva antes?</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Sim</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w:t>
      </w:r>
    </w:p>
    <w:p>
      <w:pPr>
        <w:pStyle w:val="Normal"/>
        <w:ind w:hanging="0" w:start="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ind w:hanging="0" w:start="0"/>
        <w:rPr>
          <w:rFonts w:ascii="Times New Roman" w:hAnsi="Times New Roman" w:eastAsia="Times New Roman" w:cs="Times New Roman"/>
          <w:b w:val="false"/>
          <w:bCs w:val="false"/>
          <w:sz w:val="22"/>
          <w:szCs w:val="22"/>
        </w:rPr>
      </w:pPr>
      <w:r>
        <w:rPr>
          <w:rFonts w:eastAsia="Times New Roman" w:cs="Times New Roman" w:ascii="Times New Roman" w:hAnsi="Times New Roman"/>
          <w:color w:val="000000"/>
          <w:sz w:val="22"/>
          <w:szCs w:val="22"/>
        </w:rPr>
        <w:t>BLOCO 2 - CONHECIMENTO SOBRE SAÚDE SEXUAL E REPRODUTIVA</w:t>
      </w:r>
    </w:p>
    <w:p>
      <w:pPr>
        <w:pStyle w:val="Normal"/>
        <w:ind w:hanging="0" w:start="0"/>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7"/>
        </w:numPr>
        <w:tabs>
          <w:tab w:val="clear" w:pos="720"/>
          <w:tab w:val="left" w:pos="567" w:leader="none"/>
        </w:tabs>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O ciclo menstrual faz parte do funcionamento normal do corpo feminino.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0" w:start="0"/>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8"/>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Uma adolescente pode engravidar ou contrair uma IST mesmo na primeira relação sexual.</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9"/>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O período fértil corresponde aos dias em que há maior chance de gravidez.</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0"/>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A camisinha masculina e feminina ajudam na prevenção da gravidez e das ISTs.</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1"/>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A pílula anticoncepcional protege contra ISTs.</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2"/>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O SUS oferece métodos contraceptivos gratuitamente.</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3"/>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Uma pessoa pode ter IST mesmo sem apresentar sintomas.</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4"/>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O HPV é uma infecção sexualmente transmissível.</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5"/>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A sífilis pode ser diagnosticada por meio de testes realizados nos serviços de saúde.</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 </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6"/>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A camisinha é uma das formas de prevenção contra o HIV.</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7"/>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PEP e PrEP estão relacionadas à prevenção do HIV.</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8"/>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É importante realizar testagem para ISTs mesmo quando não existem sintomas.</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19"/>
        </w:numPr>
        <w:spacing w:lineRule="auto" w:line="259" w:before="0" w:after="80"/>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A vacinação contra o HPV é uma forma importante de prevenção.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 </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0"/>
        </w:numPr>
        <w:spacing w:lineRule="auto" w:line="259" w:before="0" w:after="80"/>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O uso incorreto da camisinha pode reduzir sua eficácia.</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 </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1"/>
        </w:numPr>
        <w:spacing w:lineRule="auto" w:line="259" w:before="0" w:after="80"/>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A PEP deve ser iniciada após situações de possível exposição ao HIV.</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Não sei responder </w:t>
      </w:r>
    </w:p>
    <w:p>
      <w:pPr>
        <w:pStyle w:val="Normal"/>
        <w:ind w:hanging="426" w:start="426"/>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2"/>
        </w:numPr>
        <w:spacing w:lineRule="auto" w:line="259" w:before="0" w:after="80"/>
        <w:ind w:hanging="426" w:start="426"/>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É importante realizar testagem para ISTs mesmo quando não existem sintomas.</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Verdadeiro</w:t>
      </w:r>
    </w:p>
    <w:p>
      <w:pPr>
        <w:pStyle w:val="Normal"/>
        <w:ind w:hanging="426" w:start="426"/>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Falso</w:t>
      </w:r>
    </w:p>
    <w:p>
      <w:pPr>
        <w:pStyle w:val="Normal"/>
        <w:ind w:hanging="426" w:start="426"/>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Não sei responder</w:t>
      </w:r>
    </w:p>
    <w:p>
      <w:pPr>
        <w:pStyle w:val="Normal"/>
        <w:ind w:hanging="360" w:start="360"/>
        <w:jc w:val="center"/>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ind w:hanging="360" w:start="360"/>
        <w:jc w:val="center"/>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ind w:hanging="360" w:start="360"/>
        <w:jc w:val="center"/>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BLOCO 3 - PERCEPÇÕES SOBRE SAÚDE SEXUAL E REPRODUTIVA</w:t>
      </w:r>
    </w:p>
    <w:p>
      <w:pPr>
        <w:pStyle w:val="Normal"/>
        <w:ind w:hanging="360" w:start="36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3"/>
        </w:numPr>
        <w:spacing w:lineRule="auto" w:line="259" w:before="0" w:after="80"/>
        <w:ind w:hanging="284" w:start="284" w:end="600"/>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Sinto que possuo conhecimento suficiente sobre métodos contraceptivos.</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Nem concordo nem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Concordo</w:t>
      </w:r>
    </w:p>
    <w:p>
      <w:pPr>
        <w:pStyle w:val="Normal"/>
        <w:ind w:hanging="284" w:start="284" w:end="600"/>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Concordo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4"/>
        </w:numPr>
        <w:spacing w:lineRule="auto" w:line="259" w:before="0" w:after="80"/>
        <w:textAlignment w:val="baseline"/>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Sinto-me segura para buscar informações sobre saúde sexual quando tenho dúvidas.</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Nem concordo nem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Concordo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Concordo totalmente</w:t>
      </w:r>
    </w:p>
    <w:p>
      <w:pPr>
        <w:pStyle w:val="Normal"/>
        <w:ind w:hanging="284" w:start="284"/>
        <w:jc w:val="start"/>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5"/>
        </w:numPr>
        <w:spacing w:lineRule="auto" w:line="259" w:before="0" w:after="80"/>
        <w:textAlignment w:val="baseline"/>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Sei onde procurar atendimento de saúde sexual e reprodutiva no SUS. </w:t>
      </w:r>
    </w:p>
    <w:p>
      <w:pPr>
        <w:pStyle w:val="Normal"/>
        <w:ind w:hanging="284" w:start="284"/>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Nem concordo nem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Concordo</w:t>
      </w:r>
    </w:p>
    <w:p>
      <w:pPr>
        <w:pStyle w:val="Normal"/>
        <w:ind w:hanging="284" w:start="284" w:end="600"/>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Concordo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6"/>
        </w:numPr>
        <w:spacing w:lineRule="auto" w:line="259" w:before="0" w:after="80"/>
        <w:textAlignment w:val="baseline"/>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Compreendo as mudanças do corpo durante a adolescência. </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Nem concordo nem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Concordo</w:t>
      </w:r>
    </w:p>
    <w:p>
      <w:pPr>
        <w:pStyle w:val="Normal"/>
        <w:ind w:hanging="284" w:start="284" w:end="600"/>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Concordo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7"/>
        </w:numPr>
        <w:spacing w:lineRule="auto" w:line="259" w:before="0" w:after="80"/>
        <w:textAlignment w:val="baseline"/>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Considero importante realizar testagem para ISTs periodicamente.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Nem concordo nem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Concordo</w:t>
      </w:r>
    </w:p>
    <w:p>
      <w:pPr>
        <w:pStyle w:val="Normal"/>
        <w:ind w:hanging="284" w:start="284" w:end="600"/>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Concordo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8"/>
        </w:numPr>
        <w:spacing w:lineRule="auto" w:line="259" w:before="0" w:after="80"/>
        <w:textAlignment w:val="baseline"/>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Considero importante o uso de preservativos nas relações sexuais. </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Nem concordo nem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Concordo</w:t>
      </w:r>
    </w:p>
    <w:p>
      <w:pPr>
        <w:pStyle w:val="Normal"/>
        <w:ind w:hanging="284" w:start="284" w:end="600"/>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Concordo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29"/>
        </w:numPr>
        <w:spacing w:lineRule="auto" w:line="259" w:before="0" w:after="80"/>
        <w:textAlignment w:val="baseline"/>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A falta de informação pode aumentar o risco de ISTs e gravidez não planejada. </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 totalmente</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Nem concordo nem discordo</w:t>
      </w:r>
    </w:p>
    <w:p>
      <w:pPr>
        <w:pStyle w:val="Normal"/>
        <w:ind w:hanging="284" w:start="284"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Concordo</w:t>
      </w:r>
    </w:p>
    <w:p>
      <w:pPr>
        <w:pStyle w:val="Normal"/>
        <w:ind w:hanging="284" w:start="284" w:end="600"/>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Concordo totalmente</w:t>
      </w:r>
    </w:p>
    <w:p>
      <w:pPr>
        <w:pStyle w:val="Normal"/>
        <w:ind w:hanging="0" w:start="720"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sz w:val="22"/>
          <w:szCs w:val="22"/>
        </w:rPr>
      </w:r>
    </w:p>
    <w:p>
      <w:pPr>
        <w:pStyle w:val="Normal"/>
        <w:numPr>
          <w:ilvl w:val="0"/>
          <w:numId w:val="30"/>
        </w:numPr>
        <w:spacing w:lineRule="auto" w:line="259" w:before="0" w:after="80"/>
        <w:textAlignment w:val="baseline"/>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As Unidades Básicas de Saúde (postinhos) são espaços em que posso buscar informações e atendimento em relação a saúde sexual com segurança</w:t>
      </w:r>
    </w:p>
    <w:p>
      <w:pPr>
        <w:pStyle w:val="Normal"/>
        <w:ind w:hanging="0" w:start="0"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 totalmente</w:t>
      </w:r>
    </w:p>
    <w:p>
      <w:pPr>
        <w:pStyle w:val="Normal"/>
        <w:ind w:hanging="0" w:start="0"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Discordo</w:t>
      </w:r>
    </w:p>
    <w:p>
      <w:pPr>
        <w:pStyle w:val="Normal"/>
        <w:ind w:hanging="0" w:start="0"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Nem concordo nem discordo</w:t>
      </w:r>
    </w:p>
    <w:p>
      <w:pPr>
        <w:pStyle w:val="Normal"/>
        <w:ind w:hanging="0" w:start="0" w:end="600"/>
        <w:rPr>
          <w:rFonts w:ascii="Times New Roman" w:hAnsi="Times New Roman" w:eastAsia="Times New Roman" w:cs="Times New Roman"/>
          <w:b w:val="false"/>
          <w:bCs w:val="false"/>
          <w:sz w:val="22"/>
          <w:szCs w:val="22"/>
        </w:rPr>
      </w:pPr>
      <w:r>
        <w:rPr>
          <w:rFonts w:eastAsia="Times New Roman" w:cs="Times New Roman" w:ascii="Times New Roman" w:hAnsi="Times New Roman"/>
          <w:b w:val="false"/>
          <w:bCs w:val="false"/>
          <w:color w:val="000000"/>
          <w:sz w:val="22"/>
          <w:szCs w:val="22"/>
        </w:rPr>
        <w:t>(   ) Concordo</w:t>
      </w:r>
    </w:p>
    <w:p>
      <w:pPr>
        <w:pStyle w:val="Normal"/>
        <w:ind w:hanging="0" w:start="0" w:end="600"/>
        <w:rPr>
          <w:rFonts w:ascii="Times New Roman" w:hAnsi="Times New Roman" w:eastAsia="Times New Roman" w:cs="Times New Roman"/>
          <w:b w:val="false"/>
          <w:bCs w:val="false"/>
          <w:color w:val="000000"/>
          <w:sz w:val="22"/>
          <w:szCs w:val="22"/>
        </w:rPr>
      </w:pPr>
      <w:r>
        <w:rPr>
          <w:rFonts w:eastAsia="Times New Roman" w:cs="Times New Roman" w:ascii="Times New Roman" w:hAnsi="Times New Roman"/>
          <w:b w:val="false"/>
          <w:bCs w:val="false"/>
          <w:color w:val="000000"/>
          <w:sz w:val="22"/>
          <w:szCs w:val="22"/>
        </w:rPr>
        <w:t>(   ) Concordo totalmente</w:t>
      </w:r>
    </w:p>
    <w:p>
      <w:pPr>
        <w:pStyle w:val="Normal"/>
        <w:ind w:hanging="0" w:start="0" w:end="600"/>
        <w:rPr>
          <w:rFonts w:ascii="Times New Roman" w:hAnsi="Times New Roman" w:eastAsia="Calibri" w:cs="Times New Roman"/>
          <w:b w:val="false"/>
          <w:bCs w:val="false"/>
          <w:sz w:val="22"/>
          <w:szCs w:val="22"/>
          <w:lang w:eastAsia="en-US"/>
        </w:rPr>
      </w:pPr>
      <w:r>
        <w:rPr>
          <w:rFonts w:eastAsia="Calibri" w:cs="Times New Roman" w:ascii="Times New Roman" w:hAnsi="Times New Roman"/>
          <w:b w:val="false"/>
          <w:bCs w:val="false"/>
          <w:sz w:val="22"/>
          <w:szCs w:val="22"/>
          <w:lang w:eastAsia="en-US"/>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jc w:val="center"/>
        <w:rPr>
          <w:rFonts w:ascii="Times New Roman" w:hAnsi="Times New Roman" w:cs="Times New Roman"/>
        </w:rPr>
      </w:pPr>
      <w:r>
        <w:rPr>
          <w:rFonts w:cs="Times New Roman" w:ascii="Times New Roman" w:hAnsi="Times New Roman"/>
        </w:rPr>
        <w:t>ANEXO B – FOLHA DE ROSTO / TERMO DE ANUÊNCIA DA INSTITUIÇÃO PROPONENTE</w:t>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pPr>
      <w:r>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 xml:space="preserve">ANEXO C – TERMO DE ACEITE DA ORIENTADORA </w:t>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ANEXO D – TERRMO DE SIGILO DOS PARTICIPANTES</w:t>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ANEXO E – OFÍCIO SECRETARIA DE EDUCAÇÃO</w:t>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 xml:space="preserve">ANEXO F – TERMO DE ANUÊNCIA: ESCOLA WALKISE VIANA </w:t>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 xml:space="preserve">ANEXO G – TERMO DE ANUÊNCIA ESCOLA PEQUENO PRÍNCIPE </w:t>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ANEXO H – TERMO DE ANUÊNCIA ESCOLA ANÍSIO TEIXEIRA</w:t>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 xml:space="preserve">ANEXO I – TERMO DE ANUÊNCIA PLÍNIO PINHEIRO </w:t>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ANEXO J – TERMO DE CONSENTIMENTO LIVRE E ESCLARECIDO</w:t>
      </w:r>
    </w:p>
    <w:p>
      <w:pPr>
        <w:pStyle w:val="Normal"/>
        <w:ind w:hanging="0" w:start="0"/>
        <w:rPr>
          <w:rFonts w:ascii="Times New Roman" w:hAnsi="Times New Roman" w:cs="Times New Roman"/>
        </w:rPr>
      </w:pPr>
      <w:r>
        <w:rPr>
          <w:rFonts w:cs="Times New Roman" w:ascii="Times New Roman" w:hAnsi="Times New Roman"/>
        </w:rPr>
      </w:r>
    </w:p>
    <w:p>
      <w:pPr>
        <w:pStyle w:val="Normal"/>
        <w:widowControl w:val="false"/>
        <w:spacing w:lineRule="auto" w:line="276"/>
        <w:ind w:hanging="0" w:start="0"/>
        <w:jc w:val="center"/>
        <w:rPr>
          <w:rFonts w:ascii="Times New Roman" w:hAnsi="Times New Roman" w:eastAsia="Times New Roman" w:cs="Times New Roman"/>
          <w:sz w:val="22"/>
          <w:szCs w:val="22"/>
          <w:lang w:val="pt-PT"/>
        </w:rPr>
      </w:pPr>
      <w:r>
        <w:rPr>
          <w:rFonts w:eastAsia="Times New Roman" w:cs="Times New Roman" w:ascii="Times New Roman" w:hAnsi="Times New Roman"/>
          <w:sz w:val="22"/>
          <w:szCs w:val="22"/>
          <w:lang w:val="pt-PT"/>
        </w:rPr>
        <w:t xml:space="preserve">TERMO DE CONSENTIMENTO LIVRE E ESCLARECIDO (TCLE) </w:t>
      </w:r>
    </w:p>
    <w:p>
      <w:pPr>
        <w:pStyle w:val="Normal"/>
        <w:widowControl w:val="false"/>
        <w:spacing w:lineRule="auto" w:line="276"/>
        <w:ind w:hanging="0" w:start="0"/>
        <w:jc w:val="center"/>
        <w:rPr>
          <w:rFonts w:ascii="Times New Roman" w:hAnsi="Times New Roman" w:eastAsia="Times New Roman" w:cs="Times New Roman"/>
          <w:sz w:val="22"/>
          <w:szCs w:val="22"/>
          <w:lang w:val="pt-PT"/>
        </w:rPr>
      </w:pPr>
      <w:r>
        <w:rPr>
          <w:rFonts w:eastAsia="Times New Roman" w:cs="Times New Roman" w:ascii="Times New Roman" w:hAnsi="Times New Roman"/>
          <w:sz w:val="22"/>
          <w:szCs w:val="22"/>
          <w:lang w:val="pt-PT"/>
        </w:rPr>
        <w:t>(De acordo com a Resolução no 466 de 12 de dezembro de 2012)</w:t>
      </w:r>
    </w:p>
    <w:p>
      <w:pPr>
        <w:pStyle w:val="Normal"/>
        <w:widowControl w:val="false"/>
        <w:spacing w:lineRule="auto" w:line="276"/>
        <w:ind w:hanging="0" w:start="0"/>
        <w:rPr>
          <w:rFonts w:ascii="Times New Roman" w:hAnsi="Times New Roman" w:eastAsia="Times New Roman" w:cs="Times New Roman"/>
          <w:sz w:val="22"/>
          <w:szCs w:val="22"/>
          <w:lang w:val="pt-PT"/>
        </w:rPr>
      </w:pPr>
      <w:r>
        <w:rPr>
          <w:rFonts w:eastAsia="Times New Roman" w:cs="Times New Roman" w:ascii="Times New Roman" w:hAnsi="Times New Roman"/>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lang w:val="pt-PT"/>
        </w:rPr>
      </w:pPr>
      <w:r>
        <w:rPr>
          <w:rFonts w:eastAsia="Times New Roman" w:cs="Times New Roman" w:ascii="Times New Roman" w:hAnsi="Times New Roman"/>
          <w:b w:val="false"/>
          <w:bCs w:val="false"/>
          <w:sz w:val="22"/>
          <w:szCs w:val="22"/>
          <w:lang w:val="pt-PT"/>
        </w:rPr>
        <w:t xml:space="preserve">Você está sendo convidado(a) como voluntário(a) a participar da pesquisa: </w:t>
      </w:r>
      <w:r>
        <w:rPr>
          <w:rFonts w:eastAsia="Times New Roman" w:cs="Times New Roman" w:ascii="Times New Roman" w:hAnsi="Times New Roman"/>
          <w:sz w:val="22"/>
          <w:szCs w:val="22"/>
          <w:lang w:val="pt-PT"/>
        </w:rPr>
        <w:t>Educação em saúde sexual e reprodutiva para adolescentes: Diálogo entre a universidade e estudantes de escolas públicas de Marabá.</w:t>
      </w:r>
      <w:r>
        <w:rPr>
          <w:rFonts w:eastAsia="Times New Roman" w:cs="Times New Roman" w:ascii="Times New Roman" w:hAnsi="Times New Roman"/>
          <w:b w:val="false"/>
          <w:bCs w:val="false"/>
          <w:lang w:val="pt-PT"/>
        </w:rPr>
        <w:t xml:space="preserve"> </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sz w:val="22"/>
          <w:szCs w:val="22"/>
          <w:lang w:val="pt-PT"/>
        </w:rPr>
        <w:t>O motivo desta pesquisa</w:t>
      </w:r>
      <w:r>
        <w:rPr>
          <w:rFonts w:eastAsia="Times New Roman" w:cs="Times New Roman" w:ascii="Times New Roman" w:hAnsi="Times New Roman"/>
          <w:b w:val="false"/>
          <w:bCs w:val="false"/>
          <w:sz w:val="22"/>
          <w:szCs w:val="22"/>
          <w:lang w:val="pt-PT"/>
        </w:rPr>
        <w:t xml:space="preserve"> é a importância da educação em saúde sexual e reprodutiva na adolescência, fase em que muitas jovens ainda possuem dúvidas e pouco acesso a informações confiáveis sobre prevenção de ISTs, métodos contraceptivos e cuidado com a própria saúde. A pesquisa se justifica pela necessidade de promover informações confiáveis sobre saúde sexual e reprodutiva entre adolescentes, contribuindo para prevenção de ISTs, gravidez não planejada e fortalecimento da autonomia e do cuidado com a saúde. O objetivo deste projeto é ampliar o conhecimento de adolescentes sobre saúde sexual e reprodutiva, abordando temas como métodos contraceptivos, saúde menstrual, ISTs, HIV, PrEP e PEP. O(os) procedimento(s) de coleta de material dados serão da seguinte forma: A coleta de dados ocorrerá em um único encontro presencial na escola. Inicialmente será aplicado um questionário anônimo sobre saúde sexual e reprodutiva, seguido de palestra educativa com duração aproximada de 60 minutos. Após a atividade, será reaplicado o questionário para avaliar os conhecimentos adquiridos. Não haverá coleta de material biológico ou procedimentos invasivos. As participantes serão requisitadas apenas uma vez durante toda a pesquisa. </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sz w:val="22"/>
          <w:szCs w:val="22"/>
          <w:lang w:val="pt-PT"/>
        </w:rPr>
        <w:t>Riscos e benefícios.</w:t>
      </w:r>
      <w:r>
        <w:rPr>
          <w:rFonts w:eastAsia="Times New Roman" w:cs="Times New Roman" w:ascii="Times New Roman" w:hAnsi="Times New Roman"/>
          <w:b w:val="false"/>
          <w:bCs w:val="false"/>
          <w:sz w:val="22"/>
          <w:szCs w:val="22"/>
          <w:lang w:val="pt-PT"/>
        </w:rPr>
        <w:t xml:space="preserve"> Toda pesquisa com seres humanos apresenta riscos e tem que ter benefícios que a justifiquem: não deverão ser subestimados os riscos e desconfortos, mesmo que sejam mínimos. Existe risco mínimo relacionado a possível timidez ou desconforto ao responder perguntas sobre saúde sexual. Entretanto, a pesquisa poderá trazer benefícios como ampliação do conhecimento sobre prevenção de ISTs, métodos contraceptivos e cuidado com a própria saúde.</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 xml:space="preserve">Caso alguma participante apresente desconforto emocional, necessidade de esclarecimentos adicionais ou relate situações que demandem orientação em saúde, a equipe pesquisadora realizará acolhimento inicial e orientação adequada. Quando necessário, a participante poderá ser encaminhada para acompanhamento na Unidade Básica de Saúde (UBS) de referência ou para o Ambulatório de Saúde Mental de Marabá - AMENT, conforme a necessidade identificada. As pesquisadoras permanecerão disponíveis para esclarecimento de dúvidas relacionadas à pesquisa antes, durante e após a participação. O anonimato das particopantes durante todo o curso da pesquisa será garantido. </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sz w:val="22"/>
          <w:szCs w:val="22"/>
          <w:lang w:val="pt-PT"/>
        </w:rPr>
        <w:t>Garantia de esclarecimento, liberdade de recusa e garantia de sigilo</w:t>
      </w:r>
      <w:r>
        <w:rPr>
          <w:rFonts w:eastAsia="Times New Roman" w:cs="Times New Roman" w:ascii="Times New Roman" w:hAnsi="Times New Roman"/>
          <w:b w:val="false"/>
          <w:bCs w:val="false"/>
          <w:sz w:val="22"/>
          <w:szCs w:val="22"/>
          <w:lang w:val="pt-PT"/>
        </w:rPr>
        <w:t>: Você será esclarecido(a) sobre a pesquisa em qualquer aspecto que desejar. Você é livre para recusar-se a participar, retirar seu consentimento ou interromper a participação a qualquer momento. A sua participação é voluntária (sem compensação financeira) e a recusa em participar não acarretará qualquer penalidade ou perda de benefícios.</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O(s) pesquisador(es) irá(ão) tratar a sua identidade com padrões profissionais de sigilo. Os resultados do exame clínico, laboratorial, da pesquisa, etc serão enviados para você e permanecerão confidenciais. Seu nome ou o material que indique a sua participação não será liberado sem a sua permissão. Você não será identificado(a) em nenhuma publicação que possa resultar deste estudo.</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Uma cópia deste consentimento informado será arquivada no Curso de Medicina da Universidade do estado do Pará, campus VIII, e outra será fornecida a você.</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Custos da participação, ressarcimento e indenização por eventuais danos: explicitação da garantia de ressarcimento e como serão cobertas as despesas tidas pelos participantes da pesquisa e dela decorrentes. A participação no estudo não acarretará custos para você e não será disponível nenhuma compensação financeira adicional, além de se caso houver gastos de tempo, transporte, creche, alimentação, etc deve ser prevista uma compensação financeira que deverá ser calculada de acordo com os gastos reais do participante. Caso você sofra algum dano decorrente dessa pesquisa (Educação em saúde sexual e reprodutiva para adolescentes: Diálogo entre a universidade e estudantes de escolas públicas de Marabá.) explicitar garantia de indenização diante de eventuais danos decorrentes da pesquisa; se existir algum seguro.</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sz w:val="22"/>
          <w:szCs w:val="22"/>
          <w:lang w:val="pt-PT"/>
        </w:rPr>
        <w:t>Declaração da participante ou do responsável pela participante</w:t>
      </w:r>
      <w:r>
        <w:rPr>
          <w:rFonts w:eastAsia="Times New Roman" w:cs="Times New Roman" w:ascii="Times New Roman" w:hAnsi="Times New Roman"/>
          <w:b w:val="false"/>
          <w:bCs w:val="false"/>
          <w:sz w:val="22"/>
          <w:szCs w:val="22"/>
          <w:lang w:val="pt-PT"/>
        </w:rPr>
        <w:t xml:space="preserve"> (para indivíduos vulneráveis como crianças, adolescentes, presidiários, índios, pessoas com capacidade mental ou com autonomia reduzida devem ter um representante legal, sem prejuízo de sua autorização).</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Eu,______________________________________________________________________________________fui informada (o) dos objetivos da pesquisa acima de maneira clara e detalhada e esclareci minhas dúvidas. Sei que em qualquer momento poderei solicitar novas informações e motivar minha decisão se assim o desejar. A professora orientadora Drª Glaucielen Gomes da Silva certificou-me de que todos os dados desta pesquisa serão confidenciais.</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Também sei que caso existam gastos adicionais, estes serão absorvidos pelo orçamento da pesquisa. Em caso de dúvidas poderei chamar a professora orientadora Drª Glaucielen Gomes da Silva no telefone +55 (94) 99210-6584 ou o Comitê de Ética em Pesquisa em seres humanos, situado no térreo do bloco 4 da Universidade do Estado do Pará, campus VIII, Av. Hiléia s/n. Agrópolis do INCRA, Bairro Amapá – Marabá –Pará. Telefone: (94) 3198-1886. E.mail: cepmaraba@uepa.br.</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sz w:val="22"/>
          <w:szCs w:val="22"/>
          <w:lang w:val="pt-PT"/>
        </w:rPr>
        <w:t>Declaro que concordo</w:t>
      </w:r>
      <w:r>
        <w:rPr>
          <w:rFonts w:eastAsia="Times New Roman" w:cs="Times New Roman" w:ascii="Times New Roman" w:hAnsi="Times New Roman"/>
          <w:b w:val="false"/>
          <w:bCs w:val="false"/>
          <w:sz w:val="22"/>
          <w:szCs w:val="22"/>
          <w:lang w:val="pt-PT"/>
        </w:rPr>
        <w:t xml:space="preserve"> em participar desse estudo. Recebi uma cópia deste termo de consentimento livre e esclarecido e me foi dada a oportunidade de ler e esclarecer as minhas dúvidas.</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 xml:space="preserve">Nome:  </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Data:</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jc w:val="center"/>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_______________________________________________________________________________</w:t>
      </w:r>
    </w:p>
    <w:p>
      <w:pPr>
        <w:pStyle w:val="Normal"/>
        <w:widowControl w:val="false"/>
        <w:spacing w:lineRule="auto" w:line="276"/>
        <w:ind w:hanging="0" w:start="0"/>
        <w:jc w:val="center"/>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Assinatura do Participante</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Nome: Drª Glaucielen Gomes da Silva</w:t>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Data:</w:t>
      </w:r>
    </w:p>
    <w:p>
      <w:pPr>
        <w:pStyle w:val="Normal"/>
        <w:widowControl w:val="false"/>
        <w:spacing w:lineRule="auto" w:line="276"/>
        <w:ind w:hanging="0" w:start="0"/>
        <w:jc w:val="center"/>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276"/>
        <w:ind w:hanging="0" w:start="0"/>
        <w:jc w:val="center"/>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_______________________________________________________________________________</w:t>
      </w:r>
    </w:p>
    <w:p>
      <w:pPr>
        <w:pStyle w:val="Normal"/>
        <w:widowControl w:val="false"/>
        <w:spacing w:lineRule="auto" w:line="276"/>
        <w:ind w:hanging="0" w:start="0"/>
        <w:jc w:val="center"/>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 xml:space="preserve">Assinatura do Pesquisador responsável </w:t>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ANEXO K – TERMO DE ASSENTIMENTO LIVRE E ESCLARECIDO</w:t>
      </w:r>
    </w:p>
    <w:p>
      <w:pPr>
        <w:pStyle w:val="Normal"/>
        <w:ind w:hanging="0" w:start="0"/>
        <w:rPr>
          <w:rFonts w:ascii="Times New Roman" w:hAnsi="Times New Roman" w:cs="Times New Roman"/>
        </w:rPr>
      </w:pPr>
      <w:r>
        <w:rPr>
          <w:rFonts w:cs="Times New Roman" w:ascii="Times New Roman" w:hAnsi="Times New Roman"/>
        </w:rPr>
      </w:r>
    </w:p>
    <w:p>
      <w:pPr>
        <w:pStyle w:val="Normal"/>
        <w:widowControl w:val="false"/>
        <w:ind w:hanging="0" w:start="0"/>
        <w:jc w:val="center"/>
        <w:rPr>
          <w:rFonts w:ascii="Times New Roman" w:hAnsi="Times New Roman" w:eastAsia="Times New Roman" w:cs="Times New Roman"/>
          <w:sz w:val="22"/>
          <w:szCs w:val="22"/>
          <w:lang w:val="pt-PT"/>
        </w:rPr>
      </w:pPr>
      <w:r>
        <w:rPr>
          <w:rFonts w:eastAsia="Times New Roman" w:cs="Times New Roman" w:ascii="Times New Roman" w:hAnsi="Times New Roman"/>
          <w:sz w:val="22"/>
          <w:szCs w:val="22"/>
          <w:lang w:val="pt-PT"/>
        </w:rPr>
        <w:t xml:space="preserve">TERMO DE ASSENTIMENTO LIVRE E ESCLARECIDO (TALE) para adolescentes (maiores que 15 anos e menores de 18 anos) </w:t>
      </w:r>
    </w:p>
    <w:p>
      <w:pPr>
        <w:pStyle w:val="Normal"/>
        <w:widowControl w:val="false"/>
        <w:spacing w:lineRule="auto" w:line="360"/>
        <w:ind w:hanging="0" w:start="0"/>
        <w:jc w:val="center"/>
        <w:rPr>
          <w:rFonts w:ascii="Times New Roman" w:hAnsi="Times New Roman" w:eastAsia="Times New Roman" w:cs="Times New Roman"/>
          <w:sz w:val="22"/>
          <w:szCs w:val="22"/>
          <w:lang w:val="pt-PT"/>
        </w:rPr>
      </w:pPr>
      <w:r>
        <w:rPr>
          <w:rFonts w:eastAsia="Times New Roman" w:cs="Times New Roman" w:ascii="Times New Roman" w:hAnsi="Times New Roman"/>
          <w:sz w:val="22"/>
          <w:szCs w:val="22"/>
          <w:lang w:val="pt-PT"/>
        </w:rPr>
      </w:r>
    </w:p>
    <w:p>
      <w:pPr>
        <w:pStyle w:val="Normal"/>
        <w:widowControl w:val="false"/>
        <w:spacing w:lineRule="auto" w:line="276"/>
        <w:ind w:firstLine="720" w:start="0"/>
        <w:rPr>
          <w:rFonts w:ascii="Times New Roman" w:hAnsi="Times New Roman" w:eastAsia="Times New Roman" w:cs="Times New Roman"/>
          <w:sz w:val="22"/>
          <w:szCs w:val="22"/>
          <w:lang w:val="pt-PT"/>
        </w:rPr>
      </w:pPr>
      <w:r>
        <w:rPr>
          <w:rFonts w:eastAsia="Times New Roman" w:cs="Times New Roman" w:ascii="Times New Roman" w:hAnsi="Times New Roman"/>
          <w:b w:val="false"/>
          <w:bCs w:val="false"/>
          <w:sz w:val="22"/>
          <w:szCs w:val="22"/>
          <w:lang w:val="pt-PT"/>
        </w:rPr>
        <w:t xml:space="preserve">Você está sendo convidado a participar da pesquisa </w:t>
      </w:r>
      <w:r>
        <w:rPr>
          <w:rFonts w:eastAsia="Times New Roman" w:cs="Times New Roman" w:ascii="Times New Roman" w:hAnsi="Times New Roman"/>
          <w:sz w:val="22"/>
          <w:szCs w:val="22"/>
          <w:lang w:val="pt-PT"/>
        </w:rPr>
        <w:t>Educação em saúde sexual e reprodutiva para adolescentes: Diálogo entre a universidade e estudantes de escolas públicas de Marabá</w:t>
      </w:r>
      <w:r>
        <w:rPr>
          <w:rFonts w:eastAsia="Times New Roman" w:cs="Times New Roman" w:ascii="Times New Roman" w:hAnsi="Times New Roman"/>
          <w:b w:val="false"/>
          <w:bCs w:val="false"/>
          <w:sz w:val="22"/>
          <w:szCs w:val="22"/>
          <w:lang w:val="pt-PT"/>
        </w:rPr>
        <w:t xml:space="preserve">, coordenada pela professora </w:t>
      </w:r>
      <w:r>
        <w:rPr>
          <w:rFonts w:eastAsia="Times New Roman" w:cs="Times New Roman" w:ascii="Times New Roman" w:hAnsi="Times New Roman"/>
          <w:sz w:val="22"/>
          <w:szCs w:val="22"/>
          <w:lang w:val="pt-PT"/>
        </w:rPr>
        <w:t xml:space="preserve">Drª Glaucielen Gomes da Silva (e-mail </w:t>
      </w:r>
      <w:hyperlink r:id="rId6">
        <w:r>
          <w:rPr>
            <w:rStyle w:val="Style3"/>
            <w:rFonts w:eastAsia="Times New Roman" w:cs="Times New Roman" w:ascii="Times New Roman" w:hAnsi="Times New Roman"/>
            <w:color w:themeColor="hyperlink" w:val="0000FF"/>
            <w:sz w:val="22"/>
            <w:szCs w:val="22"/>
            <w:u w:val="single"/>
            <w:lang w:val="pt-PT"/>
          </w:rPr>
          <w:t>glaucielen.gomes@uepa.br</w:t>
        </w:r>
      </w:hyperlink>
      <w:r>
        <w:rPr>
          <w:rFonts w:eastAsia="Times New Roman" w:cs="Times New Roman" w:ascii="Times New Roman" w:hAnsi="Times New Roman"/>
          <w:sz w:val="22"/>
          <w:szCs w:val="22"/>
          <w:lang w:val="pt-PT"/>
        </w:rPr>
        <w:t xml:space="preserve">) e efetuada pelas pesquisadoras Clara Maria Vitória Araújo (e-mail: </w:t>
      </w:r>
      <w:hyperlink r:id="rId7">
        <w:r>
          <w:rPr>
            <w:rStyle w:val="Style3"/>
            <w:rFonts w:eastAsia="Times New Roman" w:cs="Times New Roman" w:ascii="Times New Roman" w:hAnsi="Times New Roman"/>
            <w:color w:themeColor="hyperlink" w:val="0000FF"/>
            <w:sz w:val="22"/>
            <w:szCs w:val="22"/>
            <w:u w:val="single"/>
            <w:lang w:val="pt-PT"/>
          </w:rPr>
          <w:t>clara.mvaraujo@aluno.uepa.br</w:t>
        </w:r>
      </w:hyperlink>
      <w:r>
        <w:rPr>
          <w:rFonts w:eastAsia="Times New Roman" w:cs="Times New Roman" w:ascii="Times New Roman" w:hAnsi="Times New Roman"/>
          <w:sz w:val="22"/>
          <w:szCs w:val="22"/>
          <w:lang w:val="pt-PT"/>
        </w:rPr>
        <w:t xml:space="preserve"> telefone: 94)992706841) e Isabella Cometti Lelis (e-mail: isabela.clelis@aluno.uepa.br).</w:t>
      </w:r>
      <w:r>
        <w:rPr>
          <w:rFonts w:eastAsia="Times New Roman" w:cs="Times New Roman" w:ascii="Times New Roman" w:hAnsi="Times New Roman"/>
          <w:b w:val="false"/>
          <w:bCs w:val="false"/>
          <w:sz w:val="22"/>
          <w:szCs w:val="22"/>
          <w:lang w:val="pt-PT"/>
        </w:rPr>
        <w:t xml:space="preserve"> Seus pais permitiram que você participe. </w:t>
      </w:r>
    </w:p>
    <w:p>
      <w:pPr>
        <w:pStyle w:val="Normal"/>
        <w:widowControl w:val="false"/>
        <w:spacing w:lineRule="auto" w:line="276"/>
        <w:ind w:firstLine="72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 xml:space="preserve">Nós queremos saber o seu nível de conhecimento sobre a saúde sexual da mulher na adolescência, incluindo a saúde reprodutiva e sexual, a contracepção, o planejamento familiar, a prevenção de ISTs e a saúde menstrual. Você só precisa participar da pesquisa se quiser, é um direito seu e não terá nenhum problema se desistir, os menores que irão participar desta pesquisa têm de 15 a 17 anos de idade. </w:t>
      </w:r>
    </w:p>
    <w:p>
      <w:pPr>
        <w:pStyle w:val="Normal"/>
        <w:widowControl w:val="false"/>
        <w:spacing w:lineRule="auto" w:line="276"/>
        <w:ind w:firstLine="72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 xml:space="preserve">A pesquisa será feita no auditório das escolas </w:t>
      </w:r>
      <w:r>
        <w:rPr>
          <w:rFonts w:eastAsia="Times New Roman" w:cs="Times New Roman" w:ascii="Times New Roman" w:hAnsi="Times New Roman"/>
          <w:sz w:val="22"/>
          <w:szCs w:val="22"/>
          <w:lang w:val="pt-PT"/>
        </w:rPr>
        <w:t>E.E.E.F.M Anísio Teixeira, E.E.E.M O Pequeno Príncipe, E.E.E.M. Doutor José Cursino, E.E.E.M Plínio Pinheiro e E.E.E.M Walkise da Silveira Vianna</w:t>
      </w:r>
      <w:r>
        <w:rPr>
          <w:rFonts w:eastAsia="Times New Roman" w:cs="Times New Roman" w:ascii="Times New Roman" w:hAnsi="Times New Roman"/>
          <w:b w:val="false"/>
          <w:bCs w:val="false"/>
          <w:sz w:val="22"/>
          <w:szCs w:val="22"/>
          <w:lang w:val="pt-PT"/>
        </w:rPr>
        <w:t>, onde as participantes irão preencher um questionário pré-teste com perguntas sobre conhecimentos em educação sexual e reprodutiva, assistir à uma palestra sobre educação sexual e reprodutiva e, após o fim da palestra, preencher um segundo questionário, para avaliação dos conhecimentos obtidos</w:t>
      </w:r>
      <w:r>
        <w:rPr>
          <w:rFonts w:eastAsia="Times New Roman" w:cs="Times New Roman" w:ascii="Times New Roman" w:hAnsi="Times New Roman"/>
          <w:sz w:val="22"/>
          <w:szCs w:val="22"/>
          <w:lang w:val="pt-PT"/>
        </w:rPr>
        <w:t>.</w:t>
      </w:r>
      <w:r>
        <w:rPr>
          <w:rFonts w:eastAsia="Times New Roman" w:cs="Times New Roman" w:ascii="Times New Roman" w:hAnsi="Times New Roman"/>
          <w:b w:val="false"/>
          <w:bCs w:val="false"/>
          <w:sz w:val="22"/>
          <w:szCs w:val="22"/>
          <w:lang w:val="pt-PT"/>
        </w:rPr>
        <w:t xml:space="preserve"> Para isso, serão usados questionários impressos em folha A4, em formato anônimo, este material é considerado seguro, mas é possível ocorrer algum tipo de desconforto emocional ao abordar temas sensíveis, como sexualidade, gravidez e infecçõees sexualmente transmissíveis. Caso aconteça algo errado, você pode nos procurar pelos telefones e e-mails do começo do texto. Caso haja qualquer constrangimento, a pesquisa será interrompida imediatamente e a participante será encaminhada a atendimento pMas há coisas boas que podem acontecer como ampliação do conhecimento em saúde sexual e reprodutiva, fortalecimento da autonomia e tomada de decisão informada, maior conscientização sobre prevenção de IST e gravidez não planejada entre adolescentes. Ninguém saberá que você está participando da pesquisa; não falaremos a outras pessoas, nem daremos a estranhos as informações que você nos der. Os resultados da pesquisa vão ser publicados (explicação como se dará a divulgação dos resultados), mas sem identificar as adolescentes que participaram. </w:t>
      </w:r>
    </w:p>
    <w:p>
      <w:pPr>
        <w:pStyle w:val="Normal"/>
        <w:widowControl w:val="false"/>
        <w:spacing w:lineRule="auto" w:line="276"/>
        <w:ind w:firstLine="72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Eu _________________________________________________________________________ aceito participar da pesquisa Educação em saúde sexual e reprodutiva para adolescentes: Diálogo entre a universidade e estudantes de escolas públicas de Marabá.</w:t>
      </w:r>
    </w:p>
    <w:p>
      <w:pPr>
        <w:pStyle w:val="Normal"/>
        <w:widowControl w:val="false"/>
        <w:spacing w:lineRule="auto" w:line="276"/>
        <w:ind w:firstLine="72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 xml:space="preserve">Entendi as coisas ruins e as coisas boas que podem acontecer. Entendi que posso dizer “sim” e participar, mas que, a qualquer momento, posso dizer “não” e desistir e que ninguém vai ficar com raiva de mim, e esse não será um problema. </w:t>
      </w:r>
    </w:p>
    <w:p>
      <w:pPr>
        <w:pStyle w:val="Normal"/>
        <w:widowControl w:val="false"/>
        <w:spacing w:lineRule="auto" w:line="276"/>
        <w:ind w:firstLine="72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 xml:space="preserve">Os pesquisadores tiraram minhas dúvidas e conversaram com os meus responsáveis. Recebi uma cópia deste termo de assentimento e li e concordo em participar da pesquisa. </w:t>
      </w:r>
    </w:p>
    <w:p>
      <w:pPr>
        <w:pStyle w:val="Normal"/>
        <w:widowControl w:val="false"/>
        <w:spacing w:lineRule="auto" w:line="276"/>
        <w:ind w:firstLine="720" w:start="0"/>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r>
    </w:p>
    <w:p>
      <w:pPr>
        <w:pStyle w:val="Normal"/>
        <w:widowControl w:val="false"/>
        <w:spacing w:lineRule="auto" w:line="360"/>
        <w:ind w:hanging="0" w:start="0"/>
        <w:jc w:val="end"/>
        <w:rPr>
          <w:rFonts w:ascii="Times New Roman" w:hAnsi="Times New Roman" w:eastAsia="Times New Roman" w:cs="Times New Roman"/>
          <w:b w:val="false"/>
          <w:bCs w:val="false"/>
          <w:sz w:val="22"/>
          <w:szCs w:val="22"/>
          <w:lang w:val="pt-PT"/>
        </w:rPr>
      </w:pPr>
      <w:r>
        <w:rPr>
          <w:rFonts w:eastAsia="Times New Roman" w:cs="Times New Roman" w:ascii="Times New Roman" w:hAnsi="Times New Roman"/>
          <w:b w:val="false"/>
          <w:bCs w:val="false"/>
          <w:sz w:val="22"/>
          <w:szCs w:val="22"/>
          <w:lang w:val="pt-PT"/>
        </w:rPr>
        <w:t>Marabá, ____de _________, 2026</w:t>
      </w:r>
    </w:p>
    <w:p>
      <w:pPr>
        <w:pStyle w:val="Normal"/>
        <w:widowControl w:val="false"/>
        <w:spacing w:lineRule="auto" w:line="360"/>
        <w:ind w:hanging="0" w:start="0"/>
        <w:rPr>
          <w:rFonts w:ascii="Times New Roman" w:hAnsi="Times New Roman" w:eastAsia="Times New Roman" w:cs="Times New Roman"/>
          <w:b w:val="false"/>
          <w:bCs w:val="false"/>
          <w:sz w:val="18"/>
          <w:szCs w:val="18"/>
          <w:lang w:val="pt-PT"/>
        </w:rPr>
      </w:pPr>
      <w:r>
        <w:rPr>
          <w:rFonts w:eastAsia="Times New Roman" w:cs="Times New Roman" w:ascii="Times New Roman" w:hAnsi="Times New Roman"/>
          <w:b w:val="false"/>
          <w:bCs w:val="false"/>
          <w:sz w:val="18"/>
          <w:szCs w:val="18"/>
          <w:lang w:val="pt-PT"/>
        </w:rPr>
      </w:r>
    </w:p>
    <w:p>
      <w:pPr>
        <w:pStyle w:val="Normal"/>
        <w:widowControl w:val="false"/>
        <w:spacing w:lineRule="auto" w:line="360"/>
        <w:ind w:hanging="0" w:start="0"/>
        <w:rPr>
          <w:rFonts w:ascii="Times New Roman" w:hAnsi="Times New Roman" w:eastAsia="Times New Roman" w:cs="Times New Roman"/>
          <w:b w:val="false"/>
          <w:bCs w:val="false"/>
          <w:sz w:val="18"/>
          <w:szCs w:val="18"/>
          <w:lang w:val="pt-PT"/>
        </w:rPr>
      </w:pPr>
      <w:r>
        <w:rPr>
          <w:rFonts w:eastAsia="Times New Roman" w:cs="Times New Roman" w:ascii="Times New Roman" w:hAnsi="Times New Roman"/>
          <w:b w:val="false"/>
          <w:bCs w:val="false"/>
          <w:sz w:val="18"/>
          <w:szCs w:val="18"/>
          <w:lang w:val="pt-PT"/>
        </w:rPr>
      </w:r>
    </w:p>
    <w:p>
      <w:pPr>
        <w:pStyle w:val="Normal"/>
        <w:widowControl w:val="false"/>
        <w:spacing w:lineRule="auto" w:line="360"/>
        <w:ind w:hanging="0" w:start="0"/>
        <w:rPr>
          <w:rFonts w:ascii="Times New Roman" w:hAnsi="Times New Roman" w:eastAsia="Times New Roman" w:cs="Times New Roman"/>
          <w:b w:val="false"/>
          <w:bCs w:val="false"/>
          <w:sz w:val="18"/>
          <w:szCs w:val="18"/>
          <w:lang w:val="pt-PT"/>
        </w:rPr>
      </w:pPr>
      <w:r>
        <w:rPr>
          <w:rFonts w:eastAsia="Times New Roman" w:cs="Times New Roman" w:ascii="Times New Roman" w:hAnsi="Times New Roman"/>
          <w:b w:val="false"/>
          <w:bCs w:val="false"/>
          <w:sz w:val="18"/>
          <w:szCs w:val="18"/>
          <w:lang w:val="pt-PT"/>
        </w:rPr>
        <w:t>__________________________________________                                    ___________________________________________</w:t>
      </w:r>
    </w:p>
    <w:p>
      <w:pPr>
        <w:pStyle w:val="Normal"/>
        <w:widowControl w:val="false"/>
        <w:spacing w:lineRule="auto" w:line="360"/>
        <w:ind w:hanging="0" w:start="0"/>
        <w:jc w:val="start"/>
        <w:rPr>
          <w:rFonts w:ascii="Calibri" w:hAnsi="Calibri" w:eastAsia="Calibri" w:cs="Calibri"/>
          <w:b w:val="false"/>
          <w:bCs w:val="false"/>
          <w:sz w:val="18"/>
          <w:szCs w:val="18"/>
          <w:lang w:val="pt-PT"/>
        </w:rPr>
      </w:pPr>
      <w:r>
        <w:rPr>
          <w:rFonts w:eastAsia="Times New Roman" w:cs="Times New Roman" w:ascii="Times New Roman" w:hAnsi="Times New Roman"/>
          <w:b w:val="false"/>
          <w:bCs w:val="false"/>
          <w:sz w:val="18"/>
          <w:szCs w:val="18"/>
          <w:lang w:val="pt-PT"/>
        </w:rPr>
        <w:t xml:space="preserve">                        </w:t>
      </w:r>
      <w:r>
        <w:rPr>
          <w:rFonts w:eastAsia="Times New Roman" w:cs="Times New Roman" w:ascii="Times New Roman" w:hAnsi="Times New Roman"/>
          <w:b w:val="false"/>
          <w:bCs w:val="false"/>
          <w:sz w:val="18"/>
          <w:szCs w:val="18"/>
          <w:lang w:val="pt-PT"/>
        </w:rPr>
        <w:t xml:space="preserve">Assinatura do menor                                                                        Assinatura da pesquisadora responsável </w:t>
      </w:r>
    </w:p>
    <w:sectPr>
      <w:headerReference w:type="even" r:id="rId8"/>
      <w:headerReference w:type="default" r:id="rId9"/>
      <w:headerReference w:type="first" r:id="rId10"/>
      <w:type w:val="nextPage"/>
      <w:pgSz w:w="11906" w:h="16838"/>
      <w:pgMar w:left="1701" w:right="1134" w:gutter="0" w:header="720" w:top="1701" w:footer="0" w:bottom="1134"/>
      <w:pgNumType w:start="4" w:fmt="decimal"/>
      <w:formProt w:val="false"/>
      <w:textDirection w:val="lrTb"/>
      <w:docGrid w:type="default" w:linePitch="32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swiss"/>
    <w:pitch w:val="variable"/>
  </w:font>
  <w:font w:name="Calibri">
    <w:charset w:val="00" w:characterSet="windows-1252"/>
    <w:family w:val="swiss"/>
    <w:pitch w:val="variable"/>
  </w:font>
  <w:font w:name="Wingdings">
    <w:charset w:val="02"/>
    <w:family w:val="auto"/>
    <w:pitch w:val="default"/>
    <w:embedRegular r:id="rId1" w:fontKey="{01014A78-CABC-4EF0-12AC-5CD89AEFDE01}"/>
    <w:embedBold r:id="rId2" w:fontKey="{02014A78-CABC-4EF0-12AC-5CD89AEFDE02}"/>
  </w:font>
  <w:font w:name="Wingdings 2">
    <w:charset w:val="02"/>
    <w:family w:val="auto"/>
    <w:pitch w:val="default"/>
    <w:embedRegular r:id="rId3" w:fontKey="{03014A78-CABC-4EF0-12AC-5CD89AEFDE03}"/>
    <w:embedBold r:id="rId4" w:fontKey="{04014A78-CABC-4EF0-12AC-5CD89AEFDE04}"/>
  </w:font>
  <w:font w:name="OpenSymbol">
    <w:altName w:val="Arial Unicode MS"/>
    <w:charset w:val="01"/>
    <w:family w:val="auto"/>
    <w:pitch w:val="default"/>
  </w:font>
  <w:font w:name="Courier New">
    <w:charset w:val="01"/>
    <w:family w:val="modern"/>
    <w:pitch w:val="fixed"/>
  </w:font>
  <w:font w:name="Wingdings">
    <w:charset w:val="02"/>
    <w:family w:val="auto"/>
    <w:pitch w:val="variable"/>
    <w:embedRegular r:id="rId2" w:fontKey="{02014A78-CABC-4EF0-12AC-5CD89AEFDE02}"/>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Times New Roman" w:hAnsi="Times New Roman" w:cs="Times New Roman"/>
        <w:b w:val="false"/>
        <w:bCs w:val="false"/>
      </w:rPr>
    </w:pPr>
    <w:r>
      <w:rPr>
        <w:rFonts w:cs="Times New Roman" w:ascii="Times New Roman" w:hAnsi="Times New Roman"/>
        <w:b w:val="false"/>
        <w:bCs w:val="false"/>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Times New Roman" w:hAnsi="Times New Roman" w:cs="Times New Roman"/>
        <w:b w:val="false"/>
        <w:bCs w:val="false"/>
      </w:rPr>
    </w:pPr>
    <w:r>
      <w:rPr>
        <w:rFonts w:cs="Times New Roman" w:ascii="Times New Roman" w:hAnsi="Times New Roman"/>
        <w:b w:val="false"/>
        <w:bCs w:val="false"/>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45973523"/>
      <w:docPartObj>
        <w:docPartGallery w:val="Page Numbers (Top of Page)"/>
        <w:docPartUnique w:val="true"/>
      </w:docPartObj>
    </w:sdtPr>
    <w:sdtContent>
      <w:p>
        <w:pPr>
          <w:pStyle w:val="Header"/>
          <w:jc w:val="end"/>
          <w:rPr>
            <w:rFonts w:ascii="Times New Roman" w:hAnsi="Times New Roman" w:cs="Times New Roman"/>
            <w:b w:val="false"/>
            <w:bCs w:val="false"/>
          </w:rPr>
        </w:pPr>
        <w:r>
          <w:rPr>
            <w:rFonts w:cs="Times New Roman" w:ascii="Times New Roman" w:hAnsi="Times New Roman"/>
            <w:b w:val="false"/>
            <w:bCs w:val="false"/>
          </w:rPr>
          <w:fldChar w:fldCharType="begin"/>
        </w:r>
        <w:r>
          <w:rPr>
            <w:rFonts w:cs="Times New Roman" w:ascii="Times New Roman" w:hAnsi="Times New Roman"/>
            <w:b w:val="false"/>
            <w:bCs w:val="false"/>
          </w:rPr>
          <w:instrText xml:space="preserve"> PAGE </w:instrText>
        </w:r>
        <w:r>
          <w:rPr>
            <w:rFonts w:cs="Times New Roman" w:ascii="Times New Roman" w:hAnsi="Times New Roman"/>
            <w:b w:val="false"/>
            <w:bCs w:val="false"/>
          </w:rPr>
          <w:fldChar w:fldCharType="separate"/>
        </w:r>
        <w:r>
          <w:rPr>
            <w:rFonts w:cs="Times New Roman" w:ascii="Times New Roman" w:hAnsi="Times New Roman"/>
            <w:b w:val="false"/>
            <w:bCs w:val="false"/>
          </w:rPr>
          <w:t>33</w:t>
        </w:r>
        <w:r>
          <w:rPr>
            <w:rFonts w:cs="Times New Roman" w:ascii="Times New Roman" w:hAnsi="Times New Roman"/>
            <w:b w:val="false"/>
            <w:bCs w:val="false"/>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45973523"/>
      <w:docPartObj>
        <w:docPartGallery w:val="Page Numbers (Top of Page)"/>
        <w:docPartUnique w:val="true"/>
      </w:docPartObj>
    </w:sdtPr>
    <w:sdtContent>
      <w:p>
        <w:pPr>
          <w:pStyle w:val="Header"/>
          <w:jc w:val="end"/>
          <w:rPr>
            <w:rFonts w:ascii="Times New Roman" w:hAnsi="Times New Roman" w:cs="Times New Roman"/>
            <w:b w:val="false"/>
            <w:bCs w:val="false"/>
          </w:rPr>
        </w:pPr>
        <w:r>
          <w:rPr>
            <w:rFonts w:cs="Times New Roman" w:ascii="Times New Roman" w:hAnsi="Times New Roman"/>
            <w:b w:val="false"/>
            <w:bCs w:val="false"/>
          </w:rPr>
          <w:fldChar w:fldCharType="begin"/>
        </w:r>
        <w:r>
          <w:rPr>
            <w:rFonts w:cs="Times New Roman" w:ascii="Times New Roman" w:hAnsi="Times New Roman"/>
            <w:b w:val="false"/>
            <w:bCs w:val="false"/>
          </w:rPr>
          <w:instrText xml:space="preserve"> PAGE </w:instrText>
        </w:r>
        <w:r>
          <w:rPr>
            <w:rFonts w:cs="Times New Roman" w:ascii="Times New Roman" w:hAnsi="Times New Roman"/>
            <w:b w:val="false"/>
            <w:bCs w:val="false"/>
          </w:rPr>
          <w:fldChar w:fldCharType="separate"/>
        </w:r>
        <w:r>
          <w:rPr>
            <w:rFonts w:cs="Times New Roman" w:ascii="Times New Roman" w:hAnsi="Times New Roman"/>
            <w:b w:val="false"/>
            <w:bCs w:val="false"/>
          </w:rPr>
          <w:t>33</w:t>
        </w:r>
        <w:r>
          <w:rPr>
            <w:rFonts w:cs="Times New Roman" w:ascii="Times New Roman" w:hAnsi="Times New Roman"/>
            <w:b w:val="false"/>
            <w:bCs w:val="false"/>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end"/>
      <w:pPr>
        <w:tabs>
          <w:tab w:val="num" w:pos="0"/>
        </w:tabs>
        <w:ind w:start="2269" w:hanging="360"/>
      </w:pPr>
      <w:rPr>
        <w:rFonts w:ascii="Times New Roman" w:hAnsi="Times New Roman" w:eastAsia="Times New Roman" w:cs="Times New Roman"/>
        <w:u w:val="none"/>
      </w:rPr>
    </w:lvl>
    <w:lvl w:ilvl="1">
      <w:start w:val="1"/>
      <w:numFmt w:val="bullet"/>
      <w:lvlText w:val="·"/>
      <w:lvlJc w:val="end"/>
      <w:pPr>
        <w:tabs>
          <w:tab w:val="num" w:pos="0"/>
        </w:tabs>
        <w:ind w:start="2989" w:hanging="360"/>
      </w:pPr>
      <w:rPr>
        <w:rFonts w:ascii="OpenSymbol" w:hAnsi="OpenSymbol" w:cs="OpenSymbol" w:hint="default"/>
        <w:u w:val="none"/>
      </w:rPr>
    </w:lvl>
    <w:lvl w:ilvl="2">
      <w:start w:val="1"/>
      <w:numFmt w:val="bullet"/>
      <w:lvlText w:val="·"/>
      <w:lvlJc w:val="end"/>
      <w:pPr>
        <w:tabs>
          <w:tab w:val="num" w:pos="0"/>
        </w:tabs>
        <w:ind w:start="3709" w:hanging="180"/>
      </w:pPr>
      <w:rPr>
        <w:rFonts w:ascii="OpenSymbol" w:hAnsi="OpenSymbol" w:cs="OpenSymbol" w:hint="default"/>
        <w:u w:val="none"/>
      </w:rPr>
    </w:lvl>
    <w:lvl w:ilvl="3">
      <w:start w:val="1"/>
      <w:numFmt w:val="bullet"/>
      <w:lvlText w:val="·"/>
      <w:lvlJc w:val="end"/>
      <w:pPr>
        <w:tabs>
          <w:tab w:val="num" w:pos="0"/>
        </w:tabs>
        <w:ind w:start="4429" w:hanging="360"/>
      </w:pPr>
      <w:rPr>
        <w:rFonts w:ascii="OpenSymbol" w:hAnsi="OpenSymbol" w:cs="OpenSymbol" w:hint="default"/>
        <w:u w:val="none"/>
      </w:rPr>
    </w:lvl>
    <w:lvl w:ilvl="4">
      <w:start w:val="1"/>
      <w:numFmt w:val="bullet"/>
      <w:lvlText w:val="·"/>
      <w:lvlJc w:val="end"/>
      <w:pPr>
        <w:tabs>
          <w:tab w:val="num" w:pos="0"/>
        </w:tabs>
        <w:ind w:start="5149" w:hanging="360"/>
      </w:pPr>
      <w:rPr>
        <w:rFonts w:ascii="OpenSymbol" w:hAnsi="OpenSymbol" w:cs="OpenSymbol" w:hint="default"/>
        <w:u w:val="none"/>
      </w:rPr>
    </w:lvl>
    <w:lvl w:ilvl="5">
      <w:start w:val="1"/>
      <w:numFmt w:val="bullet"/>
      <w:lvlText w:val="·"/>
      <w:lvlJc w:val="end"/>
      <w:pPr>
        <w:tabs>
          <w:tab w:val="num" w:pos="0"/>
        </w:tabs>
        <w:ind w:start="5869" w:hanging="180"/>
      </w:pPr>
      <w:rPr>
        <w:rFonts w:ascii="OpenSymbol" w:hAnsi="OpenSymbol" w:cs="OpenSymbol" w:hint="default"/>
        <w:u w:val="none"/>
      </w:rPr>
    </w:lvl>
    <w:lvl w:ilvl="6">
      <w:start w:val="1"/>
      <w:numFmt w:val="bullet"/>
      <w:lvlText w:val="·"/>
      <w:lvlJc w:val="end"/>
      <w:pPr>
        <w:tabs>
          <w:tab w:val="num" w:pos="0"/>
        </w:tabs>
        <w:ind w:start="6589" w:hanging="360"/>
      </w:pPr>
      <w:rPr>
        <w:rFonts w:ascii="OpenSymbol" w:hAnsi="OpenSymbol" w:cs="OpenSymbol" w:hint="default"/>
        <w:u w:val="none"/>
      </w:rPr>
    </w:lvl>
    <w:lvl w:ilvl="7">
      <w:start w:val="1"/>
      <w:numFmt w:val="bullet"/>
      <w:lvlText w:val="·"/>
      <w:lvlJc w:val="end"/>
      <w:pPr>
        <w:tabs>
          <w:tab w:val="num" w:pos="0"/>
        </w:tabs>
        <w:ind w:start="7309" w:hanging="360"/>
      </w:pPr>
      <w:rPr>
        <w:rFonts w:ascii="OpenSymbol" w:hAnsi="OpenSymbol" w:cs="OpenSymbol" w:hint="default"/>
        <w:u w:val="none"/>
      </w:rPr>
    </w:lvl>
    <w:lvl w:ilvl="8">
      <w:start w:val="1"/>
      <w:numFmt w:val="bullet"/>
      <w:lvlText w:val="·"/>
      <w:lvlJc w:val="end"/>
      <w:pPr>
        <w:tabs>
          <w:tab w:val="num" w:pos="0"/>
        </w:tabs>
        <w:ind w:start="8029" w:hanging="180"/>
      </w:pPr>
      <w:rPr>
        <w:rFonts w:ascii="OpenSymbol" w:hAnsi="OpenSymbol" w:cs="OpenSymbol" w:hint="default"/>
        <w:u w:val="none"/>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2">
    <w:lvl w:ilvl="0">
      <w:start w:val="6"/>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3">
    <w:lvl w:ilvl="0">
      <w:start w:val="7"/>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8"/>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5">
    <w:lvl w:ilvl="0">
      <w:start w:val="9"/>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6">
    <w:lvl w:ilvl="0">
      <w:start w:val="10"/>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7">
    <w:lvl w:ilvl="0">
      <w:start w:val="1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8">
    <w:lvl w:ilvl="0">
      <w:start w:val="1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9">
    <w:lvl w:ilvl="0">
      <w:start w:val="1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0">
    <w:lvl w:ilvl="0">
      <w:start w:val="1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1">
    <w:lvl w:ilvl="0">
      <w:start w:val="1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2">
    <w:lvl w:ilvl="0">
      <w:start w:val="16"/>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4">
    <w:lvl w:ilvl="0">
      <w:start w:val="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5">
    <w:lvl w:ilvl="0">
      <w:start w:val="3"/>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6">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7">
    <w:lvl w:ilvl="0">
      <w:start w:val="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8">
    <w:lvl w:ilvl="0">
      <w:start w:val="6"/>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9">
    <w:lvl w:ilvl="0">
      <w:start w:val="7"/>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0">
    <w:lvl w:ilvl="0">
      <w:start w:val="8"/>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2">
    <w:lvl w:ilvl="0">
      <w:start w:val="1"/>
      <w:numFmt w:val="decimal"/>
      <w:lvlText w:val="%1."/>
      <w:lvlJc w:val="start"/>
      <w:pPr>
        <w:tabs>
          <w:tab w:val="num" w:pos="0"/>
        </w:tabs>
        <w:ind w:start="1211" w:hanging="360"/>
      </w:pPr>
      <w:rPr>
        <w:rFonts w:ascii="Times New Roman" w:hAnsi="Times New Roman" w:eastAsia="Times New Roman" w:cs="Times New Roman"/>
        <w:sz w:val="24"/>
      </w:rPr>
    </w:lvl>
    <w:lvl w:ilvl="1">
      <w:start w:val="1"/>
      <w:numFmt w:val="lowerLetter"/>
      <w:lvlText w:val="%2."/>
      <w:lvlJc w:val="start"/>
      <w:pPr>
        <w:tabs>
          <w:tab w:val="num" w:pos="0"/>
        </w:tabs>
        <w:ind w:start="1931" w:hanging="360"/>
      </w:pPr>
      <w:rPr/>
    </w:lvl>
    <w:lvl w:ilvl="2">
      <w:start w:val="1"/>
      <w:numFmt w:val="lowerRoman"/>
      <w:lvlText w:val="%3."/>
      <w:lvlJc w:val="end"/>
      <w:pPr>
        <w:tabs>
          <w:tab w:val="num" w:pos="0"/>
        </w:tabs>
        <w:ind w:start="2651" w:hanging="180"/>
      </w:pPr>
      <w:rPr/>
    </w:lvl>
    <w:lvl w:ilvl="3">
      <w:start w:val="1"/>
      <w:numFmt w:val="decimal"/>
      <w:lvlText w:val="%4."/>
      <w:lvlJc w:val="start"/>
      <w:pPr>
        <w:tabs>
          <w:tab w:val="num" w:pos="0"/>
        </w:tabs>
        <w:ind w:start="3371" w:hanging="360"/>
      </w:pPr>
      <w:rPr/>
    </w:lvl>
    <w:lvl w:ilvl="4">
      <w:start w:val="1"/>
      <w:numFmt w:val="lowerLetter"/>
      <w:lvlText w:val="%5."/>
      <w:lvlJc w:val="start"/>
      <w:pPr>
        <w:tabs>
          <w:tab w:val="num" w:pos="0"/>
        </w:tabs>
        <w:ind w:start="4091" w:hanging="360"/>
      </w:pPr>
      <w:rPr/>
    </w:lvl>
    <w:lvl w:ilvl="5">
      <w:start w:val="1"/>
      <w:numFmt w:val="lowerRoman"/>
      <w:lvlText w:val="%6."/>
      <w:lvlJc w:val="end"/>
      <w:pPr>
        <w:tabs>
          <w:tab w:val="num" w:pos="0"/>
        </w:tabs>
        <w:ind w:start="4811" w:hanging="180"/>
      </w:pPr>
      <w:rPr/>
    </w:lvl>
    <w:lvl w:ilvl="6">
      <w:start w:val="1"/>
      <w:numFmt w:val="decimal"/>
      <w:lvlText w:val="%7."/>
      <w:lvlJc w:val="start"/>
      <w:pPr>
        <w:tabs>
          <w:tab w:val="num" w:pos="0"/>
        </w:tabs>
        <w:ind w:start="5531" w:hanging="360"/>
      </w:pPr>
      <w:rPr/>
    </w:lvl>
    <w:lvl w:ilvl="7">
      <w:start w:val="1"/>
      <w:numFmt w:val="lowerLetter"/>
      <w:lvlText w:val="%8."/>
      <w:lvlJc w:val="start"/>
      <w:pPr>
        <w:tabs>
          <w:tab w:val="num" w:pos="0"/>
        </w:tabs>
        <w:ind w:start="6251" w:hanging="360"/>
      </w:pPr>
      <w:rPr/>
    </w:lvl>
    <w:lvl w:ilvl="8">
      <w:start w:val="1"/>
      <w:numFmt w:val="lowerRoman"/>
      <w:lvlText w:val="%9."/>
      <w:lvlJc w:val="end"/>
      <w:pPr>
        <w:tabs>
          <w:tab w:val="num" w:pos="0"/>
        </w:tabs>
        <w:ind w:start="6971" w:hanging="180"/>
      </w:pPr>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b/>
        <w:bCs/>
        <w:sz w:val="24"/>
        <w:szCs w:val="24"/>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ind w:hanging="360" w:start="720"/>
      <w:jc w:val="both"/>
    </w:pPr>
    <w:rPr>
      <w:rFonts w:ascii="Arial" w:hAnsi="Arial" w:eastAsia="Arial" w:cs="Arial"/>
      <w:b/>
      <w:bCs/>
      <w:color w:val="auto"/>
      <w:kern w:val="0"/>
      <w:sz w:val="24"/>
      <w:szCs w:val="24"/>
      <w:lang w:val="pt-BR" w:eastAsia="pt-BR"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b w:val="false"/>
      <w:bCs w:val="false"/>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b w:val="false"/>
      <w:bCs w:val="false"/>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sz w:val="22"/>
      <w:szCs w:val="22"/>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695145"/>
    <w:rPr/>
  </w:style>
  <w:style w:type="character" w:styleId="RodapChar" w:customStyle="1">
    <w:name w:val="Rodapé Char"/>
    <w:basedOn w:val="DefaultParagraphFont"/>
    <w:uiPriority w:val="99"/>
    <w:qFormat/>
    <w:rsid w:val="00695145"/>
    <w:rPr/>
  </w:style>
  <w:style w:type="character" w:styleId="Strong">
    <w:name w:val="Strong"/>
    <w:basedOn w:val="DefaultParagraphFont"/>
    <w:uiPriority w:val="22"/>
    <w:qFormat/>
    <w:rsid w:val="000e42b2"/>
    <w:rPr>
      <w:b w:val="false"/>
      <w:bCs w:val="false"/>
    </w:rPr>
  </w:style>
  <w:style w:type="character" w:styleId="Hyperlink">
    <w:name w:val="Hyperlink"/>
    <w:basedOn w:val="DefaultParagraphFont"/>
    <w:uiPriority w:val="99"/>
    <w:unhideWhenUsed/>
    <w:rsid w:val="00dd4ba3"/>
    <w:rPr>
      <w:color w:themeColor="hyperlink" w:val="0000FF"/>
      <w:u w:val="single"/>
    </w:rPr>
  </w:style>
  <w:style w:type="character" w:styleId="PargrafodaListaChar" w:customStyle="1">
    <w:name w:val="Parágrafo da Lista Char"/>
    <w:basedOn w:val="DefaultParagraphFont"/>
    <w:link w:val="ListParagraph"/>
    <w:uiPriority w:val="34"/>
    <w:qFormat/>
    <w:rsid w:val="00a85d5e"/>
    <w:rPr/>
  </w:style>
  <w:style w:type="character" w:styleId="TTULOChar" w:customStyle="1">
    <w:name w:val="TÍTULO Char"/>
    <w:basedOn w:val="PargrafodaListaChar"/>
    <w:link w:val="TTULO1"/>
    <w:qFormat/>
    <w:rsid w:val="00dd4ba3"/>
    <w:rPr>
      <w:rFonts w:ascii="Times New Roman" w:hAnsi="Times New Roman" w:eastAsia="Times New Roman" w:cs="Times New Roman"/>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Cabealhoerodap">
    <w:name w:val="Cabeçalho e rodapé"/>
    <w:basedOn w:val="Normal"/>
    <w:qFormat/>
    <w:pPr/>
    <w:rPr/>
  </w:style>
  <w:style w:type="paragraph" w:styleId="Header">
    <w:name w:val="header"/>
    <w:basedOn w:val="Normal"/>
    <w:link w:val="CabealhoChar"/>
    <w:uiPriority w:val="99"/>
    <w:unhideWhenUsed/>
    <w:rsid w:val="00695145"/>
    <w:pPr>
      <w:tabs>
        <w:tab w:val="clear" w:pos="720"/>
        <w:tab w:val="center" w:pos="4252" w:leader="none"/>
        <w:tab w:val="right" w:pos="8504" w:leader="none"/>
      </w:tabs>
    </w:pPr>
    <w:rPr/>
  </w:style>
  <w:style w:type="paragraph" w:styleId="Footer">
    <w:name w:val="footer"/>
    <w:basedOn w:val="Normal"/>
    <w:link w:val="RodapChar"/>
    <w:uiPriority w:val="99"/>
    <w:unhideWhenUsed/>
    <w:rsid w:val="00695145"/>
    <w:pPr>
      <w:tabs>
        <w:tab w:val="clear" w:pos="720"/>
        <w:tab w:val="center" w:pos="4252" w:leader="none"/>
        <w:tab w:val="right" w:pos="8504" w:leader="none"/>
      </w:tabs>
    </w:pPr>
    <w:rPr/>
  </w:style>
  <w:style w:type="paragraph" w:styleId="NormalWeb">
    <w:name w:val="Normal (Web)"/>
    <w:basedOn w:val="Normal"/>
    <w:uiPriority w:val="99"/>
    <w:unhideWhenUsed/>
    <w:qFormat/>
    <w:rsid w:val="000e42b2"/>
    <w:pPr>
      <w:spacing w:beforeAutospacing="1" w:afterAutospacing="1"/>
      <w:ind w:hanging="0" w:start="0"/>
      <w:jc w:val="start"/>
    </w:pPr>
    <w:rPr>
      <w:rFonts w:ascii="Times New Roman" w:hAnsi="Times New Roman" w:eastAsia="Times New Roman" w:cs="Times New Roman"/>
      <w:b w:val="false"/>
      <w:bCs w:val="false"/>
    </w:rPr>
  </w:style>
  <w:style w:type="paragraph" w:styleId="ListParagraph">
    <w:name w:val="List Paragraph"/>
    <w:basedOn w:val="Normal"/>
    <w:link w:val="PargrafodaListaChar"/>
    <w:uiPriority w:val="34"/>
    <w:qFormat/>
    <w:rsid w:val="002543b4"/>
    <w:pPr>
      <w:spacing w:before="0" w:after="0"/>
      <w:contextualSpacing/>
    </w:pPr>
    <w:rPr/>
  </w:style>
  <w:style w:type="paragraph" w:styleId="TTULO1" w:customStyle="1">
    <w:name w:val="TÍTULO"/>
    <w:basedOn w:val="ListParagraph"/>
    <w:link w:val="TTULOChar"/>
    <w:qFormat/>
    <w:rsid w:val="00dd4ba3"/>
    <w:pPr>
      <w:widowControl w:val="false"/>
      <w:numPr>
        <w:ilvl w:val="0"/>
        <w:numId w:val="32"/>
      </w:numPr>
      <w:spacing w:lineRule="auto" w:line="360"/>
      <w:ind w:hanging="426" w:start="426"/>
      <w:jc w:val="start"/>
    </w:pPr>
    <w:rPr>
      <w:rFonts w:ascii="Times New Roman" w:hAnsi="Times New Roman" w:eastAsia="Times New Roman" w:cs="Times New Roman"/>
    </w:rPr>
  </w:style>
  <w:style w:type="paragraph" w:styleId="TOC1">
    <w:name w:val="toc 1"/>
    <w:basedOn w:val="Normal"/>
    <w:next w:val="Normal"/>
    <w:autoRedefine/>
    <w:uiPriority w:val="39"/>
    <w:unhideWhenUsed/>
    <w:rsid w:val="00dd4ba3"/>
    <w:pPr>
      <w:tabs>
        <w:tab w:val="clear" w:pos="720"/>
        <w:tab w:val="right" w:pos="9064" w:leader="dot"/>
      </w:tabs>
      <w:spacing w:before="0" w:after="100"/>
      <w:ind w:start="0"/>
      <w:jc w:val="center"/>
    </w:pPr>
    <w:rPr>
      <w:rFonts w:ascii="Times New Roman" w:hAnsi="Times New Roman" w:cs="Times New Roman"/>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yperlink" Target="mailto:glaucielen.gomes@uepa.br" TargetMode="External"/><Relationship Id="rId7" Type="http://schemas.openxmlformats.org/officeDocument/2006/relationships/hyperlink" Target="mailto:clara.mvaraujo@aluno.uepa.br" TargetMode="Externa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8D137-9EAD-4C08-B7DD-65E2F4802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LibreOffice/26.2.5.2$Windows_X86_64 LibreOffice_project/cd7284b4cbbfeb507e630c1aac019f4157393acb</Application>
  <AppVersion>15.0000</AppVersion>
  <Pages>4</Pages>
  <Words>5969</Words>
  <Characters>35461</Characters>
  <CharactersWithSpaces>41334</CharactersWithSpaces>
  <Paragraphs>363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2026-06-07T17:32:00Z</dcterms:created>
  <dc:creator>Clara Araújo</dc:creator>
  <dc:description/>
  <dc:language>pt-BR</dc:language>
  <cp:lastModifiedBy>Clara</cp:lastModifiedBy>
  <dcterms:modified xsi:type="dcterms:W3CDTF">2026-06-07T17:48:00Z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