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Funktionale Leistungsbeschreibung – Photovoltaikanlage auf einem Gemeindegebäude</w:t>
      </w:r>
    </w:p>
    <w:p>
      <w:pPr>
        <w:spacing w:after="240"/>
      </w:pPr>
      <w:r>
        <w:rPr>
          <w:color w:val="555555"/>
          <w:sz w:val="20"/>
          <w:szCs w:val="20"/>
        </w:rPr>
        <w:t xml:space="preserve">Muster für öffentliche Auftraggeber · herstellerneutral · Version 1.0 · Stand 11.10.2026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c>
          <w:tcPr>
            <w:tcW w:type="pct" w:w="1750"/>
          </w:tcPr>
          <w:p>
            <w:r>
              <w:rPr>
                <w:b/>
                <w:bCs/>
              </w:rPr>
              <w:t xml:space="preserve">Auftraggeberin</w:t>
            </w:r>
          </w:p>
        </w:tc>
        <w:tc>
          <w:tcPr>
            <w:tcW w:type="pct" w:w="3250"/>
          </w:tcPr>
          <w:p>
            <w:r>
              <w:t xml:space="preserve">Gemeinde [__]</w:t>
            </w:r>
          </w:p>
        </w:tc>
      </w:tr>
      <w:tr>
        <w:tc>
          <w:tcPr>
            <w:tcW w:type="pct" w:w="1750"/>
          </w:tcPr>
          <w:p>
            <w:r>
              <w:rPr>
                <w:b/>
                <w:bCs/>
              </w:rPr>
              <w:t xml:space="preserve">Liegenschaft</w:t>
            </w:r>
          </w:p>
        </w:tc>
        <w:tc>
          <w:tcPr>
            <w:tcW w:type="pct" w:w="3250"/>
          </w:tcPr>
          <w:p>
            <w:r>
              <w:t xml:space="preserve">[__]</w:t>
            </w:r>
          </w:p>
        </w:tc>
      </w:tr>
      <w:tr>
        <w:tc>
          <w:tcPr>
            <w:tcW w:type="pct" w:w="1750"/>
          </w:tcPr>
          <w:p>
            <w:r>
              <w:rPr>
                <w:b/>
                <w:bCs/>
              </w:rPr>
              <w:t xml:space="preserve">Anlagenleistung</w:t>
            </w:r>
          </w:p>
        </w:tc>
        <w:tc>
          <w:tcPr>
            <w:tcW w:type="pct" w:w="3250"/>
          </w:tcPr>
          <w:p>
            <w:r>
              <w:t xml:space="preserve">rund [__] kWp, Speicher [__] kWh</w:t>
            </w:r>
          </w:p>
        </w:tc>
      </w:tr>
      <w:tr>
        <w:tc>
          <w:tcPr>
            <w:tcW w:type="pct" w:w="1750"/>
          </w:tcPr>
          <w:p>
            <w:r>
              <w:rPr>
                <w:b/>
                <w:bCs/>
              </w:rPr>
              <w:t xml:space="preserve">Vergabeverfahren</w:t>
            </w:r>
          </w:p>
        </w:tc>
        <w:tc>
          <w:tcPr>
            <w:tcW w:type="pct" w:w="3250"/>
          </w:tcPr>
          <w:p>
            <w:r>
              <w:t xml:space="preserve">[__] nach BVergG 2018</w:t>
            </w:r>
          </w:p>
        </w:tc>
      </w:tr>
      <w:tr>
        <w:tc>
          <w:tcPr>
            <w:tcW w:type="pct" w:w="1750"/>
          </w:tcPr>
          <w:p>
            <w:r>
              <w:rPr>
                <w:b/>
                <w:bCs/>
              </w:rPr>
              <w:t xml:space="preserve">Angebotsfrist</w:t>
            </w:r>
          </w:p>
        </w:tc>
        <w:tc>
          <w:tcPr>
            <w:tcW w:type="pct" w:w="3250"/>
          </w:tcPr>
          <w:p>
            <w:r>
              <w:t xml:space="preserve">[Datum, Uhrzeit]</w:t>
            </w:r>
          </w:p>
        </w:tc>
      </w:tr>
    </w:tbl>
    <w:p>
      <w:pPr>
        <w:spacing w:after="120"/>
      </w:pPr>
    </w:p>
    <w:p>
      <w:pPr>
        <w:pStyle w:val="Heading1"/>
        <w:spacing w:after="120" w:before="280"/>
      </w:pPr>
      <w:r>
        <w:t xml:space="preserve">Vorbemerkung und Rechtsvorbehalt</w:t>
      </w:r>
    </w:p>
    <w:p>
      <w:pPr>
        <w:spacing w:after="120"/>
      </w:pPr>
      <w:r>
        <w:t xml:space="preserve">Dieses Muster ist eine Arbeitshilfe für Gemeinden, Gemeindeverbände und Stadtwerke. Es ersetzt keine Rechtsberatung und keine Fachplanung. Platzhalter in eckigen Klammern [__] sind auszufüllen; nicht zutreffende Positionen sind zu streichen.</w:t>
      </w:r>
    </w:p>
    <w:p>
      <w:pPr>
        <w:spacing w:after="120"/>
      </w:pPr>
      <w:r>
        <w:t xml:space="preserve">Hinweis zu § 25 BVergG 2018 (Vorarbeiten): Hat ein Unternehmen an der Vorbereitung des Vergabeverfahrens mitgewirkt – etwa durch Vorplanung, Potenzialanalyse oder Textbausteine –, ist das offenzulegen und so auszugleichen, dass dem Unternehmen daraus kein Wettbewerbsvorteil erwächst (z. B. durch Weitergabe aller Informationen an alle Bieter und angemessene Fristen). Dieses Muster ist öffentlich zugänglich, wurde nicht für ein bestimmtes Verfahren erstellt und steht allen Bietern gleichermaßen zur Verfügung.</w:t>
      </w:r>
    </w:p>
    <w:p>
      <w:pPr>
        <w:spacing w:after="120"/>
      </w:pPr>
      <w:r>
        <w:t xml:space="preserve">Offenlegung: Herausgeberin dieses Musters ist die Ökovolt Solartechnik GmbH (FN 375708m), ein Elektrotechnik-Fachbetrieb, der sich an Vergabeverfahren für Photovoltaik beteiligen kann. Verwendet die Gemeinde dieses Muster und gibt das Unternehmen ein Angebot ab, empfiehlt es sich, das im Vergabevermerk festzuhalten und allen Bietern dieselben Unterlagen und Fristen zu geben.</w:t>
      </w:r>
    </w:p>
    <w:p>
      <w:pPr>
        <w:spacing w:after="120"/>
      </w:pPr>
      <w:r>
        <w:t xml:space="preserve">Vergaberecht: Auftragswert nach § 13 BVergG schätzen (Gesamtwert ohne Umsatzsteuer, inkl. Optionen), Verfahren nach §§ 43, 46, 47 BVergG 2018 idF Vergaberechtsgesetz 2026 wählen. Bei Direktvergabe über 50.000 € netto um mindestens drei Angebote oder Preisauskünfte bemühen und die Vergabe dokumentieren (§ 46 Abs. 4 und 5).</w:t>
      </w:r>
    </w:p>
    <w:p>
      <w:pPr>
        <w:pStyle w:val="Heading1"/>
        <w:spacing w:after="120" w:before="280"/>
      </w:pPr>
      <w:r>
        <w:t xml:space="preserve">1. Auftraggeber und Vorhaben</w:t>
      </w:r>
    </w:p>
    <w:p>
      <w:pPr>
        <w:spacing w:after="120"/>
      </w:pPr>
      <w:r>
        <w:t xml:space="preserve">Auftraggeberin: Gemeinde [__], [Adresse], Ansprechperson [__], E-Mail [__], Telefon [__].</w:t>
      </w:r>
    </w:p>
    <w:p>
      <w:pPr>
        <w:pStyle w:val="ListParagraph"/>
        <w:numPr>
          <w:ilvl w:val="0"/>
          <w:numId w:val="1"/>
        </w:numPr>
        <w:spacing w:after="80"/>
      </w:pPr>
      <w:r>
        <w:t xml:space="preserve">Liegenschaft: [Bezeichnung, Adresse, Grundstücksnummer, KG]; Gebäudenutzung: [Schule / Bauhof / Kläranlage / Amt / …].</w:t>
      </w:r>
    </w:p>
    <w:p>
      <w:pPr>
        <w:pStyle w:val="ListParagraph"/>
        <w:numPr>
          <w:ilvl w:val="0"/>
          <w:numId w:val="1"/>
        </w:numPr>
        <w:spacing w:after="80"/>
      </w:pPr>
      <w:r>
        <w:t xml:space="preserve">Vorhaben: Lieferung, Montage und Inbetriebnahme einer netzgekoppelten Photovoltaikanlage mit rund [__] kWp; optional Stromspeicher mit rund [__] kWh nutzbarer Kapazität.</w:t>
      </w:r>
    </w:p>
    <w:p>
      <w:pPr>
        <w:pStyle w:val="ListParagraph"/>
        <w:numPr>
          <w:ilvl w:val="0"/>
          <w:numId w:val="1"/>
        </w:numPr>
        <w:spacing w:after="80"/>
      </w:pPr>
      <w:r>
        <w:t xml:space="preserve">Einordnung der Leistung: [Bauauftrag / Lieferauftrag] nach dem Hauptgegenstand (Begründung im Vergabevermerk).</w:t>
      </w:r>
    </w:p>
    <w:p>
      <w:pPr>
        <w:pStyle w:val="ListParagraph"/>
        <w:numPr>
          <w:ilvl w:val="0"/>
          <w:numId w:val="1"/>
        </w:numPr>
        <w:spacing w:after="80"/>
      </w:pPr>
      <w:r>
        <w:t xml:space="preserve">Vergabeverfahren: [Direktvergabe § 46 / Direktvergabe mit vorheriger Bekanntmachung § 47 / nicht offenes Verfahren ohne Bekanntmachung § 43 / Verfahren mit Bekanntmachung].</w:t>
      </w:r>
    </w:p>
    <w:p>
      <w:pPr>
        <w:pStyle w:val="ListParagraph"/>
        <w:numPr>
          <w:ilvl w:val="0"/>
          <w:numId w:val="1"/>
        </w:numPr>
        <w:spacing w:after="80"/>
      </w:pPr>
      <w:r>
        <w:t xml:space="preserve">Ausführungszeitraum: Beginn [__], Fertigstellung und Inbetriebnahme bis [__] (Förderfristen beachten, siehe Abschnitt 5).</w:t>
      </w:r>
    </w:p>
    <w:p>
      <w:pPr>
        <w:pStyle w:val="Heading1"/>
        <w:spacing w:after="120" w:before="280"/>
      </w:pPr>
      <w:r>
        <w:t xml:space="preserve">2. Leistungsumfang (funktional)</w:t>
      </w:r>
    </w:p>
    <w:p>
      <w:pPr>
        <w:spacing w:after="120"/>
      </w:pPr>
      <w:r>
        <w:t xml:space="preserve">Die Bieterin bzw. der Bieter schuldet eine funktionsfähige, geprüfte und dokumentierte Anlage. Der Leistungsumfang umfasst insbesondere:</w:t>
      </w:r>
    </w:p>
    <w:p>
      <w:pPr>
        <w:pStyle w:val="ListParagraph"/>
        <w:numPr>
          <w:ilvl w:val="0"/>
          <w:numId w:val="1"/>
        </w:numPr>
        <w:spacing w:after="80"/>
      </w:pPr>
      <w:r>
        <w:t xml:space="preserve">Planung: Ausführungs- und Elektroplanung, Belegungsplan, Stringplanung, Ertragsprognose (Methode angeben, z. B. PVGIS), statische Beurteilung der Dachtragfähigkeit durch eine befugte Person, Nachweis der Durchdringungen und der Dachhaut-Verträglichkeit.</w:t>
      </w:r>
    </w:p>
    <w:p>
      <w:pPr>
        <w:pStyle w:val="ListParagraph"/>
        <w:numPr>
          <w:ilvl w:val="0"/>
          <w:numId w:val="1"/>
        </w:numPr>
        <w:spacing w:after="80"/>
      </w:pPr>
      <w:r>
        <w:t xml:space="preserve">Lieferung und Montage: Module, Wechselrichter, Unterkonstruktion, DC- und AC-Verkabelung, Schutz- und Trenneinrichtungen, Zählerplatz-Adaptierung, Potentialausgleich, Blitz- und Überspannungsschutzkonzept, Beschilderung und Kennzeichnung.</w:t>
      </w:r>
    </w:p>
    <w:p>
      <w:pPr>
        <w:pStyle w:val="ListParagraph"/>
        <w:numPr>
          <w:ilvl w:val="0"/>
          <w:numId w:val="1"/>
        </w:numPr>
        <w:spacing w:after="80"/>
      </w:pPr>
      <w:r>
        <w:t xml:space="preserve">Netzanschluss: Netzzugangsantrag und Abstimmung mit dem Netzbetreiber, Umsetzung der Vorgaben aus der Netzzugangsauskunft (Anschlusspunkt, Wirkleistungsbegrenzung, Steuerbarkeit), Fertigstellungsmeldung, Koordination des Zählertausches.</w:t>
      </w:r>
    </w:p>
    <w:p>
      <w:pPr>
        <w:pStyle w:val="ListParagraph"/>
        <w:numPr>
          <w:ilvl w:val="0"/>
          <w:numId w:val="1"/>
        </w:numPr>
        <w:spacing w:after="80"/>
      </w:pPr>
      <w:r>
        <w:t xml:space="preserve">Inbetriebnahme und Prüfung: Erstprüfung und Protokoll nach ÖVE/ÖNORM EN 62446-1, Messprotokolle (Isolationswiderstand, Leerlaufspannung, Kurzschlussstrom je String, Erdung/Potentialausgleich), Funktionsprüfung Monitoring.</w:t>
      </w:r>
    </w:p>
    <w:p>
      <w:pPr>
        <w:pStyle w:val="ListParagraph"/>
        <w:numPr>
          <w:ilvl w:val="0"/>
          <w:numId w:val="1"/>
        </w:numPr>
        <w:spacing w:after="80"/>
      </w:pPr>
      <w:r>
        <w:t xml:space="preserve">Dokumentation: Anlagenbuch mit Schaltplänen, Stringplan, Datenblättern, Konformitätserklärungen, Prüfprotokollen, Netzbetreiber-Unterlagen, Bedienungsanleitungen – in Papierform und digital (PDF).</w:t>
      </w:r>
    </w:p>
    <w:p>
      <w:pPr>
        <w:pStyle w:val="ListParagraph"/>
        <w:numPr>
          <w:ilvl w:val="0"/>
          <w:numId w:val="1"/>
        </w:numPr>
        <w:spacing w:after="80"/>
      </w:pPr>
      <w:r>
        <w:t xml:space="preserve">Einweisung: Einschulung von [__] Personen der Gemeinde (Betrieb, Störungsverhalten, Monitoring, Freischaltung im Notfall).</w:t>
      </w:r>
    </w:p>
    <w:p>
      <w:pPr>
        <w:pStyle w:val="ListParagraph"/>
        <w:numPr>
          <w:ilvl w:val="0"/>
          <w:numId w:val="1"/>
        </w:numPr>
        <w:spacing w:after="80"/>
      </w:pPr>
      <w:r>
        <w:t xml:space="preserve">Monitoring: Anlagenüberwachung mit Zugriff für die Gemeinde (Erzeugung, Störungsmeldung); Schnittstelle für Energiebuchhaltung bzw. Energiegemeinschaft [falls gewünscht].</w:t>
      </w:r>
    </w:p>
    <w:p>
      <w:pPr>
        <w:pStyle w:val="ListParagraph"/>
        <w:numPr>
          <w:ilvl w:val="0"/>
          <w:numId w:val="1"/>
        </w:numPr>
        <w:spacing w:after="80"/>
      </w:pPr>
      <w:r>
        <w:t xml:space="preserve">Unterstützung bei der Förderabwicklung (EAG-Investitionszuschuss) gemäß Abschnitt 5.</w:t>
      </w:r>
    </w:p>
    <w:p>
      <w:pPr>
        <w:pStyle w:val="ListParagraph"/>
        <w:numPr>
          <w:ilvl w:val="0"/>
          <w:numId w:val="1"/>
        </w:numPr>
        <w:spacing w:after="80"/>
      </w:pPr>
      <w:r>
        <w:t xml:space="preserve">Optional (eigene Preisposition): Wartungsvertrag gemäß Abschnitt 6.</w:t>
      </w:r>
    </w:p>
    <w:p>
      <w:pPr>
        <w:pStyle w:val="Heading1"/>
        <w:spacing w:after="120" w:before="280"/>
      </w:pPr>
      <w:r>
        <w:t xml:space="preserve">3. Technische Mindestanforderungen (herstellerneutral)</w:t>
      </w:r>
    </w:p>
    <w:p>
      <w:pPr>
        <w:spacing w:after="120"/>
      </w:pPr>
      <w:r>
        <w:t xml:space="preserve">Produktnamen werden nicht vorgegeben. Zulässig sind alle Produkte, die die folgenden Anforderungen nachweislich erfüllen (gleichwertig).</w:t>
      </w:r>
    </w:p>
    <w:p>
      <w:pPr>
        <w:pStyle w:val="ListParagraph"/>
        <w:numPr>
          <w:ilvl w:val="0"/>
          <w:numId w:val="1"/>
        </w:numPr>
        <w:spacing w:after="80"/>
      </w:pPr>
      <w:r>
        <w:t xml:space="preserve">Module: kristalline Siliziummodule, Nennleistung je Modul mindestens [__] Wp, nur positive Leistungstoleranz, Produktgarantie mindestens [__] Jahre, lineare Leistungsgarantie mindestens [__] Jahre, Prüfung nach IEC 61215 und IEC 61730, Schneelastklasse passend zum Standort (Nachweis).</w:t>
      </w:r>
    </w:p>
    <w:p>
      <w:pPr>
        <w:pStyle w:val="ListParagraph"/>
        <w:numPr>
          <w:ilvl w:val="0"/>
          <w:numId w:val="1"/>
        </w:numPr>
        <w:spacing w:after="80"/>
      </w:pPr>
      <w:r>
        <w:t xml:space="preserve">Wechselrichter: Anforderungen der TOR Erzeuger (Typ A bzw. Typ B je Anlagenleistung) und der Netzzugangsauskunft; Steuerbarkeit und Begrenzung der Einspeiseleistung (z. B. Spitzenkappung nach ElWG) technisch vorbereitet; europäischer Wirkungsgrad mindestens [__] %; Datenschnittstelle für Monitoring; Herstellergarantie mindestens [__] Jahre.</w:t>
      </w:r>
    </w:p>
    <w:p>
      <w:pPr>
        <w:pStyle w:val="ListParagraph"/>
        <w:numPr>
          <w:ilvl w:val="0"/>
          <w:numId w:val="1"/>
        </w:numPr>
        <w:spacing w:after="80"/>
      </w:pPr>
      <w:r>
        <w:t xml:space="preserve">Speicher (falls beauftragt): nutzbare Kapazität [__] kWh, Zyklenfestigkeit bzw. Garantie [__] Jahre oder [__] Zyklen, Notstrom-/Ersatzstromfunktion [ja/nein], Aufstellung nach den Vorgaben der OVE-Richtlinie R 11-1 und des Brandschutzes.</w:t>
      </w:r>
    </w:p>
    <w:p>
      <w:pPr>
        <w:pStyle w:val="ListParagraph"/>
        <w:numPr>
          <w:ilvl w:val="0"/>
          <w:numId w:val="1"/>
        </w:numPr>
        <w:spacing w:after="80"/>
      </w:pPr>
      <w:r>
        <w:t xml:space="preserve">Unterkonstruktion: statisch nachgewiesen für Schnee- und Windlasten nach ÖNORM EN 1991-1-3 und 1991-1-4 samt nationalen Anhängen, korrosionsgeschützt (Aluminium/Edelstahl), ohne Beeinträchtigung der Dachabdichtung; Ballastierung bzw. Befestigung mit Nachweis.</w:t>
      </w:r>
    </w:p>
    <w:p>
      <w:pPr>
        <w:pStyle w:val="ListParagraph"/>
        <w:numPr>
          <w:ilvl w:val="0"/>
          <w:numId w:val="1"/>
        </w:numPr>
        <w:spacing w:after="80"/>
      </w:pPr>
      <w:r>
        <w:t xml:space="preserve">Elektrotechnik: Errichtung nach ÖVE/ÖNORM E 8101, Blitz- und Überspannungsschutz nach ÖVE/ÖNORM EN 62305 und OVE-Richtlinie R 11-1, DC-Freischaltung und Kennzeichnung für Einsatzkräfte, Kabelverlegung UV- und nagetierbeständig bzw. geschützt.</w:t>
      </w:r>
    </w:p>
    <w:p>
      <w:pPr>
        <w:pStyle w:val="ListParagraph"/>
        <w:numPr>
          <w:ilvl w:val="0"/>
          <w:numId w:val="1"/>
        </w:numPr>
        <w:spacing w:after="80"/>
      </w:pPr>
      <w:r>
        <w:t xml:space="preserve">Brandschutz und Sicherheit: Hinweisschilder, Übersichtsplan für die Feuerwehr, Abstände zu Brandabschnitten und Dachaufbauten nach Landesrecht; Absturzsicherung während der Montage.</w:t>
      </w:r>
    </w:p>
    <w:p>
      <w:pPr>
        <w:pStyle w:val="ListParagraph"/>
        <w:numPr>
          <w:ilvl w:val="0"/>
          <w:numId w:val="1"/>
        </w:numPr>
        <w:spacing w:after="80"/>
      </w:pPr>
      <w:r>
        <w:t xml:space="preserve">Netzkonformität: Einhaltung der TOR (Technische und organisatorische Regeln für Betreiber und Benutzer von Netzen) der E-Control in der geltenden Fassung.</w:t>
      </w:r>
    </w:p>
    <w:p>
      <w:pPr>
        <w:pStyle w:val="Heading1"/>
        <w:spacing w:after="120" w:before="280"/>
      </w:pPr>
      <w:r>
        <w:t xml:space="preserve">4. Normen und Regelwerke</w:t>
      </w:r>
    </w:p>
    <w:p>
      <w:pPr>
        <w:spacing w:after="120"/>
      </w:pPr>
      <w:r>
        <w:t xml:space="preserve">Maßgeblich sind die am Tag der Angebotsabgabe geltenden Fassungen. Verwiesen wird insbesondere auf:</w:t>
      </w:r>
    </w:p>
    <w:p>
      <w:pPr>
        <w:pStyle w:val="ListParagraph"/>
        <w:numPr>
          <w:ilvl w:val="0"/>
          <w:numId w:val="1"/>
        </w:numPr>
        <w:spacing w:after="80"/>
      </w:pPr>
      <w:r>
        <w:t xml:space="preserve">Standardisierte Leistungsbeschreibung Hochbau (StLB-HT) – für ergänzende Leistungspositionen (Dach, Gerüst, Durchbrüche) in der jeweils aktuellen Version.</w:t>
      </w:r>
    </w:p>
    <w:p>
      <w:pPr>
        <w:pStyle w:val="ListParagraph"/>
        <w:numPr>
          <w:ilvl w:val="0"/>
          <w:numId w:val="1"/>
        </w:numPr>
        <w:spacing w:after="80"/>
      </w:pPr>
      <w:r>
        <w:t xml:space="preserve">OVE-Richtlinie R 11-1 (Photovoltaik-Anlagen) in der geltenden Fassung.</w:t>
      </w:r>
    </w:p>
    <w:p>
      <w:pPr>
        <w:pStyle w:val="ListParagraph"/>
        <w:numPr>
          <w:ilvl w:val="0"/>
          <w:numId w:val="1"/>
        </w:numPr>
        <w:spacing w:after="80"/>
      </w:pPr>
      <w:r>
        <w:t xml:space="preserve">ÖVE/ÖNORM EN 62446-1 – Prüfung, Dokumentation und Instandhaltung netzgekoppelter Photovoltaik-Systeme.</w:t>
      </w:r>
    </w:p>
    <w:p>
      <w:pPr>
        <w:pStyle w:val="ListParagraph"/>
        <w:numPr>
          <w:ilvl w:val="0"/>
          <w:numId w:val="1"/>
        </w:numPr>
        <w:spacing w:after="80"/>
      </w:pPr>
      <w:r>
        <w:t xml:space="preserve">ÖVE/ÖNORM E 8101 – Errichtung elektrischer Niederspannungsanlagen.</w:t>
      </w:r>
    </w:p>
    <w:p>
      <w:pPr>
        <w:pStyle w:val="ListParagraph"/>
        <w:numPr>
          <w:ilvl w:val="0"/>
          <w:numId w:val="1"/>
        </w:numPr>
        <w:spacing w:after="80"/>
      </w:pPr>
      <w:r>
        <w:t xml:space="preserve">TOR Erzeuger (Typ A, Typ B) der E-Control sowie die Netzzugangsbedingungen des zuständigen Netzbetreibers.</w:t>
      </w:r>
    </w:p>
    <w:p>
      <w:pPr>
        <w:pStyle w:val="ListParagraph"/>
        <w:numPr>
          <w:ilvl w:val="0"/>
          <w:numId w:val="1"/>
        </w:numPr>
        <w:spacing w:after="80"/>
      </w:pPr>
      <w:r>
        <w:t xml:space="preserve">ÖNORM EN 1991-1-3 / 1991-1-4 – Schnee- und Windlasten (mit nationalen Anhängen).</w:t>
      </w:r>
    </w:p>
    <w:p>
      <w:pPr>
        <w:pStyle w:val="ListParagraph"/>
        <w:numPr>
          <w:ilvl w:val="0"/>
          <w:numId w:val="1"/>
        </w:numPr>
        <w:spacing w:after="80"/>
      </w:pPr>
      <w:r>
        <w:t xml:space="preserve">Bauordnung und PV-Bestimmungen des Bundeslandes (Anzeige-/Bewilligungspflicht, Ortsbild), ggf. Denkmalschutz.</w:t>
      </w:r>
    </w:p>
    <w:p>
      <w:pPr>
        <w:pStyle w:val="ListParagraph"/>
        <w:numPr>
          <w:ilvl w:val="0"/>
          <w:numId w:val="1"/>
        </w:numPr>
        <w:spacing w:after="80"/>
      </w:pPr>
      <w:r>
        <w:t xml:space="preserve">Elektrizitätswirtschaftsgesetz (ElWG, BGBl. I Nr. 91/2025) – Netzanschluss, Steuerbarkeit, Spitzenkappung, gemeinsame Energienutzung.</w:t>
      </w:r>
    </w:p>
    <w:p>
      <w:pPr>
        <w:pStyle w:val="Heading1"/>
        <w:spacing w:after="120" w:before="280"/>
      </w:pPr>
      <w:r>
        <w:t xml:space="preserve">5. Förderung (EAG-Abwicklung)</w:t>
      </w:r>
    </w:p>
    <w:p>
      <w:pPr>
        <w:spacing w:after="120"/>
      </w:pPr>
      <w:r>
        <w:t xml:space="preserve">Die Gemeinde beantragt den EAG-Investitionszuschuss (bzw. andere Förderungen) selbst. Die Bieterin bzw. der Bieter unterstützt wie folgt:</w:t>
      </w:r>
    </w:p>
    <w:p>
      <w:pPr>
        <w:pStyle w:val="ListParagraph"/>
        <w:numPr>
          <w:ilvl w:val="0"/>
          <w:numId w:val="1"/>
        </w:numPr>
        <w:spacing w:after="80"/>
      </w:pPr>
      <w:r>
        <w:t xml:space="preserve">Rechtzeitige Bereitstellung aller Unterlagen für den Förderantrag und die Endabrechnung: Angebot mit Gliederung nach Komponenten, Datenblätter, Rechnungen mit getrennt ausgewiesenen förderfähigen Kosten, Inbetriebnahme- und Prüfprotokoll, Fertigstellungsmeldung des Netzbetreibers.</w:t>
      </w:r>
    </w:p>
    <w:p>
      <w:pPr>
        <w:pStyle w:val="ListParagraph"/>
        <w:numPr>
          <w:ilvl w:val="0"/>
          <w:numId w:val="1"/>
        </w:numPr>
        <w:spacing w:after="80"/>
      </w:pPr>
      <w:r>
        <w:t xml:space="preserve">Fristen: Der Förderantrag ist vor der Inbetriebnahme zu stellen; die Inbetriebnahme hat innerhalb der Frist der Förderzusage zu erfolgen. Der Bieter bestätigt einen Fertigstellungstermin, der diese Fristen einhält.</w:t>
      </w:r>
    </w:p>
    <w:p>
      <w:pPr>
        <w:pStyle w:val="ListParagraph"/>
        <w:numPr>
          <w:ilvl w:val="0"/>
          <w:numId w:val="1"/>
        </w:numPr>
        <w:spacing w:after="80"/>
      </w:pPr>
      <w:r>
        <w:t xml:space="preserve">Keine Inbetriebnahme ohne schriftliche Freigabe der Gemeinde (Förderantrag gestellt).</w:t>
      </w:r>
    </w:p>
    <w:p>
      <w:pPr>
        <w:pStyle w:val="ListParagraph"/>
        <w:numPr>
          <w:ilvl w:val="0"/>
          <w:numId w:val="1"/>
        </w:numPr>
        <w:spacing w:after="80"/>
      </w:pPr>
      <w:r>
        <w:t xml:space="preserve">Die Einhaltung des Vergaberechts ist Fördervoraussetzung (§ 4 Abs. 1 Z 5 EAG-IZV); das Vergabeverfahren wird daher vollständig dokumentiert.</w:t>
      </w:r>
    </w:p>
    <w:p>
      <w:pPr>
        <w:pStyle w:val="Heading1"/>
        <w:spacing w:after="120" w:before="280"/>
      </w:pPr>
      <w:r>
        <w:t xml:space="preserve">6. Wartungsoption (eigene Preisposition)</w:t>
      </w:r>
    </w:p>
    <w:p>
      <w:pPr>
        <w:spacing w:after="120"/>
      </w:pPr>
      <w:r>
        <w:t xml:space="preserve">Die Gemeinde behält sich vor, einen Wartungsvertrag über [__] Jahre zu beauftragen. Anzubieten ist ein Jahrespauschalpreis für:</w:t>
      </w:r>
    </w:p>
    <w:p>
      <w:pPr>
        <w:pStyle w:val="ListParagraph"/>
        <w:numPr>
          <w:ilvl w:val="0"/>
          <w:numId w:val="1"/>
        </w:numPr>
        <w:spacing w:after="80"/>
      </w:pPr>
      <w:r>
        <w:t xml:space="preserve">Jährliche Sichtprüfung und Funktionskontrolle (Module, Unterkonstruktion, Verkabelung, Wechselrichter, Speicher, Schutzeinrichtungen) mit Bericht.</w:t>
      </w:r>
    </w:p>
    <w:p>
      <w:pPr>
        <w:pStyle w:val="ListParagraph"/>
        <w:numPr>
          <w:ilvl w:val="0"/>
          <w:numId w:val="1"/>
        </w:numPr>
        <w:spacing w:after="80"/>
      </w:pPr>
      <w:r>
        <w:t xml:space="preserve">Wiederkehrende Prüfung nach ÖVE/ÖNORM EN 62446-1 im Intervall [__] Jahre.</w:t>
      </w:r>
    </w:p>
    <w:p>
      <w:pPr>
        <w:pStyle w:val="ListParagraph"/>
        <w:numPr>
          <w:ilvl w:val="0"/>
          <w:numId w:val="1"/>
        </w:numPr>
        <w:spacing w:after="80"/>
      </w:pPr>
      <w:r>
        <w:t xml:space="preserve">Monitoring-Auswertung mit Ertragsvergleich und Störungsmeldung an die Gemeinde.</w:t>
      </w:r>
    </w:p>
    <w:p>
      <w:pPr>
        <w:pStyle w:val="ListParagraph"/>
        <w:numPr>
          <w:ilvl w:val="0"/>
          <w:numId w:val="1"/>
        </w:numPr>
        <w:spacing w:after="80"/>
      </w:pPr>
      <w:r>
        <w:t xml:space="preserve">Störungsbehebung: Reaktionszeit maximal [__] Werktage nach Meldung; Ersatzteilverfügbarkeit für Wechselrichter und Komponenten zusichern.</w:t>
      </w:r>
    </w:p>
    <w:p>
      <w:pPr>
        <w:pStyle w:val="ListParagraph"/>
        <w:numPr>
          <w:ilvl w:val="0"/>
          <w:numId w:val="1"/>
        </w:numPr>
        <w:spacing w:after="80"/>
      </w:pPr>
      <w:r>
        <w:t xml:space="preserve">Stundensätze und Anfahrt für Leistungen außerhalb der Pauschale.</w:t>
      </w:r>
    </w:p>
    <w:p>
      <w:pPr>
        <w:pStyle w:val="Heading1"/>
        <w:spacing w:after="120" w:before="280"/>
      </w:pPr>
      <w:r>
        <w:t xml:space="preserve">7. Angebotsabgabe und Nachweise</w:t>
      </w:r>
    </w:p>
    <w:p>
      <w:pPr>
        <w:spacing w:after="120"/>
      </w:pPr>
      <w:r>
        <w:t xml:space="preserve">Mit dem Angebot sind vorzulegen (Eignung zum Zeitpunkt der Leistungserbringung, § 20 BVergG):</w:t>
      </w:r>
    </w:p>
    <w:p>
      <w:pPr>
        <w:pStyle w:val="ListParagraph"/>
        <w:numPr>
          <w:ilvl w:val="0"/>
          <w:numId w:val="1"/>
        </w:numPr>
        <w:spacing w:after="80"/>
      </w:pPr>
      <w:r>
        <w:t xml:space="preserve">Gewerbeberechtigung Elektrotechnik (GISA-Auszug) und Firmenbuchauszug.</w:t>
      </w:r>
    </w:p>
    <w:p>
      <w:pPr>
        <w:pStyle w:val="ListParagraph"/>
        <w:numPr>
          <w:ilvl w:val="0"/>
          <w:numId w:val="1"/>
        </w:numPr>
        <w:spacing w:after="80"/>
      </w:pPr>
      <w:r>
        <w:t xml:space="preserve">Referenzliste vergleichbarer Anlagen der letzten [__] Jahre mit Leistung in kWp, Jahr und Ansprechperson des Auftraggebers.</w:t>
      </w:r>
    </w:p>
    <w:p>
      <w:pPr>
        <w:pStyle w:val="ListParagraph"/>
        <w:numPr>
          <w:ilvl w:val="0"/>
          <w:numId w:val="1"/>
        </w:numPr>
        <w:spacing w:after="80"/>
      </w:pPr>
      <w:r>
        <w:t xml:space="preserve">Nachweis einer Betriebshaftpflichtversicherung mit Deckungssumme von mindestens [__] €.</w:t>
      </w:r>
    </w:p>
    <w:p>
      <w:pPr>
        <w:pStyle w:val="ListParagraph"/>
        <w:numPr>
          <w:ilvl w:val="0"/>
          <w:numId w:val="1"/>
        </w:numPr>
        <w:spacing w:after="80"/>
      </w:pPr>
      <w:r>
        <w:t xml:space="preserve">Auf Verlangen: Unbedenklichkeitsbescheinigungen (Finanzamt, Sozialversicherung), Auszug aus der Verwaltungsstrafevidenz nach dem LSD-BG.</w:t>
      </w:r>
    </w:p>
    <w:p>
      <w:pPr>
        <w:pStyle w:val="ListParagraph"/>
        <w:numPr>
          <w:ilvl w:val="0"/>
          <w:numId w:val="1"/>
        </w:numPr>
        <w:spacing w:after="80"/>
      </w:pPr>
      <w:r>
        <w:t xml:space="preserve">Preisblatt: Pauschalpreis netto mit Gliederung (Module, Wechselrichter, Speicher, Unterkonstruktion, Elektroinstallation, Planung/Dokumentation, Netzanschluss, Nebenleistungen), optional Wartung gemäß Abschnitt 6.</w:t>
      </w:r>
    </w:p>
    <w:p>
      <w:pPr>
        <w:pStyle w:val="ListParagraph"/>
        <w:numPr>
          <w:ilvl w:val="0"/>
          <w:numId w:val="1"/>
        </w:numPr>
        <w:spacing w:after="80"/>
      </w:pPr>
      <w:r>
        <w:t xml:space="preserve">Ertragsprognose in kWh/Jahr mit Angabe der Methode und der Annahmen (Ausrichtung, Neigung, Verschattung, Systemverluste).</w:t>
      </w:r>
    </w:p>
    <w:p>
      <w:pPr>
        <w:pStyle w:val="ListParagraph"/>
        <w:numPr>
          <w:ilvl w:val="0"/>
          <w:numId w:val="1"/>
        </w:numPr>
        <w:spacing w:after="80"/>
      </w:pPr>
      <w:r>
        <w:t xml:space="preserve">Lieferzeit und Montagedauer, Gewährleistungsfrist, Angebotsbindefrist.</w:t>
      </w:r>
    </w:p>
    <w:p>
      <w:pPr>
        <w:pStyle w:val="Heading1"/>
        <w:spacing w:after="120" w:before="280"/>
      </w:pPr>
      <w:r>
        <w:t xml:space="preserve">8. Zuschlagskriterien</w:t>
      </w:r>
    </w:p>
    <w:p>
      <w:pPr>
        <w:spacing w:after="120"/>
      </w:pPr>
      <w:r>
        <w:t xml:space="preserve">Der Zuschlag erfolgt nach dem Bestbieterprinzip. Die Bewertung richtet sich nach der beiliegenden Bewertungsmatrix (Muster: Preis 50 %, Ertragsprognose 20 %, Wartung 10 %, Reaktionszeit 10 %, Lieferzeit 10 %). Die Gewichtung legt die Gemeinde vor Angebotseinholung fest und gibt sie allen Bietern bekannt.</w:t>
      </w:r>
    </w:p>
    <w:p>
      <w:pPr>
        <w:pStyle w:val="Heading1"/>
        <w:spacing w:after="120" w:before="280"/>
      </w:pPr>
      <w:r>
        <w:t xml:space="preserve">9. Rechtsvorbehalt</w:t>
      </w:r>
    </w:p>
    <w:p>
      <w:pPr>
        <w:spacing w:after="120"/>
      </w:pPr>
      <w:r>
        <w:t xml:space="preserve">Dieses Muster dient der allgemeinen Information und stellt keine Rechtsberatung dar. Es wurde mit Sorgfalt erstellt, eine Gewähr für Vollständigkeit und Aktualität wird nicht übernommen. Verbindlich sind die Gesetze, Normen und Netzbetreiberbedingungen in ihrer jeweils geltenden Fassung sowie die Vorgaben der Förderstellen. Die Gemeinde als Auftraggeberin verantwortet Inhalt, Verfahren und Zuschlag.</w:t>
      </w:r>
    </w:p>
    <w:p>
      <w:pPr>
        <w:spacing w:after="120"/>
      </w:pPr>
      <w:r>
        <w:t xml:space="preserve">Stand der Rechtsgrundlagen: 11.10.2026. Vergabewerte nach BVergG 2018 idF BGBl. I Nr. 8/2026.</w:t>
      </w:r>
    </w:p>
    <w:p>
      <w:pPr>
        <w:pStyle w:val="Heading1"/>
        <w:spacing w:after="120" w:before="280"/>
      </w:pPr>
      <w:r>
        <w:t xml:space="preserve">Quellen</w:t>
      </w:r>
    </w:p>
    <w:p>
      <w:pPr>
        <w:pStyle w:val="ListParagraph"/>
        <w:numPr>
          <w:ilvl w:val="0"/>
          <w:numId w:val="1"/>
        </w:numPr>
        <w:spacing w:after="80"/>
      </w:pPr>
      <w:r>
        <w:t xml:space="preserve">§§ 13, 20, 25, 43, 46, 47 BVergG 2018 idF Vergaberechtsgesetz 2026, BGBl. I Nr. 8/2026 (RIS/JUSLINE)</w:t>
      </w:r>
    </w:p>
    <w:p>
      <w:pPr>
        <w:pStyle w:val="ListParagraph"/>
        <w:numPr>
          <w:ilvl w:val="0"/>
          <w:numId w:val="1"/>
        </w:numPr>
        <w:spacing w:after="80"/>
      </w:pPr>
      <w:r>
        <w:t xml:space="preserve">EAG-Investitionszuschüsseverordnung-Strom (EAG-IZV), § 4 Abs. 1 Z 5</w:t>
      </w:r>
    </w:p>
    <w:p>
      <w:pPr>
        <w:pStyle w:val="ListParagraph"/>
        <w:numPr>
          <w:ilvl w:val="0"/>
          <w:numId w:val="1"/>
        </w:numPr>
        <w:spacing w:after="80"/>
      </w:pPr>
      <w:r>
        <w:t xml:space="preserve">E-Control – TOR Erzeuger Typ A und Typ B (geltende Fassung)</w:t>
      </w:r>
    </w:p>
    <w:p>
      <w:pPr>
        <w:pStyle w:val="ListParagraph"/>
        <w:numPr>
          <w:ilvl w:val="0"/>
          <w:numId w:val="1"/>
        </w:numPr>
        <w:spacing w:after="80"/>
      </w:pPr>
      <w:r>
        <w:t xml:space="preserve">OVE-Richtlinie R 11-1; ÖVE/ÖNORM EN 62446-1; ÖVE/ÖNORM E 8101; ÖVE/ÖNORM EN 62305; ÖNORM EN 1991-1-3/-4</w:t>
      </w:r>
    </w:p>
    <w:p>
      <w:pPr>
        <w:pStyle w:val="ListParagraph"/>
        <w:numPr>
          <w:ilvl w:val="0"/>
          <w:numId w:val="1"/>
        </w:numPr>
        <w:spacing w:after="80"/>
      </w:pPr>
      <w:r>
        <w:t xml:space="preserve">Standardisierte Leistungsbeschreibung Hochbau (StLB-HT)</w:t>
      </w:r>
    </w:p>
    <w:p>
      <w:pPr>
        <w:pStyle w:val="ListParagraph"/>
        <w:numPr>
          <w:ilvl w:val="0"/>
          <w:numId w:val="1"/>
        </w:numPr>
        <w:spacing w:after="80"/>
      </w:pPr>
      <w:r>
        <w:t xml:space="preserve">Elektrizitätswirtschaftsgesetz (ElWG), BGBl. I Nr. 91/2025</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b/>
      <w:bCs/>
      <w:color w:val="12345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Funktionale Leistungsbeschreibung – Photovoltaikanlage auf einem Gemeindegebäude</dc:title>
  <dc:creator>Ökovolt Solartechnik GmbH (FN 375708m)</dc:creator>
  <dc:description>Muster für öffentliche Auftraggeber · herstellerneutral · Version 1.0 · Stand 11.10.2026</dc:description>
  <cp:lastModifiedBy>Un-named</cp:lastModifiedBy>
  <cp:revision>1</cp:revision>
  <dcterms:created xsi:type="dcterms:W3CDTF">2026-10-11T23:30:43.800Z</dcterms:created>
  <dcterms:modified xsi:type="dcterms:W3CDTF">2026-10-11T23:30:43.802Z</dcterms:modified>
</cp:coreProperties>
</file>

<file path=docProps/custom.xml><?xml version="1.0" encoding="utf-8"?>
<Properties xmlns="http://schemas.openxmlformats.org/officeDocument/2006/custom-properties" xmlns:vt="http://schemas.openxmlformats.org/officeDocument/2006/docPropsVTypes"/>
</file>