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864"/>
          <w:sz w:val="56"/>
        </w:rPr>
        <w:t>Blueprint Civilizations</w:t>
      </w:r>
    </w:p>
    <w:p>
      <w:pPr>
        <w:jc w:val="center"/>
      </w:pPr>
      <w:r>
        <w:rPr>
          <w:b/>
          <w:sz w:val="38"/>
        </w:rPr>
        <w:t>Volume 03</w:t>
        <w:br/>
        <w:t>Blueprint Board, Copies, Ascensions, Sockets, and Production</w:t>
      </w:r>
    </w:p>
    <w:p>
      <w:pPr>
        <w:jc w:val="center"/>
      </w:pPr>
      <w:r>
        <w:rPr>
          <w:i/>
        </w:rPr>
        <w:t>Prototype Specification v0.1 | August 2026</w:t>
      </w:r>
    </w:p>
    <w:p/>
    <w:tbl>
      <w:tblPr>
        <w:tblW w:type="auto" w:w="0"/>
        <w:jc w:val="center"/>
        <w:tblLayout w:type="fixed"/>
        <w:tblLook w:firstColumn="1" w:firstRow="1" w:lastColumn="0" w:lastRow="0" w:noHBand="0" w:noVBand="1" w:val="04A0"/>
      </w:tblPr>
      <w:tblGrid>
        <w:gridCol w:w="1800"/>
        <w:gridCol w:w="8496"/>
      </w:tblGrid>
      <w:tr>
        <w:tc>
          <w:tcPr>
            <w:tcW w:type="dxa" w:w="5083"/>
            <w:vAlign w:val="center"/>
            <w:shd w:fill="203864"/>
          </w:tcPr>
          <w:p>
            <w:r/>
            <w:r>
              <w:rPr>
                <w:b/>
                <w:color w:val="FFFFFF"/>
                <w:sz w:val="18"/>
              </w:rPr>
              <w:t>Authority</w:t>
            </w:r>
          </w:p>
        </w:tc>
        <w:tc>
          <w:tcPr>
            <w:tcW w:type="dxa" w:w="5083"/>
            <w:vAlign w:val="center"/>
          </w:tcPr>
          <w:p>
            <w:r/>
            <w:r>
              <w:rPr>
                <w:b w:val="0"/>
                <w:sz w:val="18"/>
              </w:rPr>
              <w:t>Normative design and implementation specification</w:t>
            </w:r>
          </w:p>
        </w:tc>
      </w:tr>
      <w:tr>
        <w:tc>
          <w:tcPr>
            <w:tcW w:type="dxa" w:w="5083"/>
            <w:vAlign w:val="center"/>
            <w:shd w:fill="2F5597"/>
          </w:tcPr>
          <w:p>
            <w:r/>
            <w:r>
              <w:rPr>
                <w:b/>
                <w:color w:val="FFFFFF"/>
                <w:sz w:val="18"/>
              </w:rPr>
              <w:t>Purpose</w:t>
            </w:r>
          </w:p>
        </w:tc>
        <w:tc>
          <w:tcPr>
            <w:tcW w:type="dxa" w:w="5083"/>
            <w:vAlign w:val="center"/>
          </w:tcPr>
          <w:p>
            <w:r/>
            <w:r>
              <w:rPr>
                <w:b w:val="0"/>
                <w:sz w:val="18"/>
              </w:rPr>
              <w:t>Defines the project’s signature system in implementation-ready detail.</w:t>
            </w:r>
          </w:p>
        </w:tc>
      </w:tr>
    </w:tbl>
    <w:p>
      <w:r>
        <w:br w:type="page"/>
      </w:r>
    </w:p>
    <w:p>
      <w:pPr>
        <w:pStyle w:val="Heading1"/>
      </w:pPr>
      <w:r>
        <w:t>Document Control</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Status</w:t>
            </w:r>
          </w:p>
        </w:tc>
        <w:tc>
          <w:tcPr>
            <w:tcW w:type="dxa" w:w="5083"/>
            <w:vAlign w:val="center"/>
          </w:tcPr>
          <w:p>
            <w:r/>
            <w:r>
              <w:rPr>
                <w:b w:val="0"/>
                <w:sz w:val="18"/>
              </w:rPr>
              <w:t>Approved foundation for prototype implementation</w:t>
            </w:r>
          </w:p>
        </w:tc>
      </w:tr>
      <w:tr>
        <w:tc>
          <w:tcPr>
            <w:tcW w:type="dxa" w:w="5083"/>
            <w:vAlign w:val="center"/>
            <w:shd w:fill="203864"/>
          </w:tcPr>
          <w:p>
            <w:r/>
            <w:r>
              <w:rPr>
                <w:b/>
                <w:color w:val="FFFFFF"/>
                <w:sz w:val="18"/>
              </w:rPr>
              <w:t>Revision</w:t>
            </w:r>
          </w:p>
        </w:tc>
        <w:tc>
          <w:tcPr>
            <w:tcW w:type="dxa" w:w="5083"/>
            <w:vAlign w:val="center"/>
          </w:tcPr>
          <w:p>
            <w:r/>
            <w:r>
              <w:rPr>
                <w:b w:val="0"/>
                <w:sz w:val="18"/>
              </w:rPr>
              <w:t>0.1</w:t>
            </w:r>
          </w:p>
        </w:tc>
      </w:tr>
      <w:tr>
        <w:tc>
          <w:tcPr>
            <w:tcW w:type="dxa" w:w="5083"/>
            <w:vAlign w:val="center"/>
            <w:shd w:fill="203864"/>
          </w:tcPr>
          <w:p>
            <w:r/>
            <w:r>
              <w:rPr>
                <w:b/>
                <w:color w:val="FFFFFF"/>
                <w:sz w:val="18"/>
              </w:rPr>
              <w:t>Change policy</w:t>
            </w:r>
          </w:p>
        </w:tc>
        <w:tc>
          <w:tcPr>
            <w:tcW w:type="dxa" w:w="5083"/>
            <w:vAlign w:val="center"/>
          </w:tcPr>
          <w:p>
            <w:r/>
            <w:r>
              <w:rPr>
                <w:b w:val="0"/>
                <w:sz w:val="18"/>
              </w:rPr>
              <w:t>Later volumes may refine details, but contradictions require an explicit revision note.</w:t>
            </w:r>
          </w:p>
        </w:tc>
      </w:tr>
      <w:tr>
        <w:tc>
          <w:tcPr>
            <w:tcW w:type="dxa" w:w="5083"/>
            <w:vAlign w:val="center"/>
            <w:shd w:fill="203864"/>
          </w:tcPr>
          <w:p>
            <w:r/>
            <w:r>
              <w:rPr>
                <w:b/>
                <w:color w:val="FFFFFF"/>
                <w:sz w:val="18"/>
              </w:rPr>
              <w:t>AI usage</w:t>
            </w:r>
          </w:p>
        </w:tc>
        <w:tc>
          <w:tcPr>
            <w:tcW w:type="dxa" w:w="5083"/>
            <w:vAlign w:val="center"/>
          </w:tcPr>
          <w:p>
            <w:r/>
            <w:r>
              <w:rPr>
                <w:b w:val="0"/>
                <w:sz w:val="18"/>
              </w:rPr>
              <w:t>A coding agent should implement explicit rules and expose prototype numeric values as configurable data.</w:t>
            </w:r>
          </w:p>
        </w:tc>
      </w:tr>
    </w:tbl>
    <w:p>
      <w:pPr>
        <w:pStyle w:val="Heading2"/>
      </w:pPr>
      <w:r>
        <w:t>Reading Conventions</w:t>
      </w:r>
    </w:p>
    <w:p>
      <w:pPr>
        <w:pStyle w:val="ListBullet"/>
      </w:pPr>
      <w:r>
        <w:t>MUST means required for the prototype.</w:t>
      </w:r>
    </w:p>
    <w:p>
      <w:pPr>
        <w:pStyle w:val="ListBullet"/>
      </w:pPr>
      <w:r>
        <w:t>SHOULD means the default recommendation unless playtesting disproves it.</w:t>
      </w:r>
    </w:p>
    <w:p>
      <w:pPr>
        <w:pStyle w:val="ListBullet"/>
      </w:pPr>
      <w:r>
        <w:t>MAY means an allowed extension, not required for the first playable build.</w:t>
      </w:r>
    </w:p>
    <w:p>
      <w:pPr>
        <w:pStyle w:val="ListBullet"/>
      </w:pPr>
      <w:r>
        <w:t>Prototype Value identifies a starting balance number that must remain configurable.</w:t>
      </w:r>
    </w:p>
    <w:p>
      <w:pPr>
        <w:pStyle w:val="ListBullet"/>
      </w:pPr>
      <w:r>
        <w:t>Open Question identifies a deliberately unresolved item; an implementation agent must not silently invent a permanent answer.</w:t>
      </w:r>
    </w:p>
    <w:p>
      <w:pPr>
        <w:pStyle w:val="Heading1"/>
      </w:pPr>
      <w:r>
        <w:t>1. Blueprint Data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03864"/>
          </w:tcPr>
          <w:p>
            <w:r/>
            <w:r>
              <w:rPr>
                <w:b/>
                <w:color w:val="FFFFFF"/>
                <w:sz w:val="17"/>
              </w:rPr>
              <w:t>Field</w:t>
            </w:r>
          </w:p>
        </w:tc>
        <w:tc>
          <w:tcPr>
            <w:tcW w:type="dxa" w:w="5083"/>
            <w:vAlign w:val="center"/>
            <w:shd w:fill="203864"/>
          </w:tcPr>
          <w:p>
            <w:r/>
            <w:r>
              <w:rPr>
                <w:b/>
                <w:color w:val="FFFFFF"/>
                <w:sz w:val="17"/>
              </w:rPr>
              <w:t>Meaning</w:t>
            </w:r>
          </w:p>
        </w:tc>
      </w:tr>
      <w:tr>
        <w:tc>
          <w:tcPr>
            <w:tcW w:type="dxa" w:w="5083"/>
            <w:vAlign w:val="center"/>
          </w:tcPr>
          <w:p>
            <w:r/>
            <w:r>
              <w:rPr>
                <w:b w:val="0"/>
                <w:sz w:val="17"/>
              </w:rPr>
              <w:t>Blueprint Definition ID</w:t>
            </w:r>
          </w:p>
        </w:tc>
        <w:tc>
          <w:tcPr>
            <w:tcW w:type="dxa" w:w="5083"/>
            <w:vAlign w:val="center"/>
          </w:tcPr>
          <w:p>
            <w:r/>
            <w:r>
              <w:rPr>
                <w:b w:val="0"/>
                <w:sz w:val="17"/>
              </w:rPr>
              <w:t>Immutable content identifier, e.g. HIVE_SPIDER.</w:t>
            </w:r>
          </w:p>
        </w:tc>
      </w:tr>
      <w:tr>
        <w:tc>
          <w:tcPr>
            <w:tcW w:type="dxa" w:w="5083"/>
            <w:vAlign w:val="center"/>
          </w:tcPr>
          <w:p>
            <w:r/>
            <w:r>
              <w:rPr>
                <w:b w:val="0"/>
                <w:sz w:val="17"/>
              </w:rPr>
              <w:t>Owner Player ID</w:t>
            </w:r>
          </w:p>
        </w:tc>
        <w:tc>
          <w:tcPr>
            <w:tcW w:type="dxa" w:w="5083"/>
            <w:vAlign w:val="center"/>
          </w:tcPr>
          <w:p>
            <w:r/>
            <w:r>
              <w:rPr>
                <w:b w:val="0"/>
                <w:sz w:val="17"/>
              </w:rPr>
              <w:t>Player who owns this blueprint instance.</w:t>
            </w:r>
          </w:p>
        </w:tc>
      </w:tr>
      <w:tr>
        <w:tc>
          <w:tcPr>
            <w:tcW w:type="dxa" w:w="5083"/>
            <w:vAlign w:val="center"/>
          </w:tcPr>
          <w:p>
            <w:r/>
            <w:r>
              <w:rPr>
                <w:b w:val="0"/>
                <w:sz w:val="17"/>
              </w:rPr>
              <w:t>Copy Count</w:t>
            </w:r>
          </w:p>
        </w:tc>
        <w:tc>
          <w:tcPr>
            <w:tcW w:type="dxa" w:w="5083"/>
            <w:vAlign w:val="center"/>
          </w:tcPr>
          <w:p>
            <w:r/>
            <w:r>
              <w:rPr>
                <w:b w:val="0"/>
                <w:sz w:val="17"/>
              </w:rPr>
              <w:t>Purchased copies from 1 through 10.</w:t>
            </w:r>
          </w:p>
        </w:tc>
      </w:tr>
      <w:tr>
        <w:tc>
          <w:tcPr>
            <w:tcW w:type="dxa" w:w="5083"/>
            <w:vAlign w:val="center"/>
          </w:tcPr>
          <w:p>
            <w:r/>
            <w:r>
              <w:rPr>
                <w:b w:val="0"/>
                <w:sz w:val="17"/>
              </w:rPr>
              <w:t>Ascension Rank</w:t>
            </w:r>
          </w:p>
        </w:tc>
        <w:tc>
          <w:tcPr>
            <w:tcW w:type="dxa" w:w="5083"/>
            <w:vAlign w:val="center"/>
          </w:tcPr>
          <w:p>
            <w:r/>
            <w:r>
              <w:rPr>
                <w:b w:val="0"/>
                <w:sz w:val="17"/>
              </w:rPr>
              <w:t>0, 1 at five copies, 2 at ten copies.</w:t>
            </w:r>
          </w:p>
        </w:tc>
      </w:tr>
      <w:tr>
        <w:tc>
          <w:tcPr>
            <w:tcW w:type="dxa" w:w="5083"/>
            <w:vAlign w:val="center"/>
          </w:tcPr>
          <w:p>
            <w:r/>
            <w:r>
              <w:rPr>
                <w:b w:val="0"/>
                <w:sz w:val="17"/>
              </w:rPr>
              <w:t>Evolution Path ID</w:t>
            </w:r>
          </w:p>
        </w:tc>
        <w:tc>
          <w:tcPr>
            <w:tcW w:type="dxa" w:w="5083"/>
            <w:vAlign w:val="center"/>
          </w:tcPr>
          <w:p>
            <w:r/>
            <w:r>
              <w:rPr>
                <w:b w:val="0"/>
                <w:sz w:val="17"/>
              </w:rPr>
              <w:t>Selected at Ascension I; upgraded at Ascension II.</w:t>
            </w:r>
          </w:p>
        </w:tc>
      </w:tr>
      <w:tr>
        <w:tc>
          <w:tcPr>
            <w:tcW w:type="dxa" w:w="5083"/>
            <w:vAlign w:val="center"/>
          </w:tcPr>
          <w:p>
            <w:r/>
            <w:r>
              <w:rPr>
                <w:b w:val="0"/>
                <w:sz w:val="17"/>
              </w:rPr>
              <w:t>Chosen Refinements</w:t>
            </w:r>
          </w:p>
        </w:tc>
        <w:tc>
          <w:tcPr>
            <w:tcW w:type="dxa" w:w="5083"/>
            <w:vAlign w:val="center"/>
          </w:tcPr>
          <w:p>
            <w:r/>
            <w:r>
              <w:rPr>
                <w:b w:val="0"/>
                <w:sz w:val="17"/>
              </w:rPr>
              <w:t>One refinement choice granted for every duplicate purchase after the first.</w:t>
            </w:r>
          </w:p>
        </w:tc>
      </w:tr>
      <w:tr>
        <w:tc>
          <w:tcPr>
            <w:tcW w:type="dxa" w:w="5083"/>
            <w:vAlign w:val="center"/>
          </w:tcPr>
          <w:p>
            <w:r/>
            <w:r>
              <w:rPr>
                <w:b w:val="0"/>
                <w:sz w:val="17"/>
              </w:rPr>
              <w:t>Socket List</w:t>
            </w:r>
          </w:p>
        </w:tc>
        <w:tc>
          <w:tcPr>
            <w:tcW w:type="dxa" w:w="5083"/>
            <w:vAlign w:val="center"/>
          </w:tcPr>
          <w:p>
            <w:r/>
            <w:r>
              <w:rPr>
                <w:b w:val="0"/>
                <w:sz w:val="17"/>
              </w:rPr>
              <w:t>Up to three research references.</w:t>
            </w:r>
          </w:p>
        </w:tc>
      </w:tr>
      <w:tr>
        <w:tc>
          <w:tcPr>
            <w:tcW w:type="dxa" w:w="5083"/>
            <w:vAlign w:val="center"/>
          </w:tcPr>
          <w:p>
            <w:r/>
            <w:r>
              <w:rPr>
                <w:b w:val="0"/>
                <w:sz w:val="17"/>
              </w:rPr>
              <w:t>Board Location</w:t>
            </w:r>
          </w:p>
        </w:tc>
        <w:tc>
          <w:tcPr>
            <w:tcW w:type="dxa" w:w="5083"/>
            <w:vAlign w:val="center"/>
          </w:tcPr>
          <w:p>
            <w:r/>
            <w:r>
              <w:rPr>
                <w:b w:val="0"/>
                <w:sz w:val="17"/>
              </w:rPr>
              <w:t>Active slot index, bench index, or inventory transition.</w:t>
            </w:r>
          </w:p>
        </w:tc>
      </w:tr>
      <w:tr>
        <w:tc>
          <w:tcPr>
            <w:tcW w:type="dxa" w:w="5083"/>
            <w:vAlign w:val="center"/>
          </w:tcPr>
          <w:p>
            <w:r/>
            <w:r>
              <w:rPr>
                <w:b w:val="0"/>
                <w:sz w:val="17"/>
              </w:rPr>
              <w:t>Lane Assignment</w:t>
            </w:r>
          </w:p>
        </w:tc>
        <w:tc>
          <w:tcPr>
            <w:tcW w:type="dxa" w:w="5083"/>
            <w:vAlign w:val="center"/>
          </w:tcPr>
          <w:p>
            <w:r/>
            <w:r>
              <w:rPr>
                <w:b w:val="0"/>
                <w:sz w:val="17"/>
              </w:rPr>
              <w:t>Left, Right, or Split if blueprint supports split.</w:t>
            </w:r>
          </w:p>
        </w:tc>
      </w:tr>
      <w:tr>
        <w:tc>
          <w:tcPr>
            <w:tcW w:type="dxa" w:w="5083"/>
            <w:vAlign w:val="center"/>
          </w:tcPr>
          <w:p>
            <w:r/>
            <w:r>
              <w:rPr>
                <w:b w:val="0"/>
                <w:sz w:val="17"/>
              </w:rPr>
              <w:t>Stance</w:t>
            </w:r>
          </w:p>
        </w:tc>
        <w:tc>
          <w:tcPr>
            <w:tcW w:type="dxa" w:w="5083"/>
            <w:vAlign w:val="center"/>
          </w:tcPr>
          <w:p>
            <w:r/>
            <w:r>
              <w:rPr>
                <w:b w:val="0"/>
                <w:sz w:val="17"/>
              </w:rPr>
              <w:t>Assault or Defense.</w:t>
            </w:r>
          </w:p>
        </w:tc>
      </w:tr>
      <w:tr>
        <w:tc>
          <w:tcPr>
            <w:tcW w:type="dxa" w:w="5083"/>
            <w:vAlign w:val="center"/>
          </w:tcPr>
          <w:p>
            <w:r/>
            <w:r>
              <w:rPr>
                <w:b w:val="0"/>
                <w:sz w:val="17"/>
              </w:rPr>
              <w:t>Runtime Spawn State</w:t>
            </w:r>
          </w:p>
        </w:tc>
        <w:tc>
          <w:tcPr>
            <w:tcW w:type="dxa" w:w="5083"/>
            <w:vAlign w:val="center"/>
          </w:tcPr>
          <w:p>
            <w:r/>
            <w:r>
              <w:rPr>
                <w:b w:val="0"/>
                <w:sz w:val="17"/>
              </w:rPr>
              <w:t>Timer, alive count, queued spawn count; reset each combat.</w:t>
            </w:r>
          </w:p>
        </w:tc>
      </w:tr>
    </w:tbl>
    <w:p>
      <w:pPr>
        <w:pStyle w:val="Heading2"/>
      </w:pPr>
      <w:r>
        <w:t>BP-001 — Blueprint Ownership</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Purpose</w:t>
            </w:r>
          </w:p>
        </w:tc>
        <w:tc>
          <w:tcPr>
            <w:tcW w:type="dxa" w:w="5083"/>
            <w:vAlign w:val="center"/>
          </w:tcPr>
          <w:p>
            <w:r/>
            <w:r>
              <w:rPr>
                <w:b w:val="0"/>
                <w:sz w:val="18"/>
              </w:rPr>
              <w:t>Defines what buying a unit means.</w:t>
            </w:r>
          </w:p>
        </w:tc>
      </w:tr>
    </w:tbl>
    <w:p>
      <w:pPr>
        <w:pStyle w:val="Heading3"/>
      </w:pPr>
      <w:r>
        <w:t>Normative Rules</w:t>
      </w:r>
    </w:p>
    <w:p>
      <w:pPr>
        <w:pStyle w:val="ListBullet"/>
      </w:pPr>
      <w:r>
        <w:t>The first purchase creates one blueprint instance at copy count 1.</w:t>
      </w:r>
    </w:p>
    <w:p>
      <w:pPr>
        <w:pStyle w:val="ListBullet"/>
      </w:pPr>
      <w:r>
        <w:t>A blueprint instance produces units automatically during combat when active.</w:t>
      </w:r>
    </w:p>
    <w:p>
      <w:pPr>
        <w:pStyle w:val="ListBullet"/>
      </w:pPr>
      <w:r>
        <w:t>The player normally owns at most one blueprint instance per definition; duplicate purchases increase copy count.</w:t>
      </w:r>
    </w:p>
    <w:p>
      <w:pPr>
        <w:pStyle w:val="ListBullet"/>
      </w:pPr>
      <w:r>
        <w:t>Structures use the same ownership model but produce a structure entity rather than repeated mobile units unless specified.</w:t>
      </w:r>
    </w:p>
    <w:p>
      <w:pPr>
        <w:pStyle w:val="Heading2"/>
      </w:pPr>
      <w:r>
        <w:t>BP-002 — Linear Active Board</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Purpose</w:t>
            </w:r>
          </w:p>
        </w:tc>
        <w:tc>
          <w:tcPr>
            <w:tcW w:type="dxa" w:w="5083"/>
            <w:vAlign w:val="center"/>
          </w:tcPr>
          <w:p>
            <w:r/>
            <w:r>
              <w:rPr>
                <w:b w:val="0"/>
                <w:sz w:val="18"/>
              </w:rPr>
              <w:t>Creates a readable adjacency puzzle.</w:t>
            </w:r>
          </w:p>
        </w:tc>
      </w:tr>
    </w:tbl>
    <w:p>
      <w:pPr>
        <w:pStyle w:val="Heading3"/>
      </w:pPr>
      <w:r>
        <w:t>Normative Rules</w:t>
      </w:r>
    </w:p>
    <w:p>
      <w:pPr>
        <w:pStyle w:val="ListBullet"/>
      </w:pPr>
      <w:r>
        <w:t>The active Nexus Blueprint Board is a single ordered line, not a matrix.</w:t>
      </w:r>
    </w:p>
    <w:p>
      <w:pPr>
        <w:pStyle w:val="ListBullet"/>
      </w:pPr>
      <w:r>
        <w:t>Each active blueprint occupies one slot.</w:t>
      </w:r>
    </w:p>
    <w:p>
      <w:pPr>
        <w:pStyle w:val="ListBullet"/>
      </w:pPr>
      <w:r>
        <w:t>Slot count equals Blueprint Capacity.</w:t>
      </w:r>
    </w:p>
    <w:p>
      <w:pPr>
        <w:pStyle w:val="ListBullet"/>
      </w:pPr>
      <w:r>
        <w:t>All slots are mechanically equal; there is no special center or commander slot.</w:t>
      </w:r>
    </w:p>
    <w:p>
      <w:pPr>
        <w:pStyle w:val="ListBullet"/>
      </w:pPr>
      <w:r>
        <w:t>A blueprint can reference immediate left neighbor, immediate right neighbor, both adjacent neighbors, all blueprints to one side, or distance from an edge if its content definition explicitly says so.</w:t>
      </w:r>
    </w:p>
    <w:p>
      <w:pPr>
        <w:pStyle w:val="ListBullet"/>
      </w:pPr>
      <w:r>
        <w:t>Adjacency is evaluated at planning lock and remains fixed during combat.</w:t>
      </w:r>
    </w:p>
    <w:p>
      <w:pPr>
        <w:pStyle w:val="Heading3"/>
      </w:pPr>
      <w:r>
        <w:t>Design Rationale</w:t>
      </w:r>
    </w:p>
    <w:p>
      <w:r>
        <w:t>A line is readable, supports positional synergies, and avoids the intimidating branching complexity of a full grid.</w:t>
      </w:r>
    </w:p>
    <w:p>
      <w:pPr>
        <w:pStyle w:val="Heading2"/>
      </w:pPr>
      <w:r>
        <w:t>BP-003 — Bench</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Purpose</w:t>
            </w:r>
          </w:p>
        </w:tc>
        <w:tc>
          <w:tcPr>
            <w:tcW w:type="dxa" w:w="5083"/>
            <w:vAlign w:val="center"/>
          </w:tcPr>
          <w:p>
            <w:r/>
            <w:r>
              <w:rPr>
                <w:b w:val="0"/>
                <w:sz w:val="18"/>
              </w:rPr>
              <w:t>Supports experimentation without free active power.</w:t>
            </w:r>
          </w:p>
        </w:tc>
      </w:tr>
    </w:tbl>
    <w:p>
      <w:pPr>
        <w:pStyle w:val="Heading3"/>
      </w:pPr>
      <w:r>
        <w:t>Normative Rules</w:t>
      </w:r>
    </w:p>
    <w:p>
      <w:pPr>
        <w:pStyle w:val="ListBullet"/>
      </w:pPr>
      <w:r>
        <w:t>Bench blueprints do not spawn, generate income, apply adjacency, receive adjacency, or occupy active capacity.</w:t>
      </w:r>
    </w:p>
    <w:p>
      <w:pPr>
        <w:pStyle w:val="ListBullet"/>
      </w:pPr>
      <w:r>
        <w:t>Players may move blueprints between board and bench freely during planning.</w:t>
      </w:r>
    </w:p>
    <w:p>
      <w:pPr>
        <w:pStyle w:val="ListBullet"/>
      </w:pPr>
      <w:r>
        <w:t>Order on the bench has no gameplay meaning.</w:t>
      </w:r>
    </w:p>
    <w:p>
      <w:pPr>
        <w:pStyle w:val="ListBullet"/>
      </w:pPr>
      <w:r>
        <w:t>Bench capacity is defined by Economy rules.</w:t>
      </w:r>
    </w:p>
    <w:p>
      <w:pPr>
        <w:pStyle w:val="Heading2"/>
      </w:pPr>
      <w:r>
        <w:t>BP-004 — Duplicate Purchase Refinement</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Purpose</w:t>
            </w:r>
          </w:p>
        </w:tc>
        <w:tc>
          <w:tcPr>
            <w:tcW w:type="dxa" w:w="5083"/>
            <w:vAlign w:val="center"/>
          </w:tcPr>
          <w:p>
            <w:r/>
            <w:r>
              <w:rPr>
                <w:b w:val="0"/>
                <w:sz w:val="18"/>
              </w:rPr>
              <w:t>Makes every copy valuable.</w:t>
            </w:r>
          </w:p>
        </w:tc>
      </w:tr>
    </w:tbl>
    <w:p>
      <w:pPr>
        <w:pStyle w:val="Heading3"/>
      </w:pPr>
      <w:r>
        <w:t>Normative Rules</w:t>
      </w:r>
    </w:p>
    <w:p>
      <w:pPr>
        <w:pStyle w:val="ListBullet"/>
      </w:pPr>
      <w:r>
        <w:t>Every duplicate purchase from copy 2 through copy 10 grants one Refinement Choice before planning lock.</w:t>
      </w:r>
    </w:p>
    <w:p>
      <w:pPr>
        <w:pStyle w:val="ListBullet"/>
      </w:pPr>
      <w:r>
        <w:t>The player chooses one of three generated legal refinements.</w:t>
      </w:r>
    </w:p>
    <w:p>
      <w:pPr>
        <w:pStyle w:val="ListBullet"/>
      </w:pPr>
      <w:r>
        <w:t>Baseline unit refinements: +8% base HP; +8% base damage/healing; -6% spawn interval; +1 maximum population; +5% move speed; ability-specific minor improvement.</w:t>
      </w:r>
    </w:p>
    <w:p>
      <w:pPr>
        <w:pStyle w:val="ListBullet"/>
      </w:pPr>
      <w:r>
        <w:t>Baseline structure refinements replace population/spawn options with +10% durability, +8% effect magnitude, -8% cooldown, or +1 charge where legal.</w:t>
      </w:r>
    </w:p>
    <w:p>
      <w:pPr>
        <w:pStyle w:val="ListBullet"/>
      </w:pPr>
      <w:r>
        <w:t>A refinement category may have a per-blueprint cap to prevent all ten selections stacking the same stat.</w:t>
      </w:r>
    </w:p>
    <w:p>
      <w:pPr>
        <w:pStyle w:val="ListBullet"/>
      </w:pPr>
      <w:r>
        <w:t>If a player times out, choose the refinement with the highest build compatibility score.</w:t>
      </w:r>
    </w:p>
    <w:p>
      <w:pPr>
        <w:pStyle w:val="Heading3"/>
      </w:pPr>
      <w:r>
        <w:t>Implementation Guidance</w:t>
      </w:r>
    </w:p>
    <w:p>
      <w:pPr>
        <w:pStyle w:val="ListBullet"/>
      </w:pPr>
      <w:r>
        <w:t>Store refinements as additive modifier records, not overwritten final stats.</w:t>
      </w:r>
    </w:p>
    <w:p>
      <w:pPr>
        <w:pStyle w:val="Heading2"/>
      </w:pPr>
      <w:r>
        <w:t>BP-005 — Sockets</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Purpose</w:t>
            </w:r>
          </w:p>
        </w:tc>
        <w:tc>
          <w:tcPr>
            <w:tcW w:type="dxa" w:w="5083"/>
            <w:vAlign w:val="center"/>
          </w:tcPr>
          <w:p>
            <w:r/>
            <w:r>
              <w:rPr>
                <w:b w:val="0"/>
                <w:sz w:val="18"/>
              </w:rPr>
              <w:t>Creates modular build customization.</w:t>
            </w:r>
          </w:p>
        </w:tc>
      </w:tr>
    </w:tbl>
    <w:p>
      <w:pPr>
        <w:pStyle w:val="Heading3"/>
      </w:pPr>
      <w:r>
        <w:t>Normative Rules</w:t>
      </w:r>
    </w:p>
    <w:p>
      <w:pPr>
        <w:pStyle w:val="ListBullet"/>
      </w:pPr>
      <w:r>
        <w:t>Socket 1 unlocks at copy count 1.</w:t>
      </w:r>
    </w:p>
    <w:p>
      <w:pPr>
        <w:pStyle w:val="ListBullet"/>
      </w:pPr>
      <w:r>
        <w:t>Socket 2 unlocks at copy count 4.</w:t>
      </w:r>
    </w:p>
    <w:p>
      <w:pPr>
        <w:pStyle w:val="ListBullet"/>
      </w:pPr>
      <w:r>
        <w:t>Socket 3 unlocks at copy count 9.</w:t>
      </w:r>
    </w:p>
    <w:p>
      <w:pPr>
        <w:pStyle w:val="ListBullet"/>
      </w:pPr>
      <w:r>
        <w:t>Each socket holds one Research item.</w:t>
      </w:r>
    </w:p>
    <w:p>
      <w:pPr>
        <w:pStyle w:val="ListBullet"/>
      </w:pPr>
      <w:r>
        <w:t>Research can be detached and moved during planning at no Gold cost in the prototype.</w:t>
      </w:r>
    </w:p>
    <w:p>
      <w:pPr>
        <w:pStyle w:val="ListBullet"/>
      </w:pPr>
      <w:r>
        <w:t>Research bench capacity: 6; configurable.</w:t>
      </w:r>
    </w:p>
    <w:p>
      <w:pPr>
        <w:pStyle w:val="ListBullet"/>
      </w:pPr>
      <w:r>
        <w:t>Identical unique research cannot be socketed twice on the same blueprint unless tagged Stackable.</w:t>
      </w:r>
    </w:p>
    <w:p>
      <w:pPr>
        <w:pStyle w:val="ListBullet"/>
      </w:pPr>
      <w:r>
        <w:t>Research effects apply to every entity produced by that blueprint unless the research targets the blueprint system itself.</w:t>
      </w:r>
    </w:p>
    <w:p>
      <w:pPr>
        <w:pStyle w:val="Heading2"/>
      </w:pPr>
      <w:r>
        <w:t>BP-006 — Ascension I</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Purpose</w:t>
            </w:r>
          </w:p>
        </w:tc>
        <w:tc>
          <w:tcPr>
            <w:tcW w:type="dxa" w:w="5083"/>
            <w:vAlign w:val="center"/>
          </w:tcPr>
          <w:p>
            <w:r/>
            <w:r>
              <w:rPr>
                <w:b w:val="0"/>
                <w:sz w:val="18"/>
              </w:rPr>
              <w:t>Creates the first major satisfaction milestone.</w:t>
            </w:r>
          </w:p>
        </w:tc>
      </w:tr>
    </w:tbl>
    <w:p>
      <w:pPr>
        <w:pStyle w:val="Heading3"/>
      </w:pPr>
      <w:r>
        <w:t>Normative Rules</w:t>
      </w:r>
    </w:p>
    <w:p>
      <w:pPr>
        <w:pStyle w:val="ListBullet"/>
      </w:pPr>
      <w:r>
        <w:t>Triggered immediately when copy count reaches 5.</w:t>
      </w:r>
    </w:p>
    <w:p>
      <w:pPr>
        <w:pStyle w:val="ListBullet"/>
      </w:pPr>
      <w:r>
        <w:t>Apply baseline ascension multiplier: +15% HP, +15% damage/healing, -10% spawn interval, and +1 population if legal.</w:t>
      </w:r>
    </w:p>
    <w:p>
      <w:pPr>
        <w:pStyle w:val="ListBullet"/>
      </w:pPr>
      <w:r>
        <w:t>Offer three evolution paths authored for that blueprint; choose one.</w:t>
      </w:r>
    </w:p>
    <w:p>
      <w:pPr>
        <w:pStyle w:val="ListBullet"/>
      </w:pPr>
      <w:r>
        <w:t>Evolution changes visuals, ability behavior, tags, and/or production profile—not only numbers.</w:t>
      </w:r>
    </w:p>
    <w:p>
      <w:pPr>
        <w:pStyle w:val="ListBullet"/>
      </w:pPr>
      <w:r>
        <w:t>The selected path is permanent unless a rare artifact explicitly enables respecialization.</w:t>
      </w:r>
    </w:p>
    <w:p>
      <w:pPr>
        <w:pStyle w:val="Heading2"/>
      </w:pPr>
      <w:r>
        <w:t>BP-007 — Ascension II</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Purpose</w:t>
            </w:r>
          </w:p>
        </w:tc>
        <w:tc>
          <w:tcPr>
            <w:tcW w:type="dxa" w:w="5083"/>
            <w:vAlign w:val="center"/>
          </w:tcPr>
          <w:p>
            <w:r/>
            <w:r>
              <w:rPr>
                <w:b w:val="0"/>
                <w:sz w:val="18"/>
              </w:rPr>
              <w:t>Creates a chase goal comparable to a TFT 3-star unit.</w:t>
            </w:r>
          </w:p>
        </w:tc>
      </w:tr>
    </w:tbl>
    <w:p>
      <w:pPr>
        <w:pStyle w:val="Heading3"/>
      </w:pPr>
      <w:r>
        <w:t>Normative Rules</w:t>
      </w:r>
    </w:p>
    <w:p>
      <w:pPr>
        <w:pStyle w:val="ListBullet"/>
      </w:pPr>
      <w:r>
        <w:t>Triggered at copy count 10.</w:t>
      </w:r>
    </w:p>
    <w:p>
      <w:pPr>
        <w:pStyle w:val="ListBullet"/>
      </w:pPr>
      <w:r>
        <w:t>Apply final multiplier: +30% HP and +25% damage/healing relative to Ascension I state; -10% spawn interval if not Elite-capped.</w:t>
      </w:r>
    </w:p>
    <w:p>
      <w:pPr>
        <w:pStyle w:val="ListBullet"/>
      </w:pPr>
      <w:r>
        <w:t>Upgrade the chosen Evolution I path into its authored final form.</w:t>
      </w:r>
    </w:p>
    <w:p>
      <w:pPr>
        <w:pStyle w:val="ListBullet"/>
      </w:pPr>
      <w:r>
        <w:t>Ascension II must receive a distinctive model, spawn effect, UI frame, and audio cue.</w:t>
      </w:r>
    </w:p>
    <w:p>
      <w:pPr>
        <w:pStyle w:val="ListBullet"/>
      </w:pPr>
      <w:r>
        <w:t>Tier 4-5 blueprints may use lower pool counts that make Ascension II intentionally rare but still mathematically possible in private pools.</w:t>
      </w:r>
    </w:p>
    <w:p>
      <w:pPr>
        <w:pStyle w:val="Heading2"/>
      </w:pPr>
      <w:r>
        <w:t>BP-008 — Population and Spawn Rate</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Purpose</w:t>
            </w:r>
          </w:p>
        </w:tc>
        <w:tc>
          <w:tcPr>
            <w:tcW w:type="dxa" w:w="5083"/>
            <w:vAlign w:val="center"/>
          </w:tcPr>
          <w:p>
            <w:r/>
            <w:r>
              <w:rPr>
                <w:b w:val="0"/>
                <w:sz w:val="18"/>
              </w:rPr>
              <w:t>Defines automatic production.</w:t>
            </w:r>
          </w:p>
        </w:tc>
      </w:tr>
    </w:tbl>
    <w:p>
      <w:pPr>
        <w:pStyle w:val="Heading3"/>
      </w:pPr>
      <w:r>
        <w:t>Normative Rules</w:t>
      </w:r>
    </w:p>
    <w:p>
      <w:pPr>
        <w:pStyle w:val="ListBullet"/>
      </w:pPr>
      <w:r>
        <w:t>Maximum Population is per blueprint, not a global army cap.</w:t>
      </w:r>
    </w:p>
    <w:p>
      <w:pPr>
        <w:pStyle w:val="ListBullet"/>
      </w:pPr>
      <w:r>
        <w:t>At combat start, each active unit blueprint begins with spawn timer 0 unless the unit has a Delayed tag.</w:t>
      </w:r>
    </w:p>
    <w:p>
      <w:pPr>
        <w:pStyle w:val="ListBullet"/>
      </w:pPr>
      <w:r>
        <w:t>When timer reaches zero and alive count is below maximum population, spawn one entity from the Nexus and reset timer to Spawn Interval.</w:t>
      </w:r>
    </w:p>
    <w:p>
      <w:pPr>
        <w:pStyle w:val="ListBullet"/>
      </w:pPr>
      <w:r>
        <w:t>Swarm effects may spawn batches; each spawned entity counts toward maximum population.</w:t>
      </w:r>
    </w:p>
    <w:p>
      <w:pPr>
        <w:pStyle w:val="ListBullet"/>
      </w:pPr>
      <w:r>
        <w:t>When a unit dies, alive count decreases immediately, allowing future replacement.</w:t>
      </w:r>
    </w:p>
    <w:p>
      <w:pPr>
        <w:pStyle w:val="ListBullet"/>
      </w:pPr>
      <w:r>
        <w:t>An entity already spawned remains alive even if its blueprint is disabled by an in-combat effect, unless the effect says otherwise.</w:t>
      </w:r>
    </w:p>
    <w:p>
      <w:pPr>
        <w:pStyle w:val="Heading2"/>
      </w:pPr>
      <w:r>
        <w:t>BP-009 — Structure Blueprints</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Purpose</w:t>
            </w:r>
          </w:p>
        </w:tc>
        <w:tc>
          <w:tcPr>
            <w:tcW w:type="dxa" w:w="5083"/>
            <w:vAlign w:val="center"/>
          </w:tcPr>
          <w:p>
            <w:r/>
            <w:r>
              <w:rPr>
                <w:b w:val="0"/>
                <w:sz w:val="18"/>
              </w:rPr>
              <w:t>Integrates buildings without separate production sites.</w:t>
            </w:r>
          </w:p>
        </w:tc>
      </w:tr>
    </w:tbl>
    <w:p>
      <w:pPr>
        <w:pStyle w:val="Heading3"/>
      </w:pPr>
      <w:r>
        <w:t>Normative Rules</w:t>
      </w:r>
    </w:p>
    <w:p>
      <w:pPr>
        <w:pStyle w:val="ListBullet"/>
      </w:pPr>
      <w:r>
        <w:t>A structure blueprint occupies one active slot and spawns/places its structure entity from the Nexus into a legal defensive placement point at combat start.</w:t>
      </w:r>
    </w:p>
    <w:p>
      <w:pPr>
        <w:pStyle w:val="ListBullet"/>
      </w:pPr>
      <w:r>
        <w:t>Most structures have maximum population 1 and no repeated respawn, or one delayed reconstruction if specified.</w:t>
      </w:r>
    </w:p>
    <w:p>
      <w:pPr>
        <w:pStyle w:val="ListBullet"/>
      </w:pPr>
      <w:r>
        <w:t>Structures may be economy, defense, adjacency, or utility focused.</w:t>
      </w:r>
    </w:p>
    <w:p>
      <w:pPr>
        <w:pStyle w:val="ListBullet"/>
      </w:pPr>
      <w:r>
        <w:t>Because they consume Blueprint Capacity, structures have a visible opportunity cost versus another unit type.</w:t>
      </w:r>
    </w:p>
    <w:p>
      <w:pPr>
        <w:pStyle w:val="Heading1"/>
      </w:pPr>
      <w:r>
        <w:t>2. Adjacency Effect Grammar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03864"/>
          </w:tcPr>
          <w:p>
            <w:r/>
            <w:r>
              <w:rPr>
                <w:b/>
                <w:color w:val="FFFFFF"/>
                <w:sz w:val="17"/>
              </w:rPr>
              <w:t>Pattern</w:t>
            </w:r>
          </w:p>
        </w:tc>
        <w:tc>
          <w:tcPr>
            <w:tcW w:type="dxa" w:w="3389"/>
            <w:vAlign w:val="center"/>
            <w:shd w:fill="203864"/>
          </w:tcPr>
          <w:p>
            <w:r/>
            <w:r>
              <w:rPr>
                <w:b/>
                <w:color w:val="FFFFFF"/>
                <w:sz w:val="17"/>
              </w:rPr>
              <w:t>Example</w:t>
            </w:r>
          </w:p>
        </w:tc>
        <w:tc>
          <w:tcPr>
            <w:tcW w:type="dxa" w:w="3389"/>
            <w:vAlign w:val="center"/>
            <w:shd w:fill="203864"/>
          </w:tcPr>
          <w:p>
            <w:r/>
            <w:r>
              <w:rPr>
                <w:b/>
                <w:color w:val="FFFFFF"/>
                <w:sz w:val="17"/>
              </w:rPr>
              <w:t>Resolution</w:t>
            </w:r>
          </w:p>
        </w:tc>
      </w:tr>
      <w:tr>
        <w:tc>
          <w:tcPr>
            <w:tcW w:type="dxa" w:w="3389"/>
            <w:vAlign w:val="center"/>
          </w:tcPr>
          <w:p>
            <w:r/>
            <w:r>
              <w:rPr>
                <w:b w:val="0"/>
                <w:sz w:val="17"/>
              </w:rPr>
              <w:t>Adjacent</w:t>
            </w:r>
          </w:p>
        </w:tc>
        <w:tc>
          <w:tcPr>
            <w:tcW w:type="dxa" w:w="3389"/>
            <w:vAlign w:val="center"/>
          </w:tcPr>
          <w:p>
            <w:r/>
            <w:r>
              <w:rPr>
                <w:b w:val="0"/>
                <w:sz w:val="17"/>
              </w:rPr>
              <w:t>Queen: adjacent Hive unit blueprints gain 12% spawn speed.</w:t>
            </w:r>
          </w:p>
        </w:tc>
        <w:tc>
          <w:tcPr>
            <w:tcW w:type="dxa" w:w="3389"/>
            <w:vAlign w:val="center"/>
          </w:tcPr>
          <w:p>
            <w:r/>
            <w:r>
              <w:rPr>
                <w:b w:val="0"/>
                <w:sz w:val="17"/>
              </w:rPr>
              <w:t>Applies to immediate left and right.</w:t>
            </w:r>
          </w:p>
        </w:tc>
      </w:tr>
      <w:tr>
        <w:tc>
          <w:tcPr>
            <w:tcW w:type="dxa" w:w="3389"/>
            <w:vAlign w:val="center"/>
          </w:tcPr>
          <w:p>
            <w:r/>
            <w:r>
              <w:rPr>
                <w:b w:val="0"/>
                <w:sz w:val="17"/>
              </w:rPr>
              <w:t>Left</w:t>
            </w:r>
          </w:p>
        </w:tc>
        <w:tc>
          <w:tcPr>
            <w:tcW w:type="dxa" w:w="3389"/>
            <w:vAlign w:val="center"/>
          </w:tcPr>
          <w:p>
            <w:r/>
            <w:r>
              <w:rPr>
                <w:b w:val="0"/>
                <w:sz w:val="17"/>
              </w:rPr>
              <w:t>Blood Altar: sacrifice 10% population from blueprint on the left.</w:t>
            </w:r>
          </w:p>
        </w:tc>
        <w:tc>
          <w:tcPr>
            <w:tcW w:type="dxa" w:w="3389"/>
            <w:vAlign w:val="center"/>
          </w:tcPr>
          <w:p>
            <w:r/>
            <w:r>
              <w:rPr>
                <w:b w:val="0"/>
                <w:sz w:val="17"/>
              </w:rPr>
              <w:t>Only immediate left; no effect if empty.</w:t>
            </w:r>
          </w:p>
        </w:tc>
      </w:tr>
      <w:tr>
        <w:tc>
          <w:tcPr>
            <w:tcW w:type="dxa" w:w="3389"/>
            <w:vAlign w:val="center"/>
          </w:tcPr>
          <w:p>
            <w:r/>
            <w:r>
              <w:rPr>
                <w:b w:val="0"/>
                <w:sz w:val="17"/>
              </w:rPr>
              <w:t>Right</w:t>
            </w:r>
          </w:p>
        </w:tc>
        <w:tc>
          <w:tcPr>
            <w:tcW w:type="dxa" w:w="3389"/>
            <w:vAlign w:val="center"/>
          </w:tcPr>
          <w:p>
            <w:r/>
            <w:r>
              <w:rPr>
                <w:b w:val="0"/>
                <w:sz w:val="17"/>
              </w:rPr>
              <w:t>Banner: right blueprint gains armor.</w:t>
            </w:r>
          </w:p>
        </w:tc>
        <w:tc>
          <w:tcPr>
            <w:tcW w:type="dxa" w:w="3389"/>
            <w:vAlign w:val="center"/>
          </w:tcPr>
          <w:p>
            <w:r/>
            <w:r>
              <w:rPr>
                <w:b w:val="0"/>
                <w:sz w:val="17"/>
              </w:rPr>
              <w:t>Only immediate right.</w:t>
            </w:r>
          </w:p>
        </w:tc>
      </w:tr>
      <w:tr>
        <w:tc>
          <w:tcPr>
            <w:tcW w:type="dxa" w:w="3389"/>
            <w:vAlign w:val="center"/>
          </w:tcPr>
          <w:p>
            <w:r/>
            <w:r>
              <w:rPr>
                <w:b w:val="0"/>
                <w:sz w:val="17"/>
              </w:rPr>
              <w:t>All Left</w:t>
            </w:r>
          </w:p>
        </w:tc>
        <w:tc>
          <w:tcPr>
            <w:tcW w:type="dxa" w:w="3389"/>
            <w:vAlign w:val="center"/>
          </w:tcPr>
          <w:p>
            <w:r/>
            <w:r>
              <w:rPr>
                <w:b w:val="0"/>
                <w:sz w:val="17"/>
              </w:rPr>
              <w:t>Command Post: all military blueprints to the left gain move speed.</w:t>
            </w:r>
          </w:p>
        </w:tc>
        <w:tc>
          <w:tcPr>
            <w:tcW w:type="dxa" w:w="3389"/>
            <w:vAlign w:val="center"/>
          </w:tcPr>
          <w:p>
            <w:r/>
            <w:r>
              <w:rPr>
                <w:b w:val="0"/>
                <w:sz w:val="17"/>
              </w:rPr>
              <w:t>Iterate lower slot indices.</w:t>
            </w:r>
          </w:p>
        </w:tc>
      </w:tr>
      <w:tr>
        <w:tc>
          <w:tcPr>
            <w:tcW w:type="dxa" w:w="3389"/>
            <w:vAlign w:val="center"/>
          </w:tcPr>
          <w:p>
            <w:r/>
            <w:r>
              <w:rPr>
                <w:b w:val="0"/>
                <w:sz w:val="17"/>
              </w:rPr>
              <w:t>All Right</w:t>
            </w:r>
          </w:p>
        </w:tc>
        <w:tc>
          <w:tcPr>
            <w:tcW w:type="dxa" w:w="3389"/>
            <w:vAlign w:val="center"/>
          </w:tcPr>
          <w:p>
            <w:r/>
            <w:r>
              <w:rPr>
                <w:b w:val="0"/>
                <w:sz w:val="17"/>
              </w:rPr>
              <w:t>Cursed Idol: all right-side blueprints gain damage but lose HP.</w:t>
            </w:r>
          </w:p>
        </w:tc>
        <w:tc>
          <w:tcPr>
            <w:tcW w:type="dxa" w:w="3389"/>
            <w:vAlign w:val="center"/>
          </w:tcPr>
          <w:p>
            <w:r/>
            <w:r>
              <w:rPr>
                <w:b w:val="0"/>
                <w:sz w:val="17"/>
              </w:rPr>
              <w:t>Iterate higher indices.</w:t>
            </w:r>
          </w:p>
        </w:tc>
      </w:tr>
      <w:tr>
        <w:tc>
          <w:tcPr>
            <w:tcW w:type="dxa" w:w="3389"/>
            <w:vAlign w:val="center"/>
          </w:tcPr>
          <w:p>
            <w:r/>
            <w:r>
              <w:rPr>
                <w:b w:val="0"/>
                <w:sz w:val="17"/>
              </w:rPr>
              <w:t>Self from Neighbors</w:t>
            </w:r>
          </w:p>
        </w:tc>
        <w:tc>
          <w:tcPr>
            <w:tcW w:type="dxa" w:w="3389"/>
            <w:vAlign w:val="center"/>
          </w:tcPr>
          <w:p>
            <w:r/>
            <w:r>
              <w:rPr>
                <w:b w:val="0"/>
                <w:sz w:val="17"/>
              </w:rPr>
              <w:t>Devourer: gains 10% damage per adjacent blueprint but reduces their spawn speed.</w:t>
            </w:r>
          </w:p>
        </w:tc>
        <w:tc>
          <w:tcPr>
            <w:tcW w:type="dxa" w:w="3389"/>
            <w:vAlign w:val="center"/>
          </w:tcPr>
          <w:p>
            <w:r/>
            <w:r>
              <w:rPr>
                <w:b w:val="0"/>
                <w:sz w:val="17"/>
              </w:rPr>
              <w:t>Compute neighbors first, then self.</w:t>
            </w:r>
          </w:p>
        </w:tc>
      </w:tr>
      <w:tr>
        <w:tc>
          <w:tcPr>
            <w:tcW w:type="dxa" w:w="3389"/>
            <w:vAlign w:val="center"/>
          </w:tcPr>
          <w:p>
            <w:r/>
            <w:r>
              <w:rPr>
                <w:b w:val="0"/>
                <w:sz w:val="17"/>
              </w:rPr>
              <w:t>Tag Conditional</w:t>
            </w:r>
          </w:p>
        </w:tc>
        <w:tc>
          <w:tcPr>
            <w:tcW w:type="dxa" w:w="3389"/>
            <w:vAlign w:val="center"/>
          </w:tcPr>
          <w:p>
            <w:r/>
            <w:r>
              <w:rPr>
                <w:b w:val="0"/>
                <w:sz w:val="17"/>
              </w:rPr>
              <w:t>Church: adjacent Holy or Human blueprints gain Faith effects.</w:t>
            </w:r>
          </w:p>
        </w:tc>
        <w:tc>
          <w:tcPr>
            <w:tcW w:type="dxa" w:w="3389"/>
            <w:vAlign w:val="center"/>
          </w:tcPr>
          <w:p>
            <w:r/>
            <w:r>
              <w:rPr>
                <w:b w:val="0"/>
                <w:sz w:val="17"/>
              </w:rPr>
              <w:t>Filter by content tags.</w:t>
            </w:r>
          </w:p>
        </w:tc>
      </w:tr>
    </w:tbl>
    <w:p>
      <w:pPr>
        <w:pStyle w:val="Heading1"/>
      </w:pPr>
      <w:r>
        <w:t>3. Modifier Resolution Order</w:t>
      </w:r>
    </w:p>
    <w:p>
      <w:pPr>
        <w:pStyle w:val="ListNumber"/>
      </w:pPr>
      <w:r>
        <w:t>Load base definition stats.</w:t>
      </w:r>
    </w:p>
    <w:p>
      <w:pPr>
        <w:pStyle w:val="ListNumber"/>
      </w:pPr>
      <w:r>
        <w:t>Apply copy-count refinements.</w:t>
      </w:r>
    </w:p>
    <w:p>
      <w:pPr>
        <w:pStyle w:val="ListNumber"/>
      </w:pPr>
      <w:r>
        <w:t>Apply Ascension baseline modifiers.</w:t>
      </w:r>
    </w:p>
    <w:p>
      <w:pPr>
        <w:pStyle w:val="ListNumber"/>
      </w:pPr>
      <w:r>
        <w:t>Apply evolution definition changes.</w:t>
      </w:r>
    </w:p>
    <w:p>
      <w:pPr>
        <w:pStyle w:val="ListNumber"/>
      </w:pPr>
      <w:r>
        <w:t>Apply socketed research.</w:t>
      </w:r>
    </w:p>
    <w:p>
      <w:pPr>
        <w:pStyle w:val="ListNumber"/>
      </w:pPr>
      <w:r>
        <w:t>Apply philosophy modifiers.</w:t>
      </w:r>
    </w:p>
    <w:p>
      <w:pPr>
        <w:pStyle w:val="ListNumber"/>
      </w:pPr>
      <w:r>
        <w:t>Apply artifact global modifiers.</w:t>
      </w:r>
    </w:p>
    <w:p>
      <w:pPr>
        <w:pStyle w:val="ListNumber"/>
      </w:pPr>
      <w:r>
        <w:t>Apply board adjacency modifiers.</w:t>
      </w:r>
    </w:p>
    <w:p>
      <w:pPr>
        <w:pStyle w:val="ListNumber"/>
      </w:pPr>
      <w:r>
        <w:t>Apply opponent/map modifiers.</w:t>
      </w:r>
    </w:p>
    <w:p>
      <w:pPr>
        <w:pStyle w:val="ListNumber"/>
      </w:pPr>
      <w:r>
        <w:t>Clamp legal minimums and maximums.</w:t>
      </w:r>
    </w:p>
    <w:p>
      <w:pPr>
        <w:pStyle w:val="ListNumber"/>
      </w:pPr>
      <w:r>
        <w:t>Snapshot combat stats at planning lock; dynamic combat buffs are applied afterward.</w:t>
      </w:r>
    </w:p>
    <w:p>
      <w:pPr>
        <w:pStyle w:val="Heading1"/>
      </w:pPr>
      <w:r>
        <w:t>4. Blueprint Replacement Example</w:t>
      </w:r>
    </w:p>
    <w:p>
      <w:r>
        <w:t>A Level 2 Hive player has four active slots: Spider — Queen — Creep Tumor — Beetle. The player buys a neutral Bear while the bench has room. Bear enters the bench. During planning the player moves Creep Tumor to the bench and inserts Bear between Queen and Beetle. Queen now buffs Spider and Bear only if Bear has been Hive-mutated or the Queen effect accepts Organic tags; Beetle loses the Queen adjacency bonus. This reconfiguration requires no sale and is fully reversible before lock.</w:t>
      </w:r>
    </w:p>
    <w:p>
      <w:pPr>
        <w:pStyle w:val="Heading1"/>
      </w:pPr>
      <w:r>
        <w:t>5. Validation Rules</w:t>
      </w:r>
    </w:p>
    <w:p>
      <w:pPr>
        <w:pStyle w:val="ListBullet"/>
      </w:pPr>
      <w:r>
        <w:t>Active count cannot exceed Blueprint Capacity.</w:t>
      </w:r>
    </w:p>
    <w:p>
      <w:pPr>
        <w:pStyle w:val="ListBullet"/>
      </w:pPr>
      <w:r>
        <w:t>Every active mobile blueprint requires a legal lane assignment.</w:t>
      </w:r>
    </w:p>
    <w:p>
      <w:pPr>
        <w:pStyle w:val="ListBullet"/>
      </w:pPr>
      <w:r>
        <w:t>Defense stance is legal for all combat units but is subject to anti-stall combat rules.</w:t>
      </w:r>
    </w:p>
    <w:p>
      <w:pPr>
        <w:pStyle w:val="ListBullet"/>
      </w:pPr>
      <w:r>
        <w:t>A research item can exist in exactly one socket or one research bench slot.</w:t>
      </w:r>
    </w:p>
    <w:p>
      <w:pPr>
        <w:pStyle w:val="ListBullet"/>
      </w:pPr>
      <w:r>
        <w:t>No blueprint may exceed copy count 10 in the prototype; further shop copies are removed from offers.</w:t>
      </w:r>
    </w:p>
    <w:p>
      <w:pPr>
        <w:pStyle w:val="ListBullet"/>
      </w:pPr>
      <w:r>
        <w:t>An evolution offer must contain only legal paths; if fewer than three authored paths exist, show all legal paths and no filler.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Blueprint Civilizations | Volume 03 | Prototype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