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16</w:t>
        <w:br/>
        <w:t>Structured Content Database and Implementation Index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Provides a compact master index of prototype content and exports machine-readable JSON alongside the documents.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Content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5"/>
              </w:rPr>
              <w:t>Affinity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5"/>
              </w:rPr>
              <w:t>Kind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5"/>
              </w:rPr>
              <w:t>Tier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5"/>
              </w:rPr>
              <w:t>Gold Cost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5"/>
              </w:rPr>
              <w:t>Name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HIVE_LARVA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Larva Brood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HIVE_SPIDER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Web Spider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HIVE_BEETLE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Shell Beetle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HIVE_MANTIS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Razor Mantis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HIVE_SPITTER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Acid Spitter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HIVE_DRONE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Creep Drone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HIVE_QUEENLING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Queenling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HIVE_FLYER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Needlewing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HIVE_TITAN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Titan Beetle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HIVE_PARASITE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Neural Parasite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HIVE_LEVIATHAN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Leviathan Egg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CULT_ACOLYTE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Acolyte Circle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CULT_SKELETON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Skeleton Cohort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CULT_IMP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Bound Imps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CULT_NECRO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Necromancer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CULT_WARLOCK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Warlock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CULT_GOLEM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Flesh Golem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CULT_SUCCUBUS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Temptress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CULT_DEMON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Horned Demon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CULT_LICH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Lich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CULT_ALTARBEAST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Altar Beast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CULT_ARCHDEMON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Archdemon Contract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HUM_MILITIA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Militia Muster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HUM_ARCHER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Crossbow Company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HUM_PRIEST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Chapel Priests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HUM_KNIGHT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Knight Order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HUM_SCOUT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Rangers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HUM_MAGE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Court Mage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HUM_BALLISTA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Ballista Crew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HUM_PALADIN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Paladin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HUM_ANGEL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Angel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HUM_SIEGE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Trebuchet Battery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HUM_CHAMPION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Chosen Champion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HIVE_STR_01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Creep Tumor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HIVE_STR_02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Biomass Pool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HIVE_STR_03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Evolution Chamber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HIVE_STR_04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Spore Tower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HIVE_STR_05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Living Wall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CULTISTS_STR_01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Soul Well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CULTISTS_STR_02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Profane Altar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CULTISTS_STR_03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Crypt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CULTISTS_STR_04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Curse Totem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CULTISTS_STR_05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Cultists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Demon Gate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HUMANS_STR_01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Marketplace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HUMANS_STR_02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Barricade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HUMANS_STR_03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Church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HUMANS_STR_04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Blacksmith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HUMANS_STR_05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Humans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Structure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Ballista Tower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NEU_WOLF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Neutral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Dire Wolves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NEU_BEAR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Neutral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Great Bear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NEU_GRIFFIN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Neutral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Griffin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NEU_TROLL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Neutral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Troll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NEU_DRAGON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Neutral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Young Dragon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NEU_PHOENIX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Neutral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Unit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5"/>
              </w:rPr>
              <w:t>Phoenix</w:t>
            </w:r>
          </w:p>
        </w:tc>
      </w:tr>
    </w:tbl>
    <w:p>
      <w:pPr>
        <w:pStyle w:val="Heading1"/>
      </w:pPr>
      <w:r>
        <w:t>2. Machine-Readable Export</w:t>
      </w:r>
    </w:p>
    <w:p>
      <w:r>
        <w:t>The package includes content_database_v0.1.json containing race, unit, structure, research, artifact, economy, shop, and timing definitions. A coding agent should import this file as seed data, then convert it into the target engine’s data-asset format.</w:t>
      </w:r>
    </w:p>
    <w:p>
      <w:pPr>
        <w:pStyle w:val="Heading1"/>
      </w:pPr>
      <w:r>
        <w:t>3. Known Prototype Decisions</w:t>
      </w:r>
    </w:p>
    <w:p>
      <w:pPr>
        <w:pStyle w:val="ListBullet"/>
      </w:pPr>
      <w:r>
        <w:t>Numbers are balanced as coherent starting points, not promised final live values.</w:t>
      </w:r>
    </w:p>
    <w:p>
      <w:pPr>
        <w:pStyle w:val="ListBullet"/>
      </w:pPr>
      <w:r>
        <w:t>All costs, stats, timers, odds, caps, and pool sizes must be configurable.</w:t>
      </w:r>
    </w:p>
    <w:p>
      <w:pPr>
        <w:pStyle w:val="ListBullet"/>
      </w:pPr>
      <w:r>
        <w:t>Each unit has three Ascension I concepts and corresponding Ascension II finals; detailed per-path numeric tuning should be authored during implementation/playtest while preserving listed identities.</w:t>
      </w:r>
    </w:p>
    <w:p>
      <w:pPr>
        <w:pStyle w:val="ListBullet"/>
      </w:pPr>
      <w:r>
        <w:t>No new mechanic should be inferred from a name alone; use its description and rule references.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16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