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01B3" w14:textId="436032FB" w:rsidR="00400DA0" w:rsidRDefault="00673E9B" w:rsidP="00673E9B">
      <w:pPr>
        <w:pStyle w:val="Title"/>
        <w:rPr>
          <w:rFonts w:ascii="Times New Roman" w:hAnsi="Times New Roman" w:cs="Times New Roman"/>
        </w:rPr>
      </w:pPr>
      <w:r w:rsidRPr="00673E9B">
        <w:rPr>
          <w:rFonts w:ascii="Times New Roman" w:hAnsi="Times New Roman" w:cs="Times New Roman"/>
        </w:rPr>
        <w:t>Data Model for Decision Support</w:t>
      </w:r>
    </w:p>
    <w:p w14:paraId="40A0DD52" w14:textId="63EE0B33" w:rsidR="00673E9B" w:rsidRPr="00F2349B" w:rsidRDefault="00673E9B" w:rsidP="00F234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</w:t>
      </w:r>
      <w:r w:rsidR="00E63C43">
        <w:rPr>
          <w:rFonts w:ascii="Times New Roman" w:hAnsi="Times New Roman" w:cs="Times New Roman"/>
        </w:rPr>
        <w:t>1</w:t>
      </w:r>
    </w:p>
    <w:p w14:paraId="4C628021" w14:textId="10253114" w:rsidR="00F2349B" w:rsidRDefault="00F2349B" w:rsidP="00F2349B">
      <w:pPr>
        <w:pStyle w:val="Heading1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F2349B">
        <w:rPr>
          <w:rFonts w:ascii="Times New Roman" w:hAnsi="Times New Roman" w:cs="Times New Roman"/>
        </w:rPr>
        <w:t>Logical Data Model</w:t>
      </w:r>
    </w:p>
    <w:p w14:paraId="288104BA" w14:textId="2ABE446A" w:rsidR="00BC7401" w:rsidRDefault="00BC7401" w:rsidP="00BC7401">
      <w:pPr>
        <w:jc w:val="both"/>
        <w:rPr>
          <w:rFonts w:ascii="Times New Roman" w:hAnsi="Times New Roman" w:cs="Times New Roman"/>
        </w:rPr>
      </w:pPr>
      <w:r w:rsidRPr="00BC7401">
        <w:rPr>
          <w:rFonts w:ascii="Times New Roman" w:hAnsi="Times New Roman" w:cs="Times New Roman"/>
        </w:rPr>
        <w:t>This model exists to support a go/no-go capital deployment decision under standardized execution rules.</w:t>
      </w:r>
    </w:p>
    <w:p w14:paraId="3B3AF97A" w14:textId="37F663BC" w:rsidR="00477FB3" w:rsidRPr="00477FB3" w:rsidRDefault="00477FB3" w:rsidP="00477FB3">
      <w:pPr>
        <w:pStyle w:val="ListParagraph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</w:rPr>
      </w:pPr>
      <w:r w:rsidRPr="00477FB3">
        <w:rPr>
          <w:rFonts w:ascii="Times New Roman" w:hAnsi="Times New Roman" w:cs="Times New Roman"/>
          <w:b/>
          <w:bCs/>
        </w:rPr>
        <w:t>Model Scope &amp; Assumptions</w:t>
      </w:r>
    </w:p>
    <w:p w14:paraId="6081919D" w14:textId="77777777" w:rsidR="00477FB3" w:rsidRPr="00477FB3" w:rsidRDefault="00477FB3" w:rsidP="00477F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77FB3">
        <w:rPr>
          <w:rFonts w:ascii="Times New Roman" w:hAnsi="Times New Roman" w:cs="Times New Roman"/>
          <w:b/>
          <w:bCs/>
        </w:rPr>
        <w:t>Strategic Purpose:</w:t>
      </w:r>
      <w:r w:rsidRPr="00477FB3">
        <w:rPr>
          <w:rFonts w:ascii="Times New Roman" w:hAnsi="Times New Roman" w:cs="Times New Roman"/>
        </w:rPr>
        <w:t xml:space="preserve"> This data model exists to support a binary </w:t>
      </w:r>
      <w:r w:rsidRPr="00477FB3">
        <w:rPr>
          <w:rFonts w:ascii="Times New Roman" w:hAnsi="Times New Roman" w:cs="Times New Roman"/>
          <w:b/>
          <w:bCs/>
        </w:rPr>
        <w:t>Go/No-Go capital deployment decision</w:t>
      </w:r>
      <w:r w:rsidRPr="00477FB3">
        <w:rPr>
          <w:rFonts w:ascii="Times New Roman" w:hAnsi="Times New Roman" w:cs="Times New Roman"/>
        </w:rPr>
        <w:t xml:space="preserve"> under standardized execution rules. It is designed to expose systematic risk violations that might be concealed by aggregate profitability.</w:t>
      </w:r>
    </w:p>
    <w:p w14:paraId="65BC1B22" w14:textId="77777777" w:rsidR="00477FB3" w:rsidRPr="00477FB3" w:rsidRDefault="00477FB3" w:rsidP="00477F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77FB3">
        <w:rPr>
          <w:rFonts w:ascii="Times New Roman" w:hAnsi="Times New Roman" w:cs="Times New Roman"/>
          <w:b/>
          <w:bCs/>
        </w:rPr>
        <w:t>Grain Assumption (Time):</w:t>
      </w:r>
      <w:r w:rsidRPr="00477FB3">
        <w:rPr>
          <w:rFonts w:ascii="Times New Roman" w:hAnsi="Times New Roman" w:cs="Times New Roman"/>
        </w:rPr>
        <w:t xml:space="preserve"> The model currently utilizes a </w:t>
      </w:r>
      <w:r w:rsidRPr="00477FB3">
        <w:rPr>
          <w:rFonts w:ascii="Times New Roman" w:hAnsi="Times New Roman" w:cs="Times New Roman"/>
          <w:b/>
          <w:bCs/>
        </w:rPr>
        <w:t>Calendar Day (00:00–23:59)</w:t>
      </w:r>
      <w:r w:rsidRPr="00477FB3">
        <w:rPr>
          <w:rFonts w:ascii="Times New Roman" w:hAnsi="Times New Roman" w:cs="Times New Roman"/>
        </w:rPr>
        <w:t xml:space="preserve"> grain for "Daily Performance." This is accepted as a standard proxy for "Trading Session" in a 24/7 synthetic market. </w:t>
      </w:r>
      <w:r w:rsidRPr="00477FB3">
        <w:rPr>
          <w:rFonts w:ascii="Times New Roman" w:hAnsi="Times New Roman" w:cs="Times New Roman"/>
          <w:i/>
          <w:iCs/>
        </w:rPr>
        <w:t>Note: If intraday volatility regimes shift significantly, this may be refactored to a volatility-based "Session Grain" in future iterations.</w:t>
      </w:r>
    </w:p>
    <w:p w14:paraId="7C69E527" w14:textId="77777777" w:rsidR="00477FB3" w:rsidRPr="00477FB3" w:rsidRDefault="00477FB3" w:rsidP="00477F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77FB3">
        <w:rPr>
          <w:rFonts w:ascii="Times New Roman" w:hAnsi="Times New Roman" w:cs="Times New Roman"/>
          <w:b/>
          <w:bCs/>
        </w:rPr>
        <w:t>Risk Calculation Assumption:</w:t>
      </w:r>
      <w:r w:rsidRPr="00477FB3">
        <w:rPr>
          <w:rFonts w:ascii="Times New Roman" w:hAnsi="Times New Roman" w:cs="Times New Roman"/>
        </w:rPr>
        <w:t xml:space="preserve"> "Risk Percent" in </w:t>
      </w:r>
      <w:proofErr w:type="spellStart"/>
      <w:r w:rsidRPr="00477FB3">
        <w:rPr>
          <w:rFonts w:ascii="Times New Roman" w:hAnsi="Times New Roman" w:cs="Times New Roman"/>
        </w:rPr>
        <w:t>Fact_Trades</w:t>
      </w:r>
      <w:proofErr w:type="spellEnd"/>
      <w:r w:rsidRPr="00477FB3">
        <w:rPr>
          <w:rFonts w:ascii="Times New Roman" w:hAnsi="Times New Roman" w:cs="Times New Roman"/>
        </w:rPr>
        <w:t xml:space="preserve"> uses </w:t>
      </w:r>
      <w:proofErr w:type="spellStart"/>
      <w:r w:rsidRPr="00477FB3">
        <w:rPr>
          <w:rFonts w:ascii="Times New Roman" w:hAnsi="Times New Roman" w:cs="Times New Roman"/>
        </w:rPr>
        <w:t>OpenBalance</w:t>
      </w:r>
      <w:proofErr w:type="spellEnd"/>
      <w:r w:rsidRPr="00477FB3">
        <w:rPr>
          <w:rFonts w:ascii="Times New Roman" w:hAnsi="Times New Roman" w:cs="Times New Roman"/>
        </w:rPr>
        <w:t xml:space="preserve"> as a proxy for </w:t>
      </w:r>
      <w:proofErr w:type="spellStart"/>
      <w:r w:rsidRPr="00477FB3">
        <w:rPr>
          <w:rFonts w:ascii="Times New Roman" w:hAnsi="Times New Roman" w:cs="Times New Roman"/>
        </w:rPr>
        <w:t>AccountEquity</w:t>
      </w:r>
      <w:proofErr w:type="spellEnd"/>
      <w:r w:rsidRPr="00477FB3">
        <w:rPr>
          <w:rFonts w:ascii="Times New Roman" w:hAnsi="Times New Roman" w:cs="Times New Roman"/>
        </w:rPr>
        <w:t>. It assumes a standard Contract Size/Tick Value is applied consistently across the Step Index asset class.</w:t>
      </w:r>
    </w:p>
    <w:p w14:paraId="52D24A39" w14:textId="0C2557FF" w:rsidR="001818A4" w:rsidRPr="00477FB3" w:rsidRDefault="00477FB3" w:rsidP="00BC74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77FB3">
        <w:rPr>
          <w:rFonts w:ascii="Times New Roman" w:hAnsi="Times New Roman" w:cs="Times New Roman"/>
          <w:b/>
          <w:bCs/>
        </w:rPr>
        <w:t>Drawdown Definition:</w:t>
      </w:r>
      <w:r w:rsidRPr="00477FB3">
        <w:rPr>
          <w:rFonts w:ascii="Times New Roman" w:hAnsi="Times New Roman" w:cs="Times New Roman"/>
        </w:rPr>
        <w:t xml:space="preserve"> </w:t>
      </w:r>
      <w:proofErr w:type="spellStart"/>
      <w:r w:rsidRPr="00477FB3">
        <w:rPr>
          <w:rFonts w:ascii="Times New Roman" w:hAnsi="Times New Roman" w:cs="Times New Roman"/>
        </w:rPr>
        <w:t>DailyDrawdown</w:t>
      </w:r>
      <w:proofErr w:type="spellEnd"/>
      <w:r w:rsidRPr="00477FB3">
        <w:rPr>
          <w:rFonts w:ascii="Times New Roman" w:hAnsi="Times New Roman" w:cs="Times New Roman"/>
        </w:rPr>
        <w:t xml:space="preserve"> in </w:t>
      </w:r>
      <w:proofErr w:type="spellStart"/>
      <w:r w:rsidRPr="00477FB3">
        <w:rPr>
          <w:rFonts w:ascii="Times New Roman" w:hAnsi="Times New Roman" w:cs="Times New Roman"/>
        </w:rPr>
        <w:t>Fact_Daily_Account</w:t>
      </w:r>
      <w:proofErr w:type="spellEnd"/>
      <w:r w:rsidRPr="00477FB3">
        <w:rPr>
          <w:rFonts w:ascii="Times New Roman" w:hAnsi="Times New Roman" w:cs="Times New Roman"/>
        </w:rPr>
        <w:t xml:space="preserve"> is defined as the </w:t>
      </w:r>
      <w:r w:rsidRPr="00477FB3">
        <w:rPr>
          <w:rFonts w:ascii="Times New Roman" w:hAnsi="Times New Roman" w:cs="Times New Roman"/>
          <w:b/>
          <w:bCs/>
        </w:rPr>
        <w:t>Peak-to-Trough</w:t>
      </w:r>
      <w:r w:rsidRPr="00477FB3">
        <w:rPr>
          <w:rFonts w:ascii="Times New Roman" w:hAnsi="Times New Roman" w:cs="Times New Roman"/>
        </w:rPr>
        <w:t xml:space="preserve"> decline observed within the 24-hour window, not just the close-to-close variance.</w:t>
      </w:r>
    </w:p>
    <w:p w14:paraId="28E8D00E" w14:textId="77777777" w:rsidR="001818A4" w:rsidRPr="00BC7401" w:rsidRDefault="001818A4" w:rsidP="00BC7401">
      <w:pPr>
        <w:jc w:val="both"/>
        <w:rPr>
          <w:rFonts w:ascii="Times New Roman" w:hAnsi="Times New Roman" w:cs="Times New Roman"/>
        </w:rPr>
      </w:pPr>
    </w:p>
    <w:p w14:paraId="59D72A67" w14:textId="33740E48" w:rsidR="007870F4" w:rsidRPr="00477FB3" w:rsidRDefault="007870F4" w:rsidP="00477FB3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b/>
          <w:bCs/>
        </w:rPr>
      </w:pPr>
      <w:r w:rsidRPr="00477F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7FB3">
        <w:rPr>
          <w:rFonts w:ascii="Times New Roman" w:hAnsi="Times New Roman" w:cs="Times New Roman"/>
          <w:b/>
          <w:bCs/>
        </w:rPr>
        <w:t>Fact_Trades</w:t>
      </w:r>
      <w:proofErr w:type="spellEnd"/>
      <w:r w:rsidRPr="00477FB3">
        <w:rPr>
          <w:rFonts w:ascii="Times New Roman" w:hAnsi="Times New Roman" w:cs="Times New Roman"/>
          <w:b/>
          <w:bCs/>
        </w:rPr>
        <w:t xml:space="preserve"> (The "Raw" Truth)</w:t>
      </w:r>
    </w:p>
    <w:p w14:paraId="2E82A628" w14:textId="77777777" w:rsidR="007870F4" w:rsidRPr="007870F4" w:rsidRDefault="007870F4" w:rsidP="007870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Grain:</w:t>
      </w:r>
      <w:r w:rsidRPr="007870F4">
        <w:rPr>
          <w:rFonts w:ascii="Times New Roman" w:hAnsi="Times New Roman" w:cs="Times New Roman"/>
        </w:rPr>
        <w:t xml:space="preserve"> One row per individual trade.</w:t>
      </w:r>
    </w:p>
    <w:p w14:paraId="652D2638" w14:textId="77777777" w:rsidR="007870F4" w:rsidRPr="007870F4" w:rsidRDefault="007870F4" w:rsidP="007870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Purpose:</w:t>
      </w:r>
      <w:r w:rsidRPr="007870F4">
        <w:rPr>
          <w:rFonts w:ascii="Times New Roman" w:hAnsi="Times New Roman" w:cs="Times New Roman"/>
        </w:rPr>
        <w:t xml:space="preserve"> Calculates Risk % and Duration Drift.</w:t>
      </w:r>
    </w:p>
    <w:p w14:paraId="10201C72" w14:textId="77777777" w:rsidR="007870F4" w:rsidRPr="007870F4" w:rsidRDefault="007870F4" w:rsidP="007870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Columns (Headers):</w:t>
      </w:r>
    </w:p>
    <w:p w14:paraId="3AEFFCAF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TradeID</w:t>
      </w:r>
      <w:proofErr w:type="spellEnd"/>
      <w:r w:rsidRPr="007870F4">
        <w:rPr>
          <w:rFonts w:ascii="Times New Roman" w:hAnsi="Times New Roman" w:cs="Times New Roman"/>
        </w:rPr>
        <w:t xml:space="preserve"> (The MT5 Ticket Number)</w:t>
      </w:r>
    </w:p>
    <w:p w14:paraId="23BD930D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</w:rPr>
        <w:t>Symbol (e.g., "Step Index 200")</w:t>
      </w:r>
    </w:p>
    <w:p w14:paraId="3ABF2C85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OpenTime</w:t>
      </w:r>
      <w:proofErr w:type="spellEnd"/>
      <w:r w:rsidRPr="007870F4">
        <w:rPr>
          <w:rFonts w:ascii="Times New Roman" w:hAnsi="Times New Roman" w:cs="Times New Roman"/>
        </w:rPr>
        <w:t xml:space="preserve"> (</w:t>
      </w:r>
      <w:proofErr w:type="spellStart"/>
      <w:r w:rsidRPr="007870F4">
        <w:rPr>
          <w:rFonts w:ascii="Times New Roman" w:hAnsi="Times New Roman" w:cs="Times New Roman"/>
        </w:rPr>
        <w:t>DateTime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531BB924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CloseTime</w:t>
      </w:r>
      <w:proofErr w:type="spellEnd"/>
      <w:r w:rsidRPr="007870F4">
        <w:rPr>
          <w:rFonts w:ascii="Times New Roman" w:hAnsi="Times New Roman" w:cs="Times New Roman"/>
        </w:rPr>
        <w:t xml:space="preserve"> (</w:t>
      </w:r>
      <w:proofErr w:type="spellStart"/>
      <w:r w:rsidRPr="007870F4">
        <w:rPr>
          <w:rFonts w:ascii="Times New Roman" w:hAnsi="Times New Roman" w:cs="Times New Roman"/>
        </w:rPr>
        <w:t>DateTime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699A7736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DurationSeconds</w:t>
      </w:r>
      <w:proofErr w:type="spellEnd"/>
      <w:r w:rsidRPr="007870F4">
        <w:rPr>
          <w:rFonts w:ascii="Times New Roman" w:hAnsi="Times New Roman" w:cs="Times New Roman"/>
        </w:rPr>
        <w:t xml:space="preserve"> (Formula: </w:t>
      </w:r>
      <w:proofErr w:type="spellStart"/>
      <w:r w:rsidRPr="007870F4">
        <w:rPr>
          <w:rFonts w:ascii="Times New Roman" w:hAnsi="Times New Roman" w:cs="Times New Roman"/>
        </w:rPr>
        <w:t>CloseTime</w:t>
      </w:r>
      <w:proofErr w:type="spellEnd"/>
      <w:r w:rsidRPr="007870F4">
        <w:rPr>
          <w:rFonts w:ascii="Times New Roman" w:hAnsi="Times New Roman" w:cs="Times New Roman"/>
        </w:rPr>
        <w:t xml:space="preserve"> - </w:t>
      </w:r>
      <w:proofErr w:type="spellStart"/>
      <w:r w:rsidRPr="007870F4">
        <w:rPr>
          <w:rFonts w:ascii="Times New Roman" w:hAnsi="Times New Roman" w:cs="Times New Roman"/>
        </w:rPr>
        <w:t>OpenTime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65DC4A5A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LotSize</w:t>
      </w:r>
      <w:proofErr w:type="spellEnd"/>
    </w:p>
    <w:p w14:paraId="4F1D4293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OpenBalance</w:t>
      </w:r>
      <w:proofErr w:type="spellEnd"/>
      <w:r w:rsidRPr="007870F4">
        <w:rPr>
          <w:rFonts w:ascii="Times New Roman" w:hAnsi="Times New Roman" w:cs="Times New Roman"/>
        </w:rPr>
        <w:t xml:space="preserve"> (Used as Proxy for Equity at Entry)</w:t>
      </w:r>
    </w:p>
    <w:p w14:paraId="308FE01D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NetProfit</w:t>
      </w:r>
      <w:proofErr w:type="spellEnd"/>
      <w:r w:rsidRPr="007870F4">
        <w:rPr>
          <w:rFonts w:ascii="Times New Roman" w:hAnsi="Times New Roman" w:cs="Times New Roman"/>
        </w:rPr>
        <w:t xml:space="preserve"> (Swap + Commission + Profit)</w:t>
      </w:r>
    </w:p>
    <w:p w14:paraId="1A9582CB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RiskPercent</w:t>
      </w:r>
      <w:proofErr w:type="spellEnd"/>
      <w:r w:rsidRPr="007870F4">
        <w:rPr>
          <w:rFonts w:ascii="Times New Roman" w:hAnsi="Times New Roman" w:cs="Times New Roman"/>
        </w:rPr>
        <w:t xml:space="preserve"> (Formula: [</w:t>
      </w:r>
      <w:proofErr w:type="spellStart"/>
      <w:r w:rsidRPr="007870F4">
        <w:rPr>
          <w:rFonts w:ascii="Times New Roman" w:hAnsi="Times New Roman" w:cs="Times New Roman"/>
        </w:rPr>
        <w:t>StopLossDistance</w:t>
      </w:r>
      <w:proofErr w:type="spellEnd"/>
      <w:r w:rsidRPr="007870F4">
        <w:rPr>
          <w:rFonts w:ascii="Times New Roman" w:hAnsi="Times New Roman" w:cs="Times New Roman"/>
        </w:rPr>
        <w:t xml:space="preserve"> * Lot] / </w:t>
      </w:r>
      <w:proofErr w:type="spellStart"/>
      <w:r w:rsidRPr="007870F4">
        <w:rPr>
          <w:rFonts w:ascii="Times New Roman" w:hAnsi="Times New Roman" w:cs="Times New Roman"/>
        </w:rPr>
        <w:t>OpenBalance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74C75972" w14:textId="3298DCB9" w:rsidR="007870F4" w:rsidRPr="00477FB3" w:rsidRDefault="007870F4" w:rsidP="00477FB3">
      <w:pPr>
        <w:pStyle w:val="ListParagraph"/>
        <w:numPr>
          <w:ilvl w:val="0"/>
          <w:numId w:val="2"/>
        </w:numPr>
        <w:ind w:left="567"/>
        <w:rPr>
          <w:rFonts w:ascii="Times New Roman" w:hAnsi="Times New Roman" w:cs="Times New Roman"/>
          <w:b/>
          <w:bCs/>
        </w:rPr>
      </w:pPr>
      <w:proofErr w:type="spellStart"/>
      <w:r w:rsidRPr="00477FB3">
        <w:rPr>
          <w:rFonts w:ascii="Times New Roman" w:hAnsi="Times New Roman" w:cs="Times New Roman"/>
          <w:b/>
          <w:bCs/>
        </w:rPr>
        <w:t>Fact_Daily_Account</w:t>
      </w:r>
      <w:proofErr w:type="spellEnd"/>
      <w:r w:rsidRPr="00477FB3">
        <w:rPr>
          <w:rFonts w:ascii="Times New Roman" w:hAnsi="Times New Roman" w:cs="Times New Roman"/>
          <w:b/>
          <w:bCs/>
        </w:rPr>
        <w:t xml:space="preserve"> (The "Manager" View)</w:t>
      </w:r>
    </w:p>
    <w:p w14:paraId="1EBF50FE" w14:textId="77777777" w:rsidR="007870F4" w:rsidRPr="007870F4" w:rsidRDefault="007870F4" w:rsidP="007870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Grain:</w:t>
      </w:r>
      <w:r w:rsidRPr="007870F4">
        <w:rPr>
          <w:rFonts w:ascii="Times New Roman" w:hAnsi="Times New Roman" w:cs="Times New Roman"/>
        </w:rPr>
        <w:t xml:space="preserve"> One row per calendar day (00:00 to 23:59).</w:t>
      </w:r>
    </w:p>
    <w:p w14:paraId="2C92ED60" w14:textId="77777777" w:rsidR="007870F4" w:rsidRPr="007870F4" w:rsidRDefault="007870F4" w:rsidP="007870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Purpose:</w:t>
      </w:r>
      <w:r w:rsidRPr="007870F4">
        <w:rPr>
          <w:rFonts w:ascii="Times New Roman" w:hAnsi="Times New Roman" w:cs="Times New Roman"/>
        </w:rPr>
        <w:t xml:space="preserve"> Tracks your 15% Drawdown Limit and 3/5 Consistency Rule.</w:t>
      </w:r>
    </w:p>
    <w:p w14:paraId="1BA95232" w14:textId="77777777" w:rsidR="007870F4" w:rsidRPr="007870F4" w:rsidRDefault="007870F4" w:rsidP="007870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lastRenderedPageBreak/>
        <w:t>Columns (Headers):</w:t>
      </w:r>
    </w:p>
    <w:p w14:paraId="49C3053B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</w:rPr>
        <w:t>Date (e.g., 2025-01-07)</w:t>
      </w:r>
    </w:p>
    <w:p w14:paraId="59AC83B2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StartBalance</w:t>
      </w:r>
      <w:proofErr w:type="spellEnd"/>
      <w:r w:rsidRPr="007870F4">
        <w:rPr>
          <w:rFonts w:ascii="Times New Roman" w:hAnsi="Times New Roman" w:cs="Times New Roman"/>
        </w:rPr>
        <w:t xml:space="preserve"> (Balance at 00:00)</w:t>
      </w:r>
    </w:p>
    <w:p w14:paraId="4A4526A5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EndBalance</w:t>
      </w:r>
      <w:proofErr w:type="spellEnd"/>
      <w:r w:rsidRPr="007870F4">
        <w:rPr>
          <w:rFonts w:ascii="Times New Roman" w:hAnsi="Times New Roman" w:cs="Times New Roman"/>
        </w:rPr>
        <w:t xml:space="preserve"> (Balance at 23:59)</w:t>
      </w:r>
    </w:p>
    <w:p w14:paraId="59E85FC2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DailyNetProfit</w:t>
      </w:r>
      <w:proofErr w:type="spellEnd"/>
    </w:p>
    <w:p w14:paraId="42AE6AD2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DailyDrawdown</w:t>
      </w:r>
      <w:proofErr w:type="spellEnd"/>
      <w:r w:rsidRPr="007870F4">
        <w:rPr>
          <w:rFonts w:ascii="Times New Roman" w:hAnsi="Times New Roman" w:cs="Times New Roman"/>
        </w:rPr>
        <w:t xml:space="preserve"> (The lowest point reached that day vs. </w:t>
      </w:r>
      <w:proofErr w:type="spellStart"/>
      <w:r w:rsidRPr="007870F4">
        <w:rPr>
          <w:rFonts w:ascii="Times New Roman" w:hAnsi="Times New Roman" w:cs="Times New Roman"/>
        </w:rPr>
        <w:t>StartBalance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3844CFDC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IsPositiveDay</w:t>
      </w:r>
      <w:proofErr w:type="spellEnd"/>
      <w:r w:rsidRPr="007870F4">
        <w:rPr>
          <w:rFonts w:ascii="Times New Roman" w:hAnsi="Times New Roman" w:cs="Times New Roman"/>
        </w:rPr>
        <w:t xml:space="preserve"> (TRUE/FALSE - for the "Reliability" KPI)</w:t>
      </w:r>
    </w:p>
    <w:p w14:paraId="42E6EF08" w14:textId="65E42EF6" w:rsidR="007870F4" w:rsidRPr="008C6114" w:rsidRDefault="007870F4" w:rsidP="008C6114">
      <w:pPr>
        <w:pStyle w:val="ListParagraph"/>
        <w:numPr>
          <w:ilvl w:val="0"/>
          <w:numId w:val="2"/>
        </w:numPr>
        <w:ind w:left="567"/>
        <w:rPr>
          <w:rFonts w:ascii="Times New Roman" w:hAnsi="Times New Roman" w:cs="Times New Roman"/>
          <w:b/>
          <w:bCs/>
        </w:rPr>
      </w:pPr>
      <w:r w:rsidRPr="008C61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6114">
        <w:rPr>
          <w:rFonts w:ascii="Times New Roman" w:hAnsi="Times New Roman" w:cs="Times New Roman"/>
          <w:b/>
          <w:bCs/>
        </w:rPr>
        <w:t>Fact_Symbol_Performance</w:t>
      </w:r>
      <w:proofErr w:type="spellEnd"/>
      <w:r w:rsidRPr="008C6114">
        <w:rPr>
          <w:rFonts w:ascii="Times New Roman" w:hAnsi="Times New Roman" w:cs="Times New Roman"/>
          <w:b/>
          <w:bCs/>
        </w:rPr>
        <w:t xml:space="preserve"> (The "Optimizer" View)</w:t>
      </w:r>
    </w:p>
    <w:p w14:paraId="306CE404" w14:textId="77777777" w:rsidR="007870F4" w:rsidRPr="007870F4" w:rsidRDefault="007870F4" w:rsidP="007870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Grain:</w:t>
      </w:r>
      <w:r w:rsidRPr="007870F4">
        <w:rPr>
          <w:rFonts w:ascii="Times New Roman" w:hAnsi="Times New Roman" w:cs="Times New Roman"/>
        </w:rPr>
        <w:t xml:space="preserve"> One row per Symbol per Day.</w:t>
      </w:r>
    </w:p>
    <w:p w14:paraId="5C744CB0" w14:textId="77777777" w:rsidR="007870F4" w:rsidRPr="007870F4" w:rsidRDefault="007870F4" w:rsidP="007870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Purpose:</w:t>
      </w:r>
      <w:r w:rsidRPr="007870F4">
        <w:rPr>
          <w:rFonts w:ascii="Times New Roman" w:hAnsi="Times New Roman" w:cs="Times New Roman"/>
        </w:rPr>
        <w:t xml:space="preserve"> Tells you </w:t>
      </w:r>
      <w:r w:rsidRPr="007870F4">
        <w:rPr>
          <w:rFonts w:ascii="Times New Roman" w:hAnsi="Times New Roman" w:cs="Times New Roman"/>
          <w:i/>
          <w:iCs/>
        </w:rPr>
        <w:t>which</w:t>
      </w:r>
      <w:r w:rsidRPr="007870F4">
        <w:rPr>
          <w:rFonts w:ascii="Times New Roman" w:hAnsi="Times New Roman" w:cs="Times New Roman"/>
        </w:rPr>
        <w:t xml:space="preserve"> Step Index is carrying the load.</w:t>
      </w:r>
    </w:p>
    <w:p w14:paraId="74AED09B" w14:textId="77777777" w:rsidR="007870F4" w:rsidRPr="007870F4" w:rsidRDefault="007870F4" w:rsidP="007870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Columns (Headers):</w:t>
      </w:r>
    </w:p>
    <w:p w14:paraId="7185ADE3" w14:textId="77777777" w:rsidR="007870F4" w:rsidRPr="007870F4" w:rsidRDefault="007870F4" w:rsidP="007870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</w:rPr>
        <w:t>Date</w:t>
      </w:r>
    </w:p>
    <w:p w14:paraId="306CC6BE" w14:textId="77777777" w:rsidR="007870F4" w:rsidRPr="007870F4" w:rsidRDefault="007870F4" w:rsidP="007870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</w:rPr>
        <w:t>Symbol</w:t>
      </w:r>
    </w:p>
    <w:p w14:paraId="58112271" w14:textId="77777777" w:rsidR="007870F4" w:rsidRPr="007870F4" w:rsidRDefault="007870F4" w:rsidP="007870F4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DailyTradeCount</w:t>
      </w:r>
      <w:proofErr w:type="spellEnd"/>
    </w:p>
    <w:p w14:paraId="750DF204" w14:textId="42FAC272" w:rsidR="009A6567" w:rsidRPr="0087105B" w:rsidRDefault="007870F4" w:rsidP="009A6567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DailySymbolProfit</w:t>
      </w:r>
      <w:proofErr w:type="spellEnd"/>
    </w:p>
    <w:p w14:paraId="01137388" w14:textId="63C277E2" w:rsidR="00E30927" w:rsidRDefault="008C3162" w:rsidP="00D83673">
      <w:pPr>
        <w:pStyle w:val="Heading1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83673">
        <w:rPr>
          <w:rFonts w:ascii="Times New Roman" w:hAnsi="Times New Roman" w:cs="Times New Roman"/>
        </w:rPr>
        <w:t>KPI-to-Table Mapping</w:t>
      </w:r>
    </w:p>
    <w:p w14:paraId="160AB0D3" w14:textId="57ACDB36" w:rsidR="004F4C3E" w:rsidRPr="001E14FA" w:rsidRDefault="001E14FA" w:rsidP="001E14FA">
      <w:pPr>
        <w:jc w:val="both"/>
        <w:rPr>
          <w:rFonts w:ascii="Times New Roman" w:hAnsi="Times New Roman" w:cs="Times New Roman"/>
        </w:rPr>
      </w:pPr>
      <w:r w:rsidRPr="001E14FA">
        <w:rPr>
          <w:rFonts w:ascii="Times New Roman" w:hAnsi="Times New Roman" w:cs="Times New Roman"/>
        </w:rPr>
        <w:t>This table validates that every KPI defined in Module 2 has a specific home in the Module 3 data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3088"/>
        <w:gridCol w:w="4260"/>
      </w:tblGrid>
      <w:tr w:rsidR="0087105B" w:rsidRPr="0087105B" w14:paraId="3866E7D5" w14:textId="77777777" w:rsidTr="0087105B">
        <w:tc>
          <w:tcPr>
            <w:tcW w:w="0" w:type="auto"/>
            <w:hideMark/>
          </w:tcPr>
          <w:p w14:paraId="72CBC12A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Module 2 KPI</w:t>
            </w:r>
          </w:p>
        </w:tc>
        <w:tc>
          <w:tcPr>
            <w:tcW w:w="0" w:type="auto"/>
            <w:hideMark/>
          </w:tcPr>
          <w:p w14:paraId="0DBE682A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Source Table</w:t>
            </w:r>
          </w:p>
        </w:tc>
        <w:tc>
          <w:tcPr>
            <w:tcW w:w="0" w:type="auto"/>
            <w:hideMark/>
          </w:tcPr>
          <w:p w14:paraId="5CAEC921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Justification for Grain Choice</w:t>
            </w:r>
          </w:p>
        </w:tc>
      </w:tr>
      <w:tr w:rsidR="0087105B" w:rsidRPr="0087105B" w14:paraId="61AC5E0E" w14:textId="77777777" w:rsidTr="0087105B">
        <w:tc>
          <w:tcPr>
            <w:tcW w:w="0" w:type="auto"/>
            <w:hideMark/>
          </w:tcPr>
          <w:p w14:paraId="5ED89EFC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1: Single-Trade Risk Exposure</w:t>
            </w:r>
          </w:p>
        </w:tc>
        <w:tc>
          <w:tcPr>
            <w:tcW w:w="0" w:type="auto"/>
            <w:hideMark/>
          </w:tcPr>
          <w:p w14:paraId="375803C3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Fact_Trades</w:t>
            </w:r>
            <w:proofErr w:type="spellEnd"/>
          </w:p>
        </w:tc>
        <w:tc>
          <w:tcPr>
            <w:tcW w:w="0" w:type="auto"/>
            <w:hideMark/>
          </w:tcPr>
          <w:p w14:paraId="46951DFD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Trade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Risk is calculated at the moment of entry for a </w:t>
            </w:r>
            <w:r w:rsidRPr="0087105B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single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position. Aggregating this to a daily level would hide dangerous trades that exceeded the 3% limit but were masked by other safe trades.</w:t>
            </w:r>
          </w:p>
        </w:tc>
      </w:tr>
      <w:tr w:rsidR="0087105B" w:rsidRPr="0087105B" w14:paraId="24028DB0" w14:textId="77777777" w:rsidTr="0087105B">
        <w:tc>
          <w:tcPr>
            <w:tcW w:w="0" w:type="auto"/>
            <w:hideMark/>
          </w:tcPr>
          <w:p w14:paraId="2CA1358D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2: Session Drawdown (Max)</w:t>
            </w:r>
          </w:p>
        </w:tc>
        <w:tc>
          <w:tcPr>
            <w:tcW w:w="0" w:type="auto"/>
            <w:hideMark/>
          </w:tcPr>
          <w:p w14:paraId="3F901C5E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Fact_Daily_Account</w:t>
            </w:r>
            <w:proofErr w:type="spellEnd"/>
          </w:p>
        </w:tc>
        <w:tc>
          <w:tcPr>
            <w:tcW w:w="0" w:type="auto"/>
            <w:hideMark/>
          </w:tcPr>
          <w:p w14:paraId="169D1A31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Daily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The decision criterion is a 15% limit on the </w:t>
            </w:r>
            <w:r w:rsidRPr="0087105B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aggregate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account. This table captures the "High Water Mark" and "Low Water Mark" of the entire day, which is exactly what the KPI measures.</w:t>
            </w:r>
          </w:p>
        </w:tc>
      </w:tr>
      <w:tr w:rsidR="0087105B" w:rsidRPr="0087105B" w14:paraId="26BC6479" w14:textId="77777777" w:rsidTr="0087105B">
        <w:tc>
          <w:tcPr>
            <w:tcW w:w="0" w:type="auto"/>
            <w:hideMark/>
          </w:tcPr>
          <w:p w14:paraId="11026225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3: Reliability Rate (Daily)</w:t>
            </w:r>
          </w:p>
        </w:tc>
        <w:tc>
          <w:tcPr>
            <w:tcW w:w="0" w:type="auto"/>
            <w:hideMark/>
          </w:tcPr>
          <w:p w14:paraId="237BEAAD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Fact_Daily_Account</w:t>
            </w:r>
            <w:proofErr w:type="spellEnd"/>
          </w:p>
        </w:tc>
        <w:tc>
          <w:tcPr>
            <w:tcW w:w="0" w:type="auto"/>
            <w:hideMark/>
          </w:tcPr>
          <w:p w14:paraId="63E6C264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Daily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To calculate "4.5 out of 7 days," we need a binary "Win/Loss" flag per day. This table provides the clean </w:t>
            </w:r>
            <w:proofErr w:type="spellStart"/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IsPositiveDay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</w:t>
            </w:r>
            <w:proofErr w:type="spellStart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boolean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needed for that simple count.</w:t>
            </w:r>
          </w:p>
        </w:tc>
      </w:tr>
      <w:tr w:rsidR="0087105B" w:rsidRPr="0087105B" w14:paraId="2B770BCD" w14:textId="77777777" w:rsidTr="0087105B">
        <w:tc>
          <w:tcPr>
            <w:tcW w:w="0" w:type="auto"/>
            <w:hideMark/>
          </w:tcPr>
          <w:p w14:paraId="2467503F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4: Recovery Factor</w:t>
            </w:r>
          </w:p>
        </w:tc>
        <w:tc>
          <w:tcPr>
            <w:tcW w:w="0" w:type="auto"/>
            <w:hideMark/>
          </w:tcPr>
          <w:p w14:paraId="2A7E5602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Fact_Daily_Account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</w:t>
            </w:r>
            <w:r w:rsidRPr="0087105B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(Aggregated)</w:t>
            </w:r>
          </w:p>
        </w:tc>
        <w:tc>
          <w:tcPr>
            <w:tcW w:w="0" w:type="auto"/>
            <w:hideMark/>
          </w:tcPr>
          <w:p w14:paraId="4BB64B64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Daily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Recovery Factor is a long-term metric (</w:t>
            </w:r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Total Profit / Max Historical Drawdown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). We derive this by 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lastRenderedPageBreak/>
              <w:t xml:space="preserve">summing </w:t>
            </w:r>
            <w:proofErr w:type="spellStart"/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DailyNetProfit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and finding the </w:t>
            </w:r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MIN(</w:t>
            </w:r>
            <w:proofErr w:type="spellStart"/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DailyDrawdown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)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from this table over the full history.</w:t>
            </w:r>
          </w:p>
        </w:tc>
      </w:tr>
      <w:tr w:rsidR="0087105B" w:rsidRPr="0087105B" w14:paraId="0C67BAAF" w14:textId="77777777" w:rsidTr="0087105B">
        <w:tc>
          <w:tcPr>
            <w:tcW w:w="0" w:type="auto"/>
            <w:hideMark/>
          </w:tcPr>
          <w:p w14:paraId="110C9476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lastRenderedPageBreak/>
              <w:t>KPI 5: Trade Duration Drift</w:t>
            </w:r>
          </w:p>
        </w:tc>
        <w:tc>
          <w:tcPr>
            <w:tcW w:w="0" w:type="auto"/>
            <w:hideMark/>
          </w:tcPr>
          <w:p w14:paraId="2AA8364E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Fact_Trades</w:t>
            </w:r>
            <w:proofErr w:type="spellEnd"/>
          </w:p>
        </w:tc>
        <w:tc>
          <w:tcPr>
            <w:tcW w:w="0" w:type="auto"/>
            <w:hideMark/>
          </w:tcPr>
          <w:p w14:paraId="12381419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Trade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To detect "drift," we need to see the outliers. If we averaged duration at a daily level, one "stuck" trade of 12 hours would be diluted by ten quick scalps. Trade-level grain exposes the specific outliers.</w:t>
            </w:r>
          </w:p>
        </w:tc>
      </w:tr>
      <w:tr w:rsidR="0087105B" w:rsidRPr="0087105B" w14:paraId="69623EBD" w14:textId="77777777" w:rsidTr="0087105B">
        <w:tc>
          <w:tcPr>
            <w:tcW w:w="0" w:type="auto"/>
            <w:hideMark/>
          </w:tcPr>
          <w:p w14:paraId="02717683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Attribution (Step Index Selection)</w:t>
            </w:r>
          </w:p>
        </w:tc>
        <w:tc>
          <w:tcPr>
            <w:tcW w:w="0" w:type="auto"/>
            <w:hideMark/>
          </w:tcPr>
          <w:p w14:paraId="55DC3623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Fact_Symbol_Performance</w:t>
            </w:r>
            <w:proofErr w:type="spellEnd"/>
          </w:p>
        </w:tc>
        <w:tc>
          <w:tcPr>
            <w:tcW w:w="0" w:type="auto"/>
            <w:hideMark/>
          </w:tcPr>
          <w:p w14:paraId="7C15BF8B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Symbol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This is the specific table needed to answer the "Which Step Index should I fire?" question. It isolates profit and drawdown per instrument.</w:t>
            </w:r>
          </w:p>
        </w:tc>
      </w:tr>
    </w:tbl>
    <w:p w14:paraId="3466E16B" w14:textId="305EF432" w:rsidR="009A6567" w:rsidRDefault="009A6567" w:rsidP="009A6567">
      <w:pPr>
        <w:rPr>
          <w:rFonts w:ascii="Times New Roman" w:hAnsi="Times New Roman" w:cs="Times New Roman"/>
        </w:rPr>
      </w:pPr>
    </w:p>
    <w:p w14:paraId="1E80C89B" w14:textId="77777777" w:rsidR="00A10C19" w:rsidRPr="00A10C19" w:rsidRDefault="00A10C19" w:rsidP="00B03DB6">
      <w:pPr>
        <w:jc w:val="both"/>
        <w:rPr>
          <w:rFonts w:ascii="Times New Roman" w:hAnsi="Times New Roman" w:cs="Times New Roman"/>
        </w:rPr>
      </w:pPr>
      <w:r w:rsidRPr="00A10C19">
        <w:rPr>
          <w:rFonts w:ascii="Times New Roman" w:hAnsi="Times New Roman" w:cs="Times New Roman"/>
          <w:b/>
          <w:bCs/>
        </w:rPr>
        <w:t>Note on Implied Dimensions:</w:t>
      </w:r>
      <w:r w:rsidRPr="00A10C19">
        <w:rPr>
          <w:rFonts w:ascii="Times New Roman" w:hAnsi="Times New Roman" w:cs="Times New Roman"/>
        </w:rPr>
        <w:t xml:space="preserve"> While this model focuses on Fact tables for immediate decision support, it strictly adheres to a Star Schema logic by assuming the existence of:</w:t>
      </w:r>
    </w:p>
    <w:p w14:paraId="4D9C9F3A" w14:textId="77777777" w:rsidR="00A10C19" w:rsidRPr="00A10C19" w:rsidRDefault="00A10C19" w:rsidP="00B03DB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A10C19">
        <w:rPr>
          <w:rFonts w:ascii="Times New Roman" w:hAnsi="Times New Roman" w:cs="Times New Roman"/>
          <w:b/>
          <w:bCs/>
        </w:rPr>
        <w:t>Dim_Symbol</w:t>
      </w:r>
      <w:proofErr w:type="spellEnd"/>
      <w:r w:rsidRPr="00A10C19">
        <w:rPr>
          <w:rFonts w:ascii="Times New Roman" w:hAnsi="Times New Roman" w:cs="Times New Roman"/>
          <w:b/>
          <w:bCs/>
        </w:rPr>
        <w:t>:</w:t>
      </w:r>
      <w:r w:rsidRPr="00A10C19">
        <w:rPr>
          <w:rFonts w:ascii="Times New Roman" w:hAnsi="Times New Roman" w:cs="Times New Roman"/>
        </w:rPr>
        <w:t xml:space="preserve"> To store instrument metadata (Tick Value, Contract Size) and support the "Step Index only" filter.</w:t>
      </w:r>
    </w:p>
    <w:p w14:paraId="0C954166" w14:textId="77777777" w:rsidR="00A10C19" w:rsidRPr="00A10C19" w:rsidRDefault="00A10C19" w:rsidP="00B03DB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A10C19">
        <w:rPr>
          <w:rFonts w:ascii="Times New Roman" w:hAnsi="Times New Roman" w:cs="Times New Roman"/>
          <w:b/>
          <w:bCs/>
        </w:rPr>
        <w:t>Dim_Date</w:t>
      </w:r>
      <w:proofErr w:type="spellEnd"/>
      <w:r w:rsidRPr="00A10C19">
        <w:rPr>
          <w:rFonts w:ascii="Times New Roman" w:hAnsi="Times New Roman" w:cs="Times New Roman"/>
          <w:b/>
          <w:bCs/>
        </w:rPr>
        <w:t>:</w:t>
      </w:r>
      <w:r w:rsidRPr="00A10C19">
        <w:rPr>
          <w:rFonts w:ascii="Times New Roman" w:hAnsi="Times New Roman" w:cs="Times New Roman"/>
        </w:rPr>
        <w:t xml:space="preserve"> To support calendar-based rollups (Day of Week analysis).</w:t>
      </w:r>
    </w:p>
    <w:p w14:paraId="1B6318BD" w14:textId="6F1B4779" w:rsidR="00562850" w:rsidRPr="00E130A8" w:rsidRDefault="00A10C19" w:rsidP="0096552E">
      <w:pPr>
        <w:jc w:val="both"/>
        <w:rPr>
          <w:rFonts w:ascii="Times New Roman" w:hAnsi="Times New Roman" w:cs="Times New Roman"/>
        </w:rPr>
      </w:pPr>
      <w:r w:rsidRPr="00A10C19">
        <w:rPr>
          <w:rFonts w:ascii="Times New Roman" w:hAnsi="Times New Roman" w:cs="Times New Roman"/>
          <w:b/>
          <w:bCs/>
        </w:rPr>
        <w:t>Note on Extensibility:</w:t>
      </w:r>
      <w:r w:rsidRPr="00A10C19">
        <w:rPr>
          <w:rFonts w:ascii="Times New Roman" w:hAnsi="Times New Roman" w:cs="Times New Roman"/>
        </w:rPr>
        <w:t xml:space="preserve"> This model is designed for scalability. Future iterations can support multiple </w:t>
      </w:r>
      <w:r w:rsidR="00B03DB6" w:rsidRPr="00A10C19">
        <w:rPr>
          <w:rFonts w:ascii="Times New Roman" w:hAnsi="Times New Roman" w:cs="Times New Roman"/>
        </w:rPr>
        <w:t>strategies,</w:t>
      </w:r>
      <w:r w:rsidRPr="00A10C19">
        <w:rPr>
          <w:rFonts w:ascii="Times New Roman" w:hAnsi="Times New Roman" w:cs="Times New Roman"/>
        </w:rPr>
        <w:t xml:space="preserve"> or parameter sets by introducing an </w:t>
      </w:r>
      <w:proofErr w:type="spellStart"/>
      <w:r w:rsidRPr="00A10C19">
        <w:rPr>
          <w:rFonts w:ascii="Times New Roman" w:hAnsi="Times New Roman" w:cs="Times New Roman"/>
          <w:b/>
          <w:bCs/>
        </w:rPr>
        <w:t>ExecutionConfigID</w:t>
      </w:r>
      <w:proofErr w:type="spellEnd"/>
      <w:r w:rsidRPr="00A10C19">
        <w:rPr>
          <w:rFonts w:ascii="Times New Roman" w:hAnsi="Times New Roman" w:cs="Times New Roman"/>
        </w:rPr>
        <w:t xml:space="preserve"> dimension, allowing for side-by-side comparison of different EA versions without altering the core Fact structure.</w:t>
      </w:r>
    </w:p>
    <w:p w14:paraId="69B622FA" w14:textId="462F943A" w:rsidR="0031371E" w:rsidRPr="00E130A8" w:rsidRDefault="00E130A8" w:rsidP="00E130A8">
      <w:pPr>
        <w:pStyle w:val="Heading1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E130A8">
        <w:rPr>
          <w:rFonts w:ascii="Times New Roman" w:hAnsi="Times New Roman" w:cs="Times New Roman"/>
        </w:rPr>
        <w:t>Design Justification</w:t>
      </w:r>
    </w:p>
    <w:p w14:paraId="5061AF13" w14:textId="77777777" w:rsidR="0096552E" w:rsidRDefault="0096552E" w:rsidP="0096552E">
      <w:pPr>
        <w:pStyle w:val="NormalWeb"/>
      </w:pPr>
      <w:r>
        <w:t>Standard MT5 reports are transactional and prone to aggregation bias. This model normalizes data into three specific grains to prevent analytical errors:</w:t>
      </w:r>
    </w:p>
    <w:p w14:paraId="4E863A94" w14:textId="77777777" w:rsidR="0096552E" w:rsidRDefault="0096552E" w:rsidP="0096552E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  <w:b/>
          <w:bCs/>
        </w:rPr>
        <w:t>Fact_Trades</w:t>
      </w:r>
      <w:proofErr w:type="spellEnd"/>
      <w:r>
        <w:t xml:space="preserve"> isolates </w:t>
      </w:r>
      <w:proofErr w:type="spellStart"/>
      <w:r>
        <w:t>behavioral</w:t>
      </w:r>
      <w:proofErr w:type="spellEnd"/>
      <w:r>
        <w:t xml:space="preserve"> risks (Duration Drift, Position Sizing) that are invisible in daily summaries.</w:t>
      </w:r>
    </w:p>
    <w:p w14:paraId="0E820EF8" w14:textId="77777777" w:rsidR="0096552E" w:rsidRDefault="0096552E" w:rsidP="0096552E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  <w:b/>
          <w:bCs/>
        </w:rPr>
        <w:t>Fact_Symbol_Performance</w:t>
      </w:r>
      <w:proofErr w:type="spellEnd"/>
      <w:r>
        <w:t xml:space="preserve"> enforces attribution, preventing a single over-performing instrument from masking the failure of others.</w:t>
      </w:r>
    </w:p>
    <w:p w14:paraId="2E84F359" w14:textId="77777777" w:rsidR="0096552E" w:rsidRDefault="0096552E" w:rsidP="0096552E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  <w:b/>
          <w:bCs/>
        </w:rPr>
        <w:t>Fact_Daily_Account</w:t>
      </w:r>
      <w:proofErr w:type="spellEnd"/>
      <w:r>
        <w:t xml:space="preserve"> acts as a governance layer for the 15% drawdown limit.</w:t>
      </w:r>
    </w:p>
    <w:p w14:paraId="4C5C3A45" w14:textId="358C49F9" w:rsidR="00F2349B" w:rsidRDefault="0096552E" w:rsidP="00AB637E">
      <w:pPr>
        <w:pStyle w:val="NormalWeb"/>
      </w:pPr>
      <w:r w:rsidRPr="00467746">
        <w:t>Failure Mode Prevention: Crucially, this structure prevents capital allocation decisions from being influenced by isolated profitable days that conceal systematic risk violations. It ensures that a "profitable" strategy is rejected if it achieves that profit through unacceptable volatility or hold times.</w:t>
      </w:r>
    </w:p>
    <w:p w14:paraId="7262E0F9" w14:textId="77777777" w:rsidR="0050697F" w:rsidRPr="00467746" w:rsidRDefault="0050697F" w:rsidP="00AB637E">
      <w:pPr>
        <w:pStyle w:val="NormalWeb"/>
      </w:pPr>
    </w:p>
    <w:sectPr w:rsidR="0050697F" w:rsidRPr="00467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1ADA"/>
    <w:multiLevelType w:val="hybridMultilevel"/>
    <w:tmpl w:val="6ECE4D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B544C"/>
    <w:multiLevelType w:val="multilevel"/>
    <w:tmpl w:val="3E5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06CA7"/>
    <w:multiLevelType w:val="multilevel"/>
    <w:tmpl w:val="302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16FA7"/>
    <w:multiLevelType w:val="multilevel"/>
    <w:tmpl w:val="31A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D0103"/>
    <w:multiLevelType w:val="hybridMultilevel"/>
    <w:tmpl w:val="7ADCAB82"/>
    <w:lvl w:ilvl="0" w:tplc="3232FD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39154A"/>
    <w:multiLevelType w:val="multilevel"/>
    <w:tmpl w:val="B5B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A3D63"/>
    <w:multiLevelType w:val="multilevel"/>
    <w:tmpl w:val="5D7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71BB4"/>
    <w:multiLevelType w:val="hybridMultilevel"/>
    <w:tmpl w:val="225A568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5188A"/>
    <w:multiLevelType w:val="multilevel"/>
    <w:tmpl w:val="2AB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50249">
    <w:abstractNumId w:val="0"/>
  </w:num>
  <w:num w:numId="2" w16cid:durableId="1540242709">
    <w:abstractNumId w:val="7"/>
  </w:num>
  <w:num w:numId="3" w16cid:durableId="704334894">
    <w:abstractNumId w:val="6"/>
  </w:num>
  <w:num w:numId="4" w16cid:durableId="1871526696">
    <w:abstractNumId w:val="3"/>
  </w:num>
  <w:num w:numId="5" w16cid:durableId="995185718">
    <w:abstractNumId w:val="1"/>
  </w:num>
  <w:num w:numId="6" w16cid:durableId="1753232765">
    <w:abstractNumId w:val="2"/>
  </w:num>
  <w:num w:numId="7" w16cid:durableId="1059400813">
    <w:abstractNumId w:val="4"/>
  </w:num>
  <w:num w:numId="8" w16cid:durableId="1749377145">
    <w:abstractNumId w:val="5"/>
  </w:num>
  <w:num w:numId="9" w16cid:durableId="1663041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9B"/>
    <w:rsid w:val="001818A4"/>
    <w:rsid w:val="001E14FA"/>
    <w:rsid w:val="0031371E"/>
    <w:rsid w:val="00396426"/>
    <w:rsid w:val="00400DA0"/>
    <w:rsid w:val="00467746"/>
    <w:rsid w:val="00477FB3"/>
    <w:rsid w:val="004F4C3E"/>
    <w:rsid w:val="0050697F"/>
    <w:rsid w:val="00562850"/>
    <w:rsid w:val="00570519"/>
    <w:rsid w:val="00673E9B"/>
    <w:rsid w:val="007870F4"/>
    <w:rsid w:val="0087105B"/>
    <w:rsid w:val="008C3162"/>
    <w:rsid w:val="008C6114"/>
    <w:rsid w:val="0096552E"/>
    <w:rsid w:val="009A6567"/>
    <w:rsid w:val="00A10C19"/>
    <w:rsid w:val="00AB637E"/>
    <w:rsid w:val="00AC59B3"/>
    <w:rsid w:val="00B03DB6"/>
    <w:rsid w:val="00BB3DEE"/>
    <w:rsid w:val="00BC7401"/>
    <w:rsid w:val="00D83673"/>
    <w:rsid w:val="00DA7E59"/>
    <w:rsid w:val="00E130A8"/>
    <w:rsid w:val="00E30927"/>
    <w:rsid w:val="00E533CB"/>
    <w:rsid w:val="00E63C43"/>
    <w:rsid w:val="00EA5C25"/>
    <w:rsid w:val="00F2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1E9C5"/>
  <w15:chartTrackingRefBased/>
  <w15:docId w15:val="{34534E71-36E4-446C-AFBA-16C11A6B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9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964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64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64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64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6426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71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5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55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A067B-2285-426C-89AA-41B5E3AF3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I. Pholosi</dc:creator>
  <cp:keywords/>
  <dc:description/>
  <cp:lastModifiedBy>Ofentse I. Pholosi</cp:lastModifiedBy>
  <cp:revision>14</cp:revision>
  <cp:lastPrinted>2026-01-06T21:58:00Z</cp:lastPrinted>
  <dcterms:created xsi:type="dcterms:W3CDTF">2026-01-06T22:16:00Z</dcterms:created>
  <dcterms:modified xsi:type="dcterms:W3CDTF">2026-01-06T23:11:00Z</dcterms:modified>
</cp:coreProperties>
</file>