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01B3" w14:textId="436032FB" w:rsidR="00400DA0" w:rsidRDefault="00673E9B" w:rsidP="00673E9B">
      <w:pPr>
        <w:pStyle w:val="Title"/>
        <w:rPr>
          <w:rFonts w:ascii="Times New Roman" w:hAnsi="Times New Roman" w:cs="Times New Roman"/>
        </w:rPr>
      </w:pPr>
      <w:commentRangeStart w:id="0"/>
      <w:r w:rsidRPr="00673E9B">
        <w:rPr>
          <w:rFonts w:ascii="Times New Roman" w:hAnsi="Times New Roman" w:cs="Times New Roman"/>
        </w:rPr>
        <w:t>Data Model for Decision Support</w:t>
      </w:r>
      <w:commentRangeEnd w:id="0"/>
      <w:r w:rsidR="00396426">
        <w:rPr>
          <w:rStyle w:val="CommentReference"/>
          <w:rFonts w:asciiTheme="minorHAnsi" w:eastAsiaTheme="minorHAnsi" w:hAnsiTheme="minorHAnsi" w:cstheme="minorBidi"/>
          <w:spacing w:val="0"/>
          <w:kern w:val="2"/>
        </w:rPr>
        <w:commentReference w:id="0"/>
      </w:r>
    </w:p>
    <w:p w14:paraId="40A0DD52" w14:textId="31875C35" w:rsidR="00673E9B" w:rsidRPr="00F2349B" w:rsidRDefault="00673E9B" w:rsidP="00F234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C628021" w14:textId="10253114" w:rsidR="00F2349B" w:rsidRDefault="00F2349B" w:rsidP="00F2349B">
      <w:pPr>
        <w:pStyle w:val="Heading1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F2349B">
        <w:rPr>
          <w:rFonts w:ascii="Times New Roman" w:hAnsi="Times New Roman" w:cs="Times New Roman"/>
        </w:rPr>
        <w:t>Logical Data Model</w:t>
      </w:r>
    </w:p>
    <w:p w14:paraId="288104BA" w14:textId="2ABE446A" w:rsidR="00BC7401" w:rsidRPr="00BC7401" w:rsidRDefault="00BC7401" w:rsidP="00BC7401">
      <w:pPr>
        <w:jc w:val="both"/>
        <w:rPr>
          <w:rFonts w:ascii="Times New Roman" w:hAnsi="Times New Roman" w:cs="Times New Roman"/>
        </w:rPr>
      </w:pPr>
      <w:r w:rsidRPr="00BC7401">
        <w:rPr>
          <w:rFonts w:ascii="Times New Roman" w:hAnsi="Times New Roman" w:cs="Times New Roman"/>
        </w:rPr>
        <w:t>This model exists to support a go/no-go capital deployment decision under standardized execution rules.</w:t>
      </w:r>
    </w:p>
    <w:p w14:paraId="59D72A67" w14:textId="77777777" w:rsidR="007870F4" w:rsidRPr="007870F4" w:rsidRDefault="007870F4" w:rsidP="007870F4">
      <w:pPr>
        <w:rPr>
          <w:rFonts w:ascii="Times New Roman" w:hAnsi="Times New Roman" w:cs="Times New Roman"/>
          <w:b/>
          <w:bCs/>
        </w:rPr>
      </w:pPr>
      <w:r w:rsidRPr="007870F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870F4">
        <w:rPr>
          <w:rFonts w:ascii="Times New Roman" w:hAnsi="Times New Roman" w:cs="Times New Roman"/>
          <w:b/>
          <w:bCs/>
        </w:rPr>
        <w:t>Fact_Trades</w:t>
      </w:r>
      <w:proofErr w:type="spellEnd"/>
      <w:r w:rsidRPr="007870F4">
        <w:rPr>
          <w:rFonts w:ascii="Times New Roman" w:hAnsi="Times New Roman" w:cs="Times New Roman"/>
          <w:b/>
          <w:bCs/>
        </w:rPr>
        <w:t xml:space="preserve"> (The "Raw" Truth)</w:t>
      </w:r>
    </w:p>
    <w:p w14:paraId="2E82A628" w14:textId="77777777" w:rsidR="007870F4" w:rsidRPr="007870F4" w:rsidRDefault="007870F4" w:rsidP="007870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Grain:</w:t>
      </w:r>
      <w:r w:rsidRPr="007870F4">
        <w:rPr>
          <w:rFonts w:ascii="Times New Roman" w:hAnsi="Times New Roman" w:cs="Times New Roman"/>
        </w:rPr>
        <w:t xml:space="preserve"> One row per individual trade.</w:t>
      </w:r>
    </w:p>
    <w:p w14:paraId="652D2638" w14:textId="77777777" w:rsidR="007870F4" w:rsidRPr="007870F4" w:rsidRDefault="007870F4" w:rsidP="007870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Purpose:</w:t>
      </w:r>
      <w:r w:rsidRPr="007870F4">
        <w:rPr>
          <w:rFonts w:ascii="Times New Roman" w:hAnsi="Times New Roman" w:cs="Times New Roman"/>
        </w:rPr>
        <w:t xml:space="preserve"> Calculates Risk % and Duration Drift.</w:t>
      </w:r>
    </w:p>
    <w:p w14:paraId="10201C72" w14:textId="77777777" w:rsidR="007870F4" w:rsidRPr="007870F4" w:rsidRDefault="007870F4" w:rsidP="007870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Columns (Headers):</w:t>
      </w:r>
    </w:p>
    <w:p w14:paraId="3AEFFCAF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TradeID</w:t>
      </w:r>
      <w:proofErr w:type="spellEnd"/>
      <w:r w:rsidRPr="007870F4">
        <w:rPr>
          <w:rFonts w:ascii="Times New Roman" w:hAnsi="Times New Roman" w:cs="Times New Roman"/>
        </w:rPr>
        <w:t xml:space="preserve"> (The MT5 Ticket Number)</w:t>
      </w:r>
    </w:p>
    <w:p w14:paraId="23BD930D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Symbol (e.g., "Step Index 200")</w:t>
      </w:r>
    </w:p>
    <w:p w14:paraId="3ABF2C85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OpenTime</w:t>
      </w:r>
      <w:proofErr w:type="spellEnd"/>
      <w:r w:rsidRPr="007870F4">
        <w:rPr>
          <w:rFonts w:ascii="Times New Roman" w:hAnsi="Times New Roman" w:cs="Times New Roman"/>
        </w:rPr>
        <w:t xml:space="preserve"> (</w:t>
      </w:r>
      <w:proofErr w:type="spellStart"/>
      <w:r w:rsidRPr="007870F4">
        <w:rPr>
          <w:rFonts w:ascii="Times New Roman" w:hAnsi="Times New Roman" w:cs="Times New Roman"/>
        </w:rPr>
        <w:t>DateTime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531BB924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CloseTime</w:t>
      </w:r>
      <w:proofErr w:type="spellEnd"/>
      <w:r w:rsidRPr="007870F4">
        <w:rPr>
          <w:rFonts w:ascii="Times New Roman" w:hAnsi="Times New Roman" w:cs="Times New Roman"/>
        </w:rPr>
        <w:t xml:space="preserve"> (</w:t>
      </w:r>
      <w:proofErr w:type="spellStart"/>
      <w:r w:rsidRPr="007870F4">
        <w:rPr>
          <w:rFonts w:ascii="Times New Roman" w:hAnsi="Times New Roman" w:cs="Times New Roman"/>
        </w:rPr>
        <w:t>DateTime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699A7736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DurationSeconds</w:t>
      </w:r>
      <w:proofErr w:type="spellEnd"/>
      <w:r w:rsidRPr="007870F4">
        <w:rPr>
          <w:rFonts w:ascii="Times New Roman" w:hAnsi="Times New Roman" w:cs="Times New Roman"/>
        </w:rPr>
        <w:t xml:space="preserve"> (Formula: </w:t>
      </w:r>
      <w:proofErr w:type="spellStart"/>
      <w:r w:rsidRPr="007870F4">
        <w:rPr>
          <w:rFonts w:ascii="Times New Roman" w:hAnsi="Times New Roman" w:cs="Times New Roman"/>
        </w:rPr>
        <w:t>CloseTime</w:t>
      </w:r>
      <w:proofErr w:type="spellEnd"/>
      <w:r w:rsidRPr="007870F4">
        <w:rPr>
          <w:rFonts w:ascii="Times New Roman" w:hAnsi="Times New Roman" w:cs="Times New Roman"/>
        </w:rPr>
        <w:t xml:space="preserve"> - </w:t>
      </w:r>
      <w:proofErr w:type="spellStart"/>
      <w:r w:rsidRPr="007870F4">
        <w:rPr>
          <w:rFonts w:ascii="Times New Roman" w:hAnsi="Times New Roman" w:cs="Times New Roman"/>
        </w:rPr>
        <w:t>OpenTime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65DC4A5A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LotSize</w:t>
      </w:r>
      <w:proofErr w:type="spellEnd"/>
    </w:p>
    <w:p w14:paraId="4F1D4293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OpenBalance</w:t>
      </w:r>
      <w:proofErr w:type="spellEnd"/>
      <w:r w:rsidRPr="007870F4">
        <w:rPr>
          <w:rFonts w:ascii="Times New Roman" w:hAnsi="Times New Roman" w:cs="Times New Roman"/>
        </w:rPr>
        <w:t xml:space="preserve"> (Used as Proxy for Equity at Entry)</w:t>
      </w:r>
    </w:p>
    <w:p w14:paraId="308FE01D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NetProfit</w:t>
      </w:r>
      <w:proofErr w:type="spellEnd"/>
      <w:r w:rsidRPr="007870F4">
        <w:rPr>
          <w:rFonts w:ascii="Times New Roman" w:hAnsi="Times New Roman" w:cs="Times New Roman"/>
        </w:rPr>
        <w:t xml:space="preserve"> (Swap + Commission + Profit)</w:t>
      </w:r>
    </w:p>
    <w:p w14:paraId="1A9582CB" w14:textId="77777777" w:rsidR="007870F4" w:rsidRPr="007870F4" w:rsidRDefault="007870F4" w:rsidP="007870F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RiskPercent</w:t>
      </w:r>
      <w:proofErr w:type="spellEnd"/>
      <w:r w:rsidRPr="007870F4">
        <w:rPr>
          <w:rFonts w:ascii="Times New Roman" w:hAnsi="Times New Roman" w:cs="Times New Roman"/>
        </w:rPr>
        <w:t xml:space="preserve"> (Formula: [</w:t>
      </w:r>
      <w:proofErr w:type="spellStart"/>
      <w:r w:rsidRPr="007870F4">
        <w:rPr>
          <w:rFonts w:ascii="Times New Roman" w:hAnsi="Times New Roman" w:cs="Times New Roman"/>
        </w:rPr>
        <w:t>StopLossDistance</w:t>
      </w:r>
      <w:proofErr w:type="spellEnd"/>
      <w:r w:rsidRPr="007870F4">
        <w:rPr>
          <w:rFonts w:ascii="Times New Roman" w:hAnsi="Times New Roman" w:cs="Times New Roman"/>
        </w:rPr>
        <w:t xml:space="preserve"> * Lot] / </w:t>
      </w:r>
      <w:proofErr w:type="spellStart"/>
      <w:r w:rsidRPr="007870F4">
        <w:rPr>
          <w:rFonts w:ascii="Times New Roman" w:hAnsi="Times New Roman" w:cs="Times New Roman"/>
        </w:rPr>
        <w:t>OpenBalance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74C75972" w14:textId="77777777" w:rsidR="007870F4" w:rsidRPr="007870F4" w:rsidRDefault="007870F4" w:rsidP="007870F4">
      <w:pPr>
        <w:rPr>
          <w:rFonts w:ascii="Times New Roman" w:hAnsi="Times New Roman" w:cs="Times New Roman"/>
          <w:b/>
          <w:bCs/>
        </w:rPr>
      </w:pPr>
      <w:r w:rsidRPr="007870F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7870F4">
        <w:rPr>
          <w:rFonts w:ascii="Times New Roman" w:hAnsi="Times New Roman" w:cs="Times New Roman"/>
          <w:b/>
          <w:bCs/>
        </w:rPr>
        <w:t>Fact_Daily_Account</w:t>
      </w:r>
      <w:proofErr w:type="spellEnd"/>
      <w:r w:rsidRPr="007870F4">
        <w:rPr>
          <w:rFonts w:ascii="Times New Roman" w:hAnsi="Times New Roman" w:cs="Times New Roman"/>
          <w:b/>
          <w:bCs/>
        </w:rPr>
        <w:t xml:space="preserve"> (The "Manager" View)</w:t>
      </w:r>
    </w:p>
    <w:p w14:paraId="1EBF50FE" w14:textId="77777777" w:rsidR="007870F4" w:rsidRPr="007870F4" w:rsidRDefault="007870F4" w:rsidP="007870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Grain:</w:t>
      </w:r>
      <w:r w:rsidRPr="007870F4">
        <w:rPr>
          <w:rFonts w:ascii="Times New Roman" w:hAnsi="Times New Roman" w:cs="Times New Roman"/>
        </w:rPr>
        <w:t xml:space="preserve"> One row per calendar day (00:00 to 23:59).</w:t>
      </w:r>
    </w:p>
    <w:p w14:paraId="2C92ED60" w14:textId="77777777" w:rsidR="007870F4" w:rsidRPr="007870F4" w:rsidRDefault="007870F4" w:rsidP="007870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Purpose:</w:t>
      </w:r>
      <w:r w:rsidRPr="007870F4">
        <w:rPr>
          <w:rFonts w:ascii="Times New Roman" w:hAnsi="Times New Roman" w:cs="Times New Roman"/>
        </w:rPr>
        <w:t xml:space="preserve"> Tracks your 15% Drawdown Limit and 3/5 Consistency Rule.</w:t>
      </w:r>
    </w:p>
    <w:p w14:paraId="1BA95232" w14:textId="77777777" w:rsidR="007870F4" w:rsidRPr="007870F4" w:rsidRDefault="007870F4" w:rsidP="007870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Columns (Headers):</w:t>
      </w:r>
    </w:p>
    <w:p w14:paraId="49C3053B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Date (e.g., 2025-01-07)</w:t>
      </w:r>
    </w:p>
    <w:p w14:paraId="59AC83B2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StartBalance</w:t>
      </w:r>
      <w:proofErr w:type="spellEnd"/>
      <w:r w:rsidRPr="007870F4">
        <w:rPr>
          <w:rFonts w:ascii="Times New Roman" w:hAnsi="Times New Roman" w:cs="Times New Roman"/>
        </w:rPr>
        <w:t xml:space="preserve"> (Balance at 00:00)</w:t>
      </w:r>
    </w:p>
    <w:p w14:paraId="4A4526A5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EndBalance</w:t>
      </w:r>
      <w:proofErr w:type="spellEnd"/>
      <w:r w:rsidRPr="007870F4">
        <w:rPr>
          <w:rFonts w:ascii="Times New Roman" w:hAnsi="Times New Roman" w:cs="Times New Roman"/>
        </w:rPr>
        <w:t xml:space="preserve"> (Balance at 23:59)</w:t>
      </w:r>
    </w:p>
    <w:p w14:paraId="59E85FC2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DailyNetProfit</w:t>
      </w:r>
      <w:proofErr w:type="spellEnd"/>
    </w:p>
    <w:p w14:paraId="42AE6AD2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DailyDrawdown</w:t>
      </w:r>
      <w:proofErr w:type="spellEnd"/>
      <w:r w:rsidRPr="007870F4">
        <w:rPr>
          <w:rFonts w:ascii="Times New Roman" w:hAnsi="Times New Roman" w:cs="Times New Roman"/>
        </w:rPr>
        <w:t xml:space="preserve"> (The lowest point reached that day vs. </w:t>
      </w:r>
      <w:proofErr w:type="spellStart"/>
      <w:r w:rsidRPr="007870F4">
        <w:rPr>
          <w:rFonts w:ascii="Times New Roman" w:hAnsi="Times New Roman" w:cs="Times New Roman"/>
        </w:rPr>
        <w:t>StartBalance</w:t>
      </w:r>
      <w:proofErr w:type="spellEnd"/>
      <w:r w:rsidRPr="007870F4">
        <w:rPr>
          <w:rFonts w:ascii="Times New Roman" w:hAnsi="Times New Roman" w:cs="Times New Roman"/>
        </w:rPr>
        <w:t>)</w:t>
      </w:r>
    </w:p>
    <w:p w14:paraId="3844CFDC" w14:textId="77777777" w:rsidR="007870F4" w:rsidRPr="007870F4" w:rsidRDefault="007870F4" w:rsidP="007870F4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IsPositiveDay</w:t>
      </w:r>
      <w:proofErr w:type="spellEnd"/>
      <w:r w:rsidRPr="007870F4">
        <w:rPr>
          <w:rFonts w:ascii="Times New Roman" w:hAnsi="Times New Roman" w:cs="Times New Roman"/>
        </w:rPr>
        <w:t xml:space="preserve"> (TRUE/FALSE - for the "Reliability" KPI)</w:t>
      </w:r>
    </w:p>
    <w:p w14:paraId="42E6EF08" w14:textId="77777777" w:rsidR="007870F4" w:rsidRPr="007870F4" w:rsidRDefault="007870F4" w:rsidP="007870F4">
      <w:pPr>
        <w:rPr>
          <w:rFonts w:ascii="Times New Roman" w:hAnsi="Times New Roman" w:cs="Times New Roman"/>
          <w:b/>
          <w:bCs/>
        </w:rPr>
      </w:pPr>
      <w:r w:rsidRPr="007870F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870F4">
        <w:rPr>
          <w:rFonts w:ascii="Times New Roman" w:hAnsi="Times New Roman" w:cs="Times New Roman"/>
          <w:b/>
          <w:bCs/>
        </w:rPr>
        <w:t>Fact_Symbol_Performance</w:t>
      </w:r>
      <w:proofErr w:type="spellEnd"/>
      <w:r w:rsidRPr="007870F4">
        <w:rPr>
          <w:rFonts w:ascii="Times New Roman" w:hAnsi="Times New Roman" w:cs="Times New Roman"/>
          <w:b/>
          <w:bCs/>
        </w:rPr>
        <w:t xml:space="preserve"> (The "Optimizer" View)</w:t>
      </w:r>
    </w:p>
    <w:p w14:paraId="306CE404" w14:textId="77777777" w:rsidR="007870F4" w:rsidRPr="007870F4" w:rsidRDefault="007870F4" w:rsidP="007870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Grain:</w:t>
      </w:r>
      <w:r w:rsidRPr="007870F4">
        <w:rPr>
          <w:rFonts w:ascii="Times New Roman" w:hAnsi="Times New Roman" w:cs="Times New Roman"/>
        </w:rPr>
        <w:t xml:space="preserve"> One row per Symbol per Day.</w:t>
      </w:r>
    </w:p>
    <w:p w14:paraId="5C744CB0" w14:textId="77777777" w:rsidR="007870F4" w:rsidRPr="007870F4" w:rsidRDefault="007870F4" w:rsidP="007870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Purpose:</w:t>
      </w:r>
      <w:r w:rsidRPr="007870F4">
        <w:rPr>
          <w:rFonts w:ascii="Times New Roman" w:hAnsi="Times New Roman" w:cs="Times New Roman"/>
        </w:rPr>
        <w:t xml:space="preserve"> Tells you </w:t>
      </w:r>
      <w:r w:rsidRPr="007870F4">
        <w:rPr>
          <w:rFonts w:ascii="Times New Roman" w:hAnsi="Times New Roman" w:cs="Times New Roman"/>
          <w:i/>
          <w:iCs/>
        </w:rPr>
        <w:t>which</w:t>
      </w:r>
      <w:r w:rsidRPr="007870F4">
        <w:rPr>
          <w:rFonts w:ascii="Times New Roman" w:hAnsi="Times New Roman" w:cs="Times New Roman"/>
        </w:rPr>
        <w:t xml:space="preserve"> Step Index is carrying the load.</w:t>
      </w:r>
    </w:p>
    <w:p w14:paraId="74AED09B" w14:textId="77777777" w:rsidR="007870F4" w:rsidRPr="007870F4" w:rsidRDefault="007870F4" w:rsidP="007870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  <w:b/>
          <w:bCs/>
        </w:rPr>
        <w:t>Columns (Headers):</w:t>
      </w:r>
    </w:p>
    <w:p w14:paraId="7185ADE3" w14:textId="77777777" w:rsidR="007870F4" w:rsidRPr="007870F4" w:rsidRDefault="007870F4" w:rsidP="007870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t>Date</w:t>
      </w:r>
    </w:p>
    <w:p w14:paraId="306CC6BE" w14:textId="77777777" w:rsidR="007870F4" w:rsidRPr="007870F4" w:rsidRDefault="007870F4" w:rsidP="007870F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870F4">
        <w:rPr>
          <w:rFonts w:ascii="Times New Roman" w:hAnsi="Times New Roman" w:cs="Times New Roman"/>
        </w:rPr>
        <w:lastRenderedPageBreak/>
        <w:t>Symbol</w:t>
      </w:r>
    </w:p>
    <w:p w14:paraId="58112271" w14:textId="77777777" w:rsidR="007870F4" w:rsidRPr="007870F4" w:rsidRDefault="007870F4" w:rsidP="007870F4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DailyTradeCount</w:t>
      </w:r>
      <w:proofErr w:type="spellEnd"/>
    </w:p>
    <w:p w14:paraId="750DF204" w14:textId="42FAC272" w:rsidR="009A6567" w:rsidRPr="0087105B" w:rsidRDefault="007870F4" w:rsidP="009A6567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7870F4">
        <w:rPr>
          <w:rFonts w:ascii="Times New Roman" w:hAnsi="Times New Roman" w:cs="Times New Roman"/>
        </w:rPr>
        <w:t>DailySymbolProfit</w:t>
      </w:r>
      <w:proofErr w:type="spellEnd"/>
    </w:p>
    <w:p w14:paraId="01137388" w14:textId="63C277E2" w:rsidR="00E30927" w:rsidRDefault="008C3162" w:rsidP="00D83673">
      <w:pPr>
        <w:pStyle w:val="Heading1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D83673">
        <w:rPr>
          <w:rFonts w:ascii="Times New Roman" w:hAnsi="Times New Roman" w:cs="Times New Roman"/>
        </w:rPr>
        <w:t>KPI-to-Table Mapping</w:t>
      </w:r>
    </w:p>
    <w:p w14:paraId="160AB0D3" w14:textId="57ACDB36" w:rsidR="004F4C3E" w:rsidRPr="001E14FA" w:rsidRDefault="001E14FA" w:rsidP="001E14FA">
      <w:pPr>
        <w:jc w:val="both"/>
        <w:rPr>
          <w:rFonts w:ascii="Times New Roman" w:hAnsi="Times New Roman" w:cs="Times New Roman"/>
        </w:rPr>
      </w:pPr>
      <w:r w:rsidRPr="001E14FA">
        <w:rPr>
          <w:rFonts w:ascii="Times New Roman" w:hAnsi="Times New Roman" w:cs="Times New Roman"/>
        </w:rPr>
        <w:t>This table validates that every KPI defined in Module 2 has a specific home in the Module 3 data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088"/>
        <w:gridCol w:w="4260"/>
      </w:tblGrid>
      <w:tr w:rsidR="0087105B" w:rsidRPr="0087105B" w14:paraId="3866E7D5" w14:textId="77777777" w:rsidTr="0087105B">
        <w:tc>
          <w:tcPr>
            <w:tcW w:w="0" w:type="auto"/>
            <w:hideMark/>
          </w:tcPr>
          <w:p w14:paraId="72CBC12A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Module 2 KPI</w:t>
            </w:r>
          </w:p>
        </w:tc>
        <w:tc>
          <w:tcPr>
            <w:tcW w:w="0" w:type="auto"/>
            <w:hideMark/>
          </w:tcPr>
          <w:p w14:paraId="0DBE682A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Source Table</w:t>
            </w:r>
          </w:p>
        </w:tc>
        <w:tc>
          <w:tcPr>
            <w:tcW w:w="0" w:type="auto"/>
            <w:hideMark/>
          </w:tcPr>
          <w:p w14:paraId="5CAEC921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Justification for Grain Choice</w:t>
            </w:r>
          </w:p>
        </w:tc>
      </w:tr>
      <w:tr w:rsidR="0087105B" w:rsidRPr="0087105B" w14:paraId="61AC5E0E" w14:textId="77777777" w:rsidTr="0087105B">
        <w:tc>
          <w:tcPr>
            <w:tcW w:w="0" w:type="auto"/>
            <w:hideMark/>
          </w:tcPr>
          <w:p w14:paraId="5ED89EFC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1: Single-Trade Risk Exposure</w:t>
            </w:r>
          </w:p>
        </w:tc>
        <w:tc>
          <w:tcPr>
            <w:tcW w:w="0" w:type="auto"/>
            <w:hideMark/>
          </w:tcPr>
          <w:p w14:paraId="375803C3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Fact_Trades</w:t>
            </w:r>
            <w:proofErr w:type="spellEnd"/>
          </w:p>
        </w:tc>
        <w:tc>
          <w:tcPr>
            <w:tcW w:w="0" w:type="auto"/>
            <w:hideMark/>
          </w:tcPr>
          <w:p w14:paraId="46951DFD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Trade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Risk is calculated at the moment of entry for a </w:t>
            </w:r>
            <w:r w:rsidRPr="0087105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single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position. Aggregating this to a daily level would hide dangerous trades that exceeded the 3% limit but were masked by other safe trades.</w:t>
            </w:r>
          </w:p>
        </w:tc>
      </w:tr>
      <w:tr w:rsidR="0087105B" w:rsidRPr="0087105B" w14:paraId="24028DB0" w14:textId="77777777" w:rsidTr="0087105B">
        <w:tc>
          <w:tcPr>
            <w:tcW w:w="0" w:type="auto"/>
            <w:hideMark/>
          </w:tcPr>
          <w:p w14:paraId="2CA1358D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2: Session Drawdown (Max)</w:t>
            </w:r>
          </w:p>
        </w:tc>
        <w:tc>
          <w:tcPr>
            <w:tcW w:w="0" w:type="auto"/>
            <w:hideMark/>
          </w:tcPr>
          <w:p w14:paraId="3F901C5E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Fact_Daily_Account</w:t>
            </w:r>
            <w:proofErr w:type="spellEnd"/>
          </w:p>
        </w:tc>
        <w:tc>
          <w:tcPr>
            <w:tcW w:w="0" w:type="auto"/>
            <w:hideMark/>
          </w:tcPr>
          <w:p w14:paraId="169D1A31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Daily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The decision criterion is a 15% limit on the </w:t>
            </w:r>
            <w:r w:rsidRPr="0087105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aggregate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account. This table captures the "High Water Mark" and "Low Water Mark" of the entire day, which is exactly what the KPI measures.</w:t>
            </w:r>
          </w:p>
        </w:tc>
      </w:tr>
      <w:tr w:rsidR="0087105B" w:rsidRPr="0087105B" w14:paraId="26BC6479" w14:textId="77777777" w:rsidTr="0087105B">
        <w:tc>
          <w:tcPr>
            <w:tcW w:w="0" w:type="auto"/>
            <w:hideMark/>
          </w:tcPr>
          <w:p w14:paraId="11026225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3: Reliability Rate (Daily)</w:t>
            </w:r>
          </w:p>
        </w:tc>
        <w:tc>
          <w:tcPr>
            <w:tcW w:w="0" w:type="auto"/>
            <w:hideMark/>
          </w:tcPr>
          <w:p w14:paraId="237BEAAD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Fact_Daily_Account</w:t>
            </w:r>
            <w:proofErr w:type="spellEnd"/>
          </w:p>
        </w:tc>
        <w:tc>
          <w:tcPr>
            <w:tcW w:w="0" w:type="auto"/>
            <w:hideMark/>
          </w:tcPr>
          <w:p w14:paraId="63E6C264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Daily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To calculate "4.5 out of 7 days," we need a binary "Win/Loss" flag per day. This table provides the clean 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IsPositiveDay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boolean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needed for that simple count.</w:t>
            </w:r>
          </w:p>
        </w:tc>
      </w:tr>
      <w:tr w:rsidR="0087105B" w:rsidRPr="0087105B" w14:paraId="2B770BCD" w14:textId="77777777" w:rsidTr="0087105B">
        <w:tc>
          <w:tcPr>
            <w:tcW w:w="0" w:type="auto"/>
            <w:hideMark/>
          </w:tcPr>
          <w:p w14:paraId="2467503F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4: Recovery Factor</w:t>
            </w:r>
          </w:p>
        </w:tc>
        <w:tc>
          <w:tcPr>
            <w:tcW w:w="0" w:type="auto"/>
            <w:hideMark/>
          </w:tcPr>
          <w:p w14:paraId="2A7E5602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Fact_Daily_Account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</w:t>
            </w:r>
            <w:r w:rsidRPr="0087105B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(Aggregated)</w:t>
            </w:r>
          </w:p>
        </w:tc>
        <w:tc>
          <w:tcPr>
            <w:tcW w:w="0" w:type="auto"/>
            <w:hideMark/>
          </w:tcPr>
          <w:p w14:paraId="4BB64B64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Daily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Recovery Factor is a long-term metric (</w:t>
            </w:r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Total Profit / Max Historical Drawdown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). We derive this by summing 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DailyNetProfit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and finding the </w:t>
            </w:r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MIN(</w:t>
            </w:r>
            <w:proofErr w:type="spellStart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DailyDrawdown</w:t>
            </w:r>
            <w:proofErr w:type="spellEnd"/>
            <w:r w:rsidRPr="0087105B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n-ZA"/>
                <w14:ligatures w14:val="none"/>
              </w:rPr>
              <w:t>)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from this table over the full history.</w:t>
            </w:r>
          </w:p>
        </w:tc>
      </w:tr>
      <w:tr w:rsidR="0087105B" w:rsidRPr="0087105B" w14:paraId="0C67BAAF" w14:textId="77777777" w:rsidTr="0087105B">
        <w:tc>
          <w:tcPr>
            <w:tcW w:w="0" w:type="auto"/>
            <w:hideMark/>
          </w:tcPr>
          <w:p w14:paraId="110C9476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KPI 5: Trade Duration Drift</w:t>
            </w:r>
          </w:p>
        </w:tc>
        <w:tc>
          <w:tcPr>
            <w:tcW w:w="0" w:type="auto"/>
            <w:hideMark/>
          </w:tcPr>
          <w:p w14:paraId="2AA8364E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Fact_Trades</w:t>
            </w:r>
            <w:proofErr w:type="spellEnd"/>
          </w:p>
        </w:tc>
        <w:tc>
          <w:tcPr>
            <w:tcW w:w="0" w:type="auto"/>
            <w:hideMark/>
          </w:tcPr>
          <w:p w14:paraId="12381419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Trade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To detect "drift," we need to see the outliers. If we averaged duration at a daily level, one "stuck" trade of 12 hours would be diluted by ten quick scalps. Trade-level grain exposes the specific outliers.</w:t>
            </w:r>
          </w:p>
        </w:tc>
      </w:tr>
      <w:tr w:rsidR="0087105B" w:rsidRPr="0087105B" w14:paraId="69623EBD" w14:textId="77777777" w:rsidTr="0087105B">
        <w:tc>
          <w:tcPr>
            <w:tcW w:w="0" w:type="auto"/>
            <w:hideMark/>
          </w:tcPr>
          <w:p w14:paraId="02717683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Attribution (Step Index Selection)</w:t>
            </w:r>
          </w:p>
        </w:tc>
        <w:tc>
          <w:tcPr>
            <w:tcW w:w="0" w:type="auto"/>
            <w:hideMark/>
          </w:tcPr>
          <w:p w14:paraId="55DC3623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proofErr w:type="spellStart"/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Fact_Symbol_Performance</w:t>
            </w:r>
            <w:proofErr w:type="spellEnd"/>
          </w:p>
        </w:tc>
        <w:tc>
          <w:tcPr>
            <w:tcW w:w="0" w:type="auto"/>
            <w:hideMark/>
          </w:tcPr>
          <w:p w14:paraId="7C15BF8B" w14:textId="77777777" w:rsidR="0087105B" w:rsidRPr="0087105B" w:rsidRDefault="0087105B" w:rsidP="0087105B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ZA"/>
                <w14:ligatures w14:val="none"/>
              </w:rPr>
            </w:pPr>
            <w:r w:rsidRPr="0087105B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>Why Symbol Grain?</w:t>
            </w:r>
            <w:r w:rsidRPr="0087105B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en-ZA"/>
                <w14:ligatures w14:val="none"/>
              </w:rPr>
              <w:t xml:space="preserve"> This is the specific table needed to answer the "Which Step Index should I fire?" question. It isolates profit and drawdown per instrument.</w:t>
            </w:r>
          </w:p>
        </w:tc>
      </w:tr>
    </w:tbl>
    <w:p w14:paraId="3466E16B" w14:textId="305EF432" w:rsidR="009A6567" w:rsidRPr="00E130A8" w:rsidRDefault="009A6567" w:rsidP="009A6567">
      <w:pPr>
        <w:rPr>
          <w:rFonts w:ascii="Times New Roman" w:hAnsi="Times New Roman" w:cs="Times New Roman"/>
        </w:rPr>
      </w:pPr>
    </w:p>
    <w:p w14:paraId="69B622FA" w14:textId="462F943A" w:rsidR="0031371E" w:rsidRPr="00E130A8" w:rsidRDefault="00E130A8" w:rsidP="00E130A8">
      <w:pPr>
        <w:pStyle w:val="Heading1"/>
        <w:numPr>
          <w:ilvl w:val="0"/>
          <w:numId w:val="2"/>
        </w:numPr>
        <w:ind w:left="426"/>
        <w:rPr>
          <w:rFonts w:ascii="Times New Roman" w:hAnsi="Times New Roman" w:cs="Times New Roman"/>
        </w:rPr>
      </w:pPr>
      <w:r w:rsidRPr="00E130A8">
        <w:rPr>
          <w:rFonts w:ascii="Times New Roman" w:hAnsi="Times New Roman" w:cs="Times New Roman"/>
        </w:rPr>
        <w:lastRenderedPageBreak/>
        <w:t>Design Justification</w:t>
      </w:r>
    </w:p>
    <w:p w14:paraId="4C5C3A45" w14:textId="42227F99" w:rsidR="00F2349B" w:rsidRPr="0031371E" w:rsidRDefault="0031371E" w:rsidP="0031371E">
      <w:pPr>
        <w:jc w:val="both"/>
        <w:rPr>
          <w:rFonts w:ascii="Times New Roman" w:hAnsi="Times New Roman" w:cs="Times New Roman"/>
        </w:rPr>
      </w:pPr>
      <w:r w:rsidRPr="0031371E">
        <w:rPr>
          <w:rFonts w:ascii="Times New Roman" w:hAnsi="Times New Roman" w:cs="Times New Roman"/>
        </w:rPr>
        <w:t xml:space="preserve">Standard MT5 reports are transactional, listing trades sequentially. To support Decision Analysis, this model normalizes data into three grains: Trade Level for </w:t>
      </w:r>
      <w:r w:rsidRPr="0031371E">
        <w:rPr>
          <w:rFonts w:ascii="Times New Roman" w:hAnsi="Times New Roman" w:cs="Times New Roman"/>
        </w:rPr>
        <w:t>behavioural</w:t>
      </w:r>
      <w:r w:rsidRPr="0031371E">
        <w:rPr>
          <w:rFonts w:ascii="Times New Roman" w:hAnsi="Times New Roman" w:cs="Times New Roman"/>
        </w:rPr>
        <w:t xml:space="preserve"> diagnostics (duration/risk), Daily Account Level for capital governance (drawdown/consistency), and Symbol Level for attribution analysis. This structure prevents aggregation errors where a profitable day masks a failing specific instrument.</w:t>
      </w:r>
    </w:p>
    <w:sectPr w:rsidR="00F2349B" w:rsidRPr="00313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fentse I. Pholosi" w:date="2026-01-05T16:28:00Z" w:initials="OIP">
    <w:p w14:paraId="1A0FEDD7" w14:textId="77777777" w:rsidR="00396426" w:rsidRDefault="00396426" w:rsidP="00396426">
      <w:pPr>
        <w:pStyle w:val="CommentText"/>
      </w:pPr>
      <w:r>
        <w:rPr>
          <w:rStyle w:val="CommentReference"/>
        </w:rPr>
        <w:annotationRef/>
      </w:r>
      <w:r>
        <w:t xml:space="preserve">How do we structure our data so we can actually calculate those formulas?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0FED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0E2D42" w16cex:dateUtc="2026-01-05T1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0FEDD7" w16cid:durableId="160E2D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ADA"/>
    <w:multiLevelType w:val="hybridMultilevel"/>
    <w:tmpl w:val="6ECE4D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B544C"/>
    <w:multiLevelType w:val="multilevel"/>
    <w:tmpl w:val="3E5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16FA7"/>
    <w:multiLevelType w:val="multilevel"/>
    <w:tmpl w:val="31A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A3D63"/>
    <w:multiLevelType w:val="multilevel"/>
    <w:tmpl w:val="5D7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71BB4"/>
    <w:multiLevelType w:val="hybridMultilevel"/>
    <w:tmpl w:val="225A56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850249">
    <w:abstractNumId w:val="0"/>
  </w:num>
  <w:num w:numId="2" w16cid:durableId="1540242709">
    <w:abstractNumId w:val="4"/>
  </w:num>
  <w:num w:numId="3" w16cid:durableId="704334894">
    <w:abstractNumId w:val="3"/>
  </w:num>
  <w:num w:numId="4" w16cid:durableId="1871526696">
    <w:abstractNumId w:val="2"/>
  </w:num>
  <w:num w:numId="5" w16cid:durableId="99518571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fentse I. Pholosi">
    <w15:presenceInfo w15:providerId="None" w15:userId="Ofentse I. Pholos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9B"/>
    <w:rsid w:val="001E14FA"/>
    <w:rsid w:val="0031371E"/>
    <w:rsid w:val="00396426"/>
    <w:rsid w:val="00400DA0"/>
    <w:rsid w:val="004F4C3E"/>
    <w:rsid w:val="00570519"/>
    <w:rsid w:val="00673E9B"/>
    <w:rsid w:val="007870F4"/>
    <w:rsid w:val="0087105B"/>
    <w:rsid w:val="008C3162"/>
    <w:rsid w:val="009A6567"/>
    <w:rsid w:val="00BC7401"/>
    <w:rsid w:val="00D83673"/>
    <w:rsid w:val="00E130A8"/>
    <w:rsid w:val="00E30927"/>
    <w:rsid w:val="00E533CB"/>
    <w:rsid w:val="00EA5C25"/>
    <w:rsid w:val="00F2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1E9C5"/>
  <w15:chartTrackingRefBased/>
  <w15:docId w15:val="{34534E71-36E4-446C-AFBA-16C11A6B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9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96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64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64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6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6426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71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A067B-2285-426C-89AA-41B5E3AF3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I. Pholosi</dc:creator>
  <cp:keywords/>
  <dc:description/>
  <cp:lastModifiedBy>Ofentse I. Pholosi</cp:lastModifiedBy>
  <cp:revision>14</cp:revision>
  <cp:lastPrinted>2026-01-06T21:58:00Z</cp:lastPrinted>
  <dcterms:created xsi:type="dcterms:W3CDTF">2026-01-05T13:20:00Z</dcterms:created>
  <dcterms:modified xsi:type="dcterms:W3CDTF">2026-01-06T22:02:00Z</dcterms:modified>
</cp:coreProperties>
</file>