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60"/>
      </w:pPr>
      <w:r>
        <w:rPr>
          <w:rFonts w:ascii="Arial" w:cs="Arial" w:eastAsia="Arial" w:hAnsi="Arial"/>
          <w:color w:val="999999"/>
          <w:spacing w:val="20"/>
          <w:sz w:val="14"/>
          <w:szCs w:val="14"/>
        </w:rPr>
        <w:t xml:space="preserve">PART OF OFFPLAN CLAIMS RECLASSIFICATION ENGINE · BUILD PACKAGE v1.0</w:t>
      </w:r>
    </w:p>
    <w:p>
      <w:pPr>
        <w:spacing w:after="80" w:before="200"/>
      </w:pPr>
      <w:r>
        <w:rPr>
          <w:rFonts w:ascii="Arial" w:cs="Arial" w:eastAsia="Arial" w:hAnsi="Arial"/>
          <w:color w:val="888888"/>
          <w:sz w:val="18"/>
          <w:szCs w:val="18"/>
        </w:rPr>
        <w:t xml:space="preserve">CTO BUILD PACKAGE · COVER MEMO</w:t>
      </w:r>
    </w:p>
    <w:p>
      <w:pPr>
        <w:spacing w:after="80" w:before="0"/>
      </w:pPr>
      <w:r>
        <w:rPr>
          <w:rFonts w:ascii="Arial" w:cs="Arial" w:eastAsia="Arial" w:hAnsi="Arial"/>
          <w:b/>
          <w:bCs/>
          <w:color w:val="1F1F1F"/>
          <w:sz w:val="56"/>
          <w:szCs w:val="56"/>
        </w:rPr>
        <w:t xml:space="preserve">Welcome to the Engine</w:t>
      </w:r>
    </w:p>
    <w:p>
      <w:pPr>
        <w:spacing w:after="100" w:before="0"/>
      </w:pPr>
      <w:r>
        <w:rPr>
          <w:rFonts w:ascii="Arial" w:cs="Arial" w:eastAsia="Arial" w:hAnsi="Arial"/>
          <w:i/>
          <w:iCs/>
          <w:color w:val="555555"/>
          <w:sz w:val="22"/>
          <w:szCs w:val="22"/>
        </w:rPr>
        <w:t xml:space="preserve">Pepper, this is the consolidated build package for the Claims Reclassification Engine. Six documents, one CSV bundle, one working prototype. Read this memo first, then work through the documents in order.</w:t>
      </w:r>
    </w:p>
    <w:p>
      <w:pPr>
        <w:pBdr>
          <w:bottom w:val="single" w:color="1F1F1F" w:sz="6" w:space="4"/>
        </w:pBdr>
        <w:spacing w:after="200" w:before="80"/>
      </w:pPr>
      <w:r>
        <w:t xml:space="preserve"/>
      </w:r>
    </w:p>
    <w:p>
      <w:pPr>
        <w:spacing w:after="120" w:before="120"/>
        <w:jc w:val="left"/>
      </w:pPr>
      <w:r>
        <w:rPr>
          <w:rFonts w:ascii="Arial" w:cs="Arial" w:eastAsia="Arial" w:hAnsi="Arial"/>
          <w:b w:val="false"/>
          <w:bCs w:val="false"/>
          <w:i w:val="false"/>
          <w:iCs w:val="false"/>
          <w:color w:val="1F1F1F"/>
          <w:sz w:val="22"/>
          <w:szCs w:val="22"/>
        </w:rPr>
        <w:t xml:space="preserve">This Build Package v1.0 represents the first frozen, build-ready specification set for the OffPlan Claims Reclassification Engine. All included documents are version-locked for implementation and should be treated as the authoritative build reference.</w:t>
      </w:r>
    </w:p>
    <w:p>
      <w:pPr>
        <w:pStyle w:val="Heading2"/>
        <w:spacing w:after="120" w:before="280"/>
      </w:pPr>
      <w:r>
        <w:rPr>
          <w:rFonts w:ascii="Arial" w:cs="Arial" w:eastAsia="Arial" w:hAnsi="Arial"/>
          <w:b/>
          <w:bCs/>
          <w:color w:val="1F1F1F"/>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62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Value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OffPlan Claims Reclassification Engine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 Version</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 Package v1.0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 Status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Build-ready</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Scope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Claims Reclassification Engine MVP</w:t>
            </w:r>
          </w:p>
        </w:tc>
      </w:tr>
    </w:tbl>
    <w:p>
      <w:pPr>
        <w:pStyle w:val="Heading1"/>
        <w:spacing w:after="160" w:before="360"/>
      </w:pPr>
      <w:r>
        <w:rPr>
          <w:rFonts w:ascii="Arial" w:cs="Arial" w:eastAsia="Arial" w:hAnsi="Arial"/>
          <w:b/>
          <w:bCs/>
          <w:color w:val="1F1F1F"/>
          <w:sz w:val="36"/>
          <w:szCs w:val="36"/>
        </w:rPr>
        <w:t xml:space="preserve">What You Are Building</w:t>
      </w:r>
    </w:p>
    <w:p>
      <w:pPr>
        <w:spacing w:after="80" w:before="80"/>
        <w:jc w:val="left"/>
      </w:pPr>
      <w:r>
        <w:rPr>
          <w:rFonts w:ascii="Arial" w:cs="Arial" w:eastAsia="Arial" w:hAnsi="Arial"/>
          <w:b w:val="false"/>
          <w:bCs w:val="false"/>
          <w:i w:val="false"/>
          <w:iCs w:val="false"/>
          <w:color w:val="1F1F1F"/>
          <w:sz w:val="22"/>
          <w:szCs w:val="22"/>
        </w:rPr>
        <w:t xml:space="preserve">The Claims Reclassification Engine is OffPlan's core sales and underwriting tool. It takes an employer's historical claims, reclassifies them under the OffPlan architecture (DPC eliminated, cash-pay repriced, indemnity offset, stop-loss shifted, residual funded), and produces a single number we call the Residual Claims Fund Required (PEPM).</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That number replaces the traditional concept of expected claims. It is what the employer actually needs to fund as claims under OffPlan. Everything else either disappears, gets cheaper, or shifts to insurance.</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The engine is the proof. It is the artifact that lets a broker hand a CFO a real number, with their real data, and demonstrate that the OffPlan model works on their specific population. Without it, OffPlan is a story. With it, OffPlan is a quantifiable financial transformation.</w:t>
      </w:r>
    </w:p>
    <w:p>
      <w:pPr>
        <w:pStyle w:val="Heading1"/>
        <w:spacing w:after="160" w:before="360"/>
      </w:pPr>
      <w:r>
        <w:rPr>
          <w:rFonts w:ascii="Arial" w:cs="Arial" w:eastAsia="Arial" w:hAnsi="Arial"/>
          <w:b/>
          <w:bCs/>
          <w:color w:val="1F1F1F"/>
          <w:sz w:val="36"/>
          <w:szCs w:val="36"/>
        </w:rPr>
        <w:t xml:space="preserve">What's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rPr>
          <w:tblHeader/>
        </w:trPr>
        <w:tc>
          <w:tcPr>
            <w:tcW w:type="dxa" w:w="6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t>
            </w:r>
          </w:p>
        </w:tc>
        <w:tc>
          <w:tcPr>
            <w:tcW w:type="dxa" w:w="40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Document</w:t>
            </w:r>
          </w:p>
        </w:tc>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Purpose</w:t>
            </w:r>
          </w:p>
        </w:tc>
      </w:tr>
      <w:tr>
        <w:tc>
          <w:tcPr>
            <w:tcW w:type="dxa" w:w="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00</w:t>
            </w:r>
          </w:p>
        </w:tc>
        <w:tc>
          <w:tcPr>
            <w:tcW w:type="dxa" w:w="4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Cover Memo (this document) v1.2</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Orientation. Read first.</w:t>
            </w:r>
          </w:p>
        </w:tc>
      </w:tr>
      <w:tr>
        <w:tc>
          <w:tcPr>
            <w:tcW w:type="dxa" w:w="6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01</w:t>
            </w:r>
          </w:p>
        </w:tc>
        <w:tc>
          <w:tcPr>
            <w:tcW w:type="dxa" w:w="40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Master Specification v3.3</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Authoritative product spec. Build-ready.</w:t>
            </w:r>
          </w:p>
        </w:tc>
      </w:tr>
      <w:tr>
        <w:tc>
          <w:tcPr>
            <w:tcW w:type="dxa" w:w="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02</w:t>
            </w:r>
          </w:p>
        </w:tc>
        <w:tc>
          <w:tcPr>
            <w:tcW w:type="dxa" w:w="4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Data Dictionary v3.0</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Database schema, CSV templates, provenance fields, simulation tables.</w:t>
            </w:r>
          </w:p>
        </w:tc>
      </w:tr>
      <w:tr>
        <w:tc>
          <w:tcPr>
            <w:tcW w:type="dxa" w:w="6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03</w:t>
            </w:r>
          </w:p>
        </w:tc>
        <w:tc>
          <w:tcPr>
            <w:tcW w:type="dxa" w:w="40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Architecture &amp; Security Specification v1.0</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Multi-tenant SaaS architecture, PHI controls, SOC 2 + HIPAA.</w:t>
            </w:r>
          </w:p>
        </w:tc>
      </w:tr>
      <w:tr>
        <w:tc>
          <w:tcPr>
            <w:tcW w:type="dxa" w:w="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04</w:t>
            </w:r>
          </w:p>
        </w:tc>
        <w:tc>
          <w:tcPr>
            <w:tcW w:type="dxa" w:w="4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CSV Templates Package v2.1</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Three input templates with chronic flag ingestion (NEW in v2.1).</w:t>
            </w:r>
          </w:p>
        </w:tc>
      </w:tr>
      <w:tr>
        <w:tc>
          <w:tcPr>
            <w:tcW w:type="dxa" w:w="6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05</w:t>
            </w:r>
          </w:p>
        </w:tc>
        <w:tc>
          <w:tcPr>
            <w:tcW w:type="dxa" w:w="40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Reference Implementation Guide v1.0 + .jsx file</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Working React prototype with orientation guide.</w:t>
            </w:r>
          </w:p>
        </w:tc>
      </w:tr>
      <w:tr>
        <w:tc>
          <w:tcPr>
            <w:tcW w:type="dxa" w:w="6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06</w:t>
            </w:r>
          </w:p>
        </w:tc>
        <w:tc>
          <w:tcPr>
            <w:tcW w:type="dxa" w:w="4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Liquidity &amp; Capital Modeling Spec v1.2</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Stochastic framework. Build-ready math behind Min Required Liquidity, CER, LCR, SCR.</w:t>
            </w:r>
          </w:p>
        </w:tc>
      </w:tr>
      <w:tr>
        <w:tc>
          <w:tcPr>
            <w:tcW w:type="dxa" w:w="6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07</w:t>
            </w:r>
          </w:p>
        </w:tc>
        <w:tc>
          <w:tcPr>
            <w:tcW w:type="dxa" w:w="40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Delta Document v3.3 / v1.2</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Reference of changes from v3.2 / v1.1 to current. Read if you've already read v3.2.</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Read in order: 00 → 01 → 06 → 02 → 03 → 04 → 05. The Master Spec (01) and Liquidity Spec (06) together describe the engine's two halves: classification (what changes) and capital adequacy (how much cash). Read those two in sequence before the supporting docs. The Liquidity Spec opens with Part 0 (Terminology Lockdown); read Part 0 before any other section of any document.</w:t>
      </w:r>
    </w:p>
    <w:p>
      <w:pPr>
        <w:pStyle w:val="Heading1"/>
        <w:spacing w:after="160" w:before="360"/>
      </w:pPr>
      <w:r>
        <w:rPr>
          <w:rFonts w:ascii="Arial" w:cs="Arial" w:eastAsia="Arial" w:hAnsi="Arial"/>
          <w:b/>
          <w:bCs/>
          <w:color w:val="1F1F1F"/>
          <w:sz w:val="36"/>
          <w:szCs w:val="36"/>
        </w:rPr>
        <w:t xml:space="preserve">What's Deliberately Not In Scope</w:t>
      </w:r>
    </w:p>
    <w:p>
      <w:pPr>
        <w:spacing w:after="80" w:before="80"/>
        <w:jc w:val="left"/>
      </w:pPr>
      <w:r>
        <w:rPr>
          <w:rFonts w:ascii="Arial" w:cs="Arial" w:eastAsia="Arial" w:hAnsi="Arial"/>
          <w:b w:val="false"/>
          <w:bCs w:val="false"/>
          <w:i w:val="false"/>
          <w:iCs w:val="false"/>
          <w:color w:val="1F1F1F"/>
          <w:sz w:val="22"/>
          <w:szCs w:val="22"/>
        </w:rPr>
        <w:t xml:space="preserve">To be clear about what this package does and does not cover:</w:t>
      </w:r>
    </w:p>
    <w:p>
      <w:pPr>
        <w:spacing w:after="80" w:before="80"/>
      </w:pPr>
      <w:r>
        <w:t xml:space="preserve"/>
      </w:r>
    </w:p>
    <w:p>
      <w:pPr>
        <w:pStyle w:val="ListParagraph"/>
        <w:numPr>
          <w:ilvl w:val="0"/>
          <w:numId w:val="2"/>
        </w:numPr>
        <w:spacing w:after="30" w:before="30"/>
      </w:pPr>
      <w:r>
        <w:rPr>
          <w:rFonts w:ascii="Arial" w:cs="Arial" w:eastAsia="Arial" w:hAnsi="Arial"/>
          <w:color w:val="1F1F1F"/>
          <w:sz w:val="22"/>
          <w:szCs w:val="22"/>
        </w:rPr>
        <w:t xml:space="preserve">This is the engine, not the OffPlan platform. Member apps, physician EMR integration, employer dashboards beyond the engine's own output, TPA integrations, eligibility files — those are separate scopes.</w:t>
      </w:r>
    </w:p>
    <w:p>
      <w:pPr>
        <w:pStyle w:val="ListParagraph"/>
        <w:numPr>
          <w:ilvl w:val="0"/>
          <w:numId w:val="2"/>
        </w:numPr>
        <w:spacing w:after="30" w:before="30"/>
      </w:pPr>
      <w:r>
        <w:rPr>
          <w:rFonts w:ascii="Arial" w:cs="Arial" w:eastAsia="Arial" w:hAnsi="Arial"/>
          <w:color w:val="1F1F1F"/>
          <w:sz w:val="22"/>
          <w:szCs w:val="22"/>
        </w:rPr>
        <w:t xml:space="preserve">This is not Phase 1 + Phase 2 + Phase 3 of the broader OffPlan technology roadmap. It is one component of Phase 1, prioritized because every other commercial conversation depends on it working.</w:t>
      </w:r>
    </w:p>
    <w:p>
      <w:pPr>
        <w:pStyle w:val="ListParagraph"/>
        <w:numPr>
          <w:ilvl w:val="0"/>
          <w:numId w:val="2"/>
        </w:numPr>
        <w:spacing w:after="30" w:before="30"/>
      </w:pPr>
      <w:r>
        <w:rPr>
          <w:rFonts w:ascii="Arial" w:cs="Arial" w:eastAsia="Arial" w:hAnsi="Arial"/>
          <w:color w:val="1F1F1F"/>
          <w:sz w:val="22"/>
          <w:szCs w:val="22"/>
        </w:rPr>
        <w:t xml:space="preserve">This package does not include team composition, T&amp;M estimates, or specific vendor selection. Those are decisions for the CTO and the vendor relationship.</w:t>
      </w:r>
    </w:p>
    <w:p>
      <w:pPr>
        <w:pStyle w:val="ListParagraph"/>
        <w:numPr>
          <w:ilvl w:val="0"/>
          <w:numId w:val="2"/>
        </w:numPr>
        <w:spacing w:after="30" w:before="30"/>
      </w:pPr>
      <w:r>
        <w:rPr>
          <w:rFonts w:ascii="Arial" w:cs="Arial" w:eastAsia="Arial" w:hAnsi="Arial"/>
          <w:color w:val="1F1F1F"/>
          <w:sz w:val="22"/>
          <w:szCs w:val="22"/>
        </w:rPr>
        <w:t xml:space="preserve">This package does not cover the Member App, Population Health module, Network Analytics, or Care Coordination Workflows. Those are described elsewhere in the broader OffPlan technology strategy.</w:t>
      </w:r>
    </w:p>
    <w:p>
      <w:pPr>
        <w:pStyle w:val="Heading1"/>
        <w:spacing w:after="160" w:before="360"/>
      </w:pPr>
      <w:r>
        <w:rPr>
          <w:rFonts w:ascii="Arial" w:cs="Arial" w:eastAsia="Arial" w:hAnsi="Arial"/>
          <w:b/>
          <w:bCs/>
          <w:color w:val="1F1F1F"/>
          <w:sz w:val="36"/>
          <w:szCs w:val="36"/>
        </w:rPr>
        <w:t xml:space="preserve">Decisions That Need to Be Made</w:t>
      </w:r>
    </w:p>
    <w:p>
      <w:pPr>
        <w:spacing w:after="80" w:before="80"/>
        <w:jc w:val="left"/>
      </w:pPr>
      <w:r>
        <w:rPr>
          <w:rFonts w:ascii="Arial" w:cs="Arial" w:eastAsia="Arial" w:hAnsi="Arial"/>
          <w:b w:val="false"/>
          <w:bCs w:val="false"/>
          <w:i w:val="false"/>
          <w:iCs w:val="false"/>
          <w:color w:val="1F1F1F"/>
          <w:sz w:val="22"/>
          <w:szCs w:val="22"/>
        </w:rPr>
        <w:t xml:space="preserve">These are the open questions the package does not resolve. Pepper, please flag your recommendations on each before vendor scoping.</w:t>
      </w:r>
    </w:p>
    <w:p>
      <w:pPr>
        <w:pStyle w:val="Heading3"/>
        <w:spacing w:after="80" w:before="200"/>
      </w:pPr>
      <w:r>
        <w:rPr>
          <w:rFonts w:ascii="Arial" w:cs="Arial" w:eastAsia="Arial" w:hAnsi="Arial"/>
          <w:b/>
          <w:bCs/>
          <w:color w:val="1F1F1F"/>
          <w:sz w:val="24"/>
          <w:szCs w:val="24"/>
        </w:rPr>
        <w:t xml:space="preserve">Architectural Decisions</w:t>
      </w:r>
    </w:p>
    <w:p>
      <w:pPr>
        <w:pStyle w:val="ListParagraph"/>
        <w:numPr>
          <w:ilvl w:val="0"/>
          <w:numId w:val="3"/>
        </w:numPr>
        <w:spacing w:after="30" w:before="30"/>
      </w:pPr>
      <w:r>
        <w:rPr>
          <w:rFonts w:ascii="Arial" w:cs="Arial" w:eastAsia="Arial" w:hAnsi="Arial"/>
          <w:color w:val="1F1F1F"/>
          <w:sz w:val="22"/>
          <w:szCs w:val="22"/>
        </w:rPr>
        <w:t xml:space="preserve">Backend language: Python FastAPI (recommended for calculation auditability) or Java Spring Boot (recommended for security-critical microservices). The Master Spec accepts either.</w:t>
      </w:r>
    </w:p>
    <w:p>
      <w:pPr>
        <w:pStyle w:val="ListParagraph"/>
        <w:numPr>
          <w:ilvl w:val="0"/>
          <w:numId w:val="3"/>
        </w:numPr>
        <w:spacing w:after="30" w:before="30"/>
      </w:pPr>
      <w:r>
        <w:rPr>
          <w:rFonts w:ascii="Arial" w:cs="Arial" w:eastAsia="Arial" w:hAnsi="Arial"/>
          <w:color w:val="1F1F1F"/>
          <w:sz w:val="22"/>
          <w:szCs w:val="22"/>
        </w:rPr>
        <w:t xml:space="preserve">Multi-tenant strategy: row-level security in PostgreSQL (recommended) versus per-tenant database. RLS is faster to ship but more sensitive to bugs; per-tenant is safer but operationally heavier.</w:t>
      </w:r>
    </w:p>
    <w:p>
      <w:pPr>
        <w:pStyle w:val="ListParagraph"/>
        <w:numPr>
          <w:ilvl w:val="0"/>
          <w:numId w:val="3"/>
        </w:numPr>
        <w:spacing w:after="30" w:before="30"/>
      </w:pPr>
      <w:r>
        <w:rPr>
          <w:rFonts w:ascii="Arial" w:cs="Arial" w:eastAsia="Arial" w:hAnsi="Arial"/>
          <w:color w:val="1F1F1F"/>
          <w:sz w:val="22"/>
          <w:szCs w:val="22"/>
        </w:rPr>
        <w:t xml:space="preserve">Auth provider: Auth0 (faster, more expensive at scale) versus Keycloak (more setup, free, more control). Both meet the requirements.</w:t>
      </w:r>
    </w:p>
    <w:p>
      <w:pPr>
        <w:pStyle w:val="ListParagraph"/>
        <w:numPr>
          <w:ilvl w:val="0"/>
          <w:numId w:val="3"/>
        </w:numPr>
        <w:spacing w:after="30" w:before="30"/>
      </w:pPr>
      <w:r>
        <w:rPr>
          <w:rFonts w:ascii="Arial" w:cs="Arial" w:eastAsia="Arial" w:hAnsi="Arial"/>
          <w:color w:val="1F1F1F"/>
          <w:sz w:val="22"/>
          <w:szCs w:val="22"/>
        </w:rPr>
        <w:t xml:space="preserve">Compliance automation: Vanta (recommended in the Architecture spec) versus Drata or Secureframe. All three work; Vanta has the most ecosystem coverage.</w:t>
      </w:r>
    </w:p>
    <w:p>
      <w:pPr>
        <w:pStyle w:val="Heading3"/>
        <w:spacing w:after="80" w:before="200"/>
      </w:pPr>
      <w:r>
        <w:rPr>
          <w:rFonts w:ascii="Arial" w:cs="Arial" w:eastAsia="Arial" w:hAnsi="Arial"/>
          <w:b/>
          <w:bCs/>
          <w:color w:val="1F1F1F"/>
          <w:sz w:val="24"/>
          <w:szCs w:val="24"/>
        </w:rPr>
        <w:t xml:space="preserve">Vendor Decisions</w:t>
      </w:r>
    </w:p>
    <w:p>
      <w:pPr>
        <w:pStyle w:val="ListParagraph"/>
        <w:numPr>
          <w:ilvl w:val="0"/>
          <w:numId w:val="3"/>
        </w:numPr>
        <w:spacing w:after="30" w:before="30"/>
      </w:pPr>
      <w:r>
        <w:rPr>
          <w:rFonts w:ascii="Arial" w:cs="Arial" w:eastAsia="Arial" w:hAnsi="Arial"/>
          <w:color w:val="1F1F1F"/>
          <w:sz w:val="22"/>
          <w:szCs w:val="22"/>
        </w:rPr>
        <w:t xml:space="preserve">Engineering vendor: Vention (responded to the prior RFP), an alternative offshore/nearshore vendor, or a US-only build. The Master Spec has no preference; the Architecture spec calls out US-or-nearshore for PHI-adjacent work.</w:t>
      </w:r>
    </w:p>
    <w:p>
      <w:pPr>
        <w:pStyle w:val="ListParagraph"/>
        <w:numPr>
          <w:ilvl w:val="0"/>
          <w:numId w:val="3"/>
        </w:numPr>
        <w:spacing w:after="30" w:before="30"/>
      </w:pPr>
      <w:r>
        <w:rPr>
          <w:rFonts w:ascii="Arial" w:cs="Arial" w:eastAsia="Arial" w:hAnsi="Arial"/>
          <w:color w:val="1F1F1F"/>
          <w:sz w:val="22"/>
          <w:szCs w:val="22"/>
        </w:rPr>
        <w:t xml:space="preserve">Report generator: PDFMonkey versus Documint. Either works; pick one and stick with it.</w:t>
      </w:r>
    </w:p>
    <w:p>
      <w:pPr>
        <w:pStyle w:val="Heading3"/>
        <w:spacing w:after="80" w:before="200"/>
      </w:pPr>
      <w:r>
        <w:rPr>
          <w:rFonts w:ascii="Arial" w:cs="Arial" w:eastAsia="Arial" w:hAnsi="Arial"/>
          <w:b/>
          <w:bCs/>
          <w:color w:val="1F1F1F"/>
          <w:sz w:val="24"/>
          <w:szCs w:val="24"/>
        </w:rPr>
        <w:t xml:space="preserve">Process Decisions</w:t>
      </w:r>
    </w:p>
    <w:p>
      <w:pPr>
        <w:pStyle w:val="ListParagraph"/>
        <w:numPr>
          <w:ilvl w:val="0"/>
          <w:numId w:val="3"/>
        </w:numPr>
        <w:spacing w:after="30" w:before="30"/>
      </w:pPr>
      <w:r>
        <w:rPr>
          <w:rFonts w:ascii="Arial" w:cs="Arial" w:eastAsia="Arial" w:hAnsi="Arial"/>
          <w:color w:val="1F1F1F"/>
          <w:sz w:val="22"/>
          <w:szCs w:val="22"/>
        </w:rPr>
        <w:t xml:space="preserve">Build phasing: the Master Spec lays out 3 phases (Foundation 6 weeks, Multi-Tenant Production 10 weeks, Underwriting Integration 12 weeks). Pepper's call on whether to compress, extend, or run in parallel.</w:t>
      </w:r>
    </w:p>
    <w:p>
      <w:pPr>
        <w:pStyle w:val="ListParagraph"/>
        <w:numPr>
          <w:ilvl w:val="0"/>
          <w:numId w:val="3"/>
        </w:numPr>
        <w:spacing w:after="30" w:before="30"/>
      </w:pPr>
      <w:r>
        <w:rPr>
          <w:rFonts w:ascii="Arial" w:cs="Arial" w:eastAsia="Arial" w:hAnsi="Arial"/>
          <w:color w:val="1F1F1F"/>
          <w:sz w:val="22"/>
          <w:szCs w:val="22"/>
        </w:rPr>
        <w:t xml:space="preserve">Reference implementation handling: use as paid-bid spec for vendor (recommended), pure documentation reference, or prototype to validate with brokers before committing to production.</w:t>
      </w:r>
    </w:p>
    <w:p>
      <w:pPr>
        <w:pStyle w:val="Heading1"/>
        <w:spacing w:after="160" w:before="360"/>
      </w:pPr>
      <w:r>
        <w:rPr>
          <w:rFonts w:ascii="Arial" w:cs="Arial" w:eastAsia="Arial" w:hAnsi="Arial"/>
          <w:b/>
          <w:bCs/>
          <w:color w:val="1F1F1F"/>
          <w:sz w:val="36"/>
          <w:szCs w:val="36"/>
        </w:rPr>
        <w:t xml:space="preserve">Four Things That Are Non-Negotiable</w:t>
      </w:r>
    </w:p>
    <w:p>
      <w:pPr>
        <w:spacing w:after="80" w:before="80"/>
        <w:jc w:val="left"/>
      </w:pPr>
      <w:r>
        <w:rPr>
          <w:rFonts w:ascii="Arial" w:cs="Arial" w:eastAsia="Arial" w:hAnsi="Arial"/>
          <w:b w:val="false"/>
          <w:bCs w:val="false"/>
          <w:i w:val="false"/>
          <w:iCs w:val="false"/>
          <w:color w:val="1F1F1F"/>
          <w:sz w:val="22"/>
          <w:szCs w:val="22"/>
        </w:rPr>
        <w:t xml:space="preserve">Most of the spec is a starting point that the CTO and engineering team will refine. These four are not.</w:t>
      </w:r>
    </w:p>
    <w:p>
      <w:pPr>
        <w:pStyle w:val="Heading2"/>
        <w:spacing w:after="120" w:before="280"/>
      </w:pPr>
      <w:r>
        <w:rPr>
          <w:rFonts w:ascii="Arial" w:cs="Arial" w:eastAsia="Arial" w:hAnsi="Arial"/>
          <w:b/>
          <w:bCs/>
          <w:color w:val="1F1F1F"/>
          <w:sz w:val="28"/>
          <w:szCs w:val="28"/>
        </w:rPr>
        <w:t xml:space="preserve">1. The Calculation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bCs/>
                <w:i w:val="false"/>
                <w:iCs w:val="false"/>
                <w:color w:val="1F1F1F"/>
                <w:sz w:val="22"/>
                <w:szCs w:val="22"/>
              </w:rPr>
              <w:t xml:space="preserve">DPC elimination → cash-pay repricing → indemnity offset → stop-loss split (member-level aggregation) → residual calculation</w:t>
            </w:r>
          </w:p>
        </w:tc>
      </w:tr>
    </w:tbl>
    <w:p>
      <w:pPr>
        <w:spacing w:after="80" w:before="80"/>
        <w:jc w:val="left"/>
      </w:pPr>
      <w:r>
        <w:rPr>
          <w:rFonts w:ascii="Arial" w:cs="Arial" w:eastAsia="Arial" w:hAnsi="Arial"/>
          <w:b w:val="false"/>
          <w:bCs w:val="false"/>
          <w:i/>
          <w:iCs/>
          <w:color w:val="1F1F1F"/>
          <w:sz w:val="22"/>
          <w:szCs w:val="22"/>
        </w:rPr>
        <w:t xml:space="preserve">Reordering changes results. Skipping member-level aggregation in the stop-loss step systematically understates the catastrophic shift. This is in the Master Spec Part II, Section 6. It is the deterministic calculation engine. Do not let an engineer 'optimize' it.</w:t>
      </w:r>
    </w:p>
    <w:p>
      <w:pPr>
        <w:pStyle w:val="Heading2"/>
        <w:spacing w:after="120" w:before="280"/>
      </w:pPr>
      <w:r>
        <w:rPr>
          <w:rFonts w:ascii="Arial" w:cs="Arial" w:eastAsia="Arial" w:hAnsi="Arial"/>
          <w:b/>
          <w:bCs/>
          <w:color w:val="1F1F1F"/>
          <w:sz w:val="28"/>
          <w:szCs w:val="28"/>
        </w:rPr>
        <w:t xml:space="preserve">2. The Baseline Distinction</w:t>
      </w:r>
    </w:p>
    <w:p>
      <w:pPr>
        <w:spacing w:after="80" w:before="80"/>
        <w:jc w:val="left"/>
      </w:pPr>
      <w:r>
        <w:rPr>
          <w:rFonts w:ascii="Arial" w:cs="Arial" w:eastAsia="Arial" w:hAnsi="Arial"/>
          <w:b/>
          <w:bCs/>
          <w:i w:val="false"/>
          <w:iCs w:val="false"/>
          <w:color w:val="1F1F1F"/>
          <w:sz w:val="22"/>
          <w:szCs w:val="22"/>
        </w:rPr>
        <w:t xml:space="preserve">Historical claims drive the math. Current total healthcare spend drives the savings comparison. Conflating these makes OffPlan look more expensive than the status quo. The Master Spec Part III is the entire reason this distinction exists. Every screen, every report, every API output must respect it.</w:t>
      </w:r>
    </w:p>
    <w:p>
      <w:pPr>
        <w:pStyle w:val="Heading2"/>
        <w:spacing w:after="120" w:before="280"/>
      </w:pPr>
      <w:r>
        <w:rPr>
          <w:rFonts w:ascii="Arial" w:cs="Arial" w:eastAsia="Arial" w:hAnsi="Arial"/>
          <w:b/>
          <w:bCs/>
          <w:color w:val="1F1F1F"/>
          <w:sz w:val="28"/>
          <w:szCs w:val="28"/>
        </w:rPr>
        <w:t xml:space="preserve">3. The Two-Block Output Structure</w:t>
      </w:r>
    </w:p>
    <w:p>
      <w:pPr>
        <w:spacing w:after="80" w:before="80"/>
        <w:jc w:val="left"/>
      </w:pPr>
      <w:r>
        <w:rPr>
          <w:rFonts w:ascii="Arial" w:cs="Arial" w:eastAsia="Arial" w:hAnsi="Arial"/>
          <w:b/>
          <w:bCs/>
          <w:i w:val="false"/>
          <w:iCs w:val="false"/>
          <w:color w:val="1F1F1F"/>
          <w:sz w:val="22"/>
          <w:szCs w:val="22"/>
        </w:rPr>
        <w:t xml:space="preserve">Every employer dashboard and every report PDF produces two output blocks. Substitution is not permitted.</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Executive Summary block (story for CFO and broker):</w:t>
      </w:r>
    </w:p>
    <w:p>
      <w:pPr>
        <w:pStyle w:val="ListParagraph"/>
        <w:numPr>
          <w:ilvl w:val="0"/>
          <w:numId w:val="2"/>
        </w:numPr>
        <w:spacing w:after="30" w:before="30"/>
      </w:pPr>
      <w:r>
        <w:rPr>
          <w:rFonts w:ascii="Arial" w:cs="Arial" w:eastAsia="Arial" w:hAnsi="Arial"/>
          <w:color w:val="1F1F1F"/>
          <w:sz w:val="22"/>
          <w:szCs w:val="22"/>
        </w:rPr>
        <w:t xml:space="preserve">Equivalent Level-Funded Total Cost</w:t>
      </w:r>
    </w:p>
    <w:p>
      <w:pPr>
        <w:pStyle w:val="ListParagraph"/>
        <w:numPr>
          <w:ilvl w:val="0"/>
          <w:numId w:val="2"/>
        </w:numPr>
        <w:spacing w:after="30" w:before="30"/>
      </w:pPr>
      <w:r>
        <w:rPr>
          <w:rFonts w:ascii="Arial" w:cs="Arial" w:eastAsia="Arial" w:hAnsi="Arial"/>
          <w:color w:val="1F1F1F"/>
          <w:sz w:val="22"/>
          <w:szCs w:val="22"/>
        </w:rPr>
        <w:t xml:space="preserve">Expected Residual Spend (PEPM)</w:t>
      </w:r>
    </w:p>
    <w:p>
      <w:pPr>
        <w:pStyle w:val="ListParagraph"/>
        <w:numPr>
          <w:ilvl w:val="0"/>
          <w:numId w:val="2"/>
        </w:numPr>
        <w:spacing w:after="30" w:before="30"/>
      </w:pPr>
      <w:r>
        <w:rPr>
          <w:rFonts w:ascii="Arial" w:cs="Arial" w:eastAsia="Arial" w:hAnsi="Arial"/>
          <w:color w:val="1F1F1F"/>
          <w:sz w:val="22"/>
          <w:szCs w:val="22"/>
        </w:rPr>
        <w:t xml:space="preserve">Minimum Required Liquidity</w:t>
      </w:r>
    </w:p>
    <w:p>
      <w:pPr>
        <w:pStyle w:val="ListParagraph"/>
        <w:numPr>
          <w:ilvl w:val="0"/>
          <w:numId w:val="2"/>
        </w:numPr>
        <w:spacing w:after="30" w:before="30"/>
      </w:pPr>
      <w:r>
        <w:rPr>
          <w:rFonts w:ascii="Arial" w:cs="Arial" w:eastAsia="Arial" w:hAnsi="Arial"/>
          <w:color w:val="1F1F1F"/>
          <w:sz w:val="22"/>
          <w:szCs w:val="22"/>
        </w:rPr>
        <w:t xml:space="preserve">Capital Efficiency Ratio (CER)</w:t>
      </w:r>
    </w:p>
    <w:p>
      <w:pPr>
        <w:pStyle w:val="ListParagraph"/>
        <w:numPr>
          <w:ilvl w:val="0"/>
          <w:numId w:val="2"/>
        </w:numPr>
        <w:spacing w:after="30" w:before="30"/>
      </w:pPr>
      <w:r>
        <w:rPr>
          <w:rFonts w:ascii="Arial" w:cs="Arial" w:eastAsia="Arial" w:hAnsi="Arial"/>
          <w:color w:val="1F1F1F"/>
          <w:sz w:val="22"/>
          <w:szCs w:val="22"/>
        </w:rPr>
        <w:t xml:space="preserve">Liquidity Reduction</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Liquidity Profile block (justification for MGU and actuary):</w:t>
      </w:r>
    </w:p>
    <w:p>
      <w:pPr>
        <w:pStyle w:val="ListParagraph"/>
        <w:numPr>
          <w:ilvl w:val="0"/>
          <w:numId w:val="2"/>
        </w:numPr>
        <w:spacing w:after="30" w:before="30"/>
      </w:pPr>
      <w:r>
        <w:rPr>
          <w:rFonts w:ascii="Arial" w:cs="Arial" w:eastAsia="Arial" w:hAnsi="Arial"/>
          <w:color w:val="1F1F1F"/>
          <w:sz w:val="22"/>
          <w:szCs w:val="22"/>
        </w:rPr>
        <w:t xml:space="preserve">Mean Monthly Outflow</w:t>
      </w:r>
    </w:p>
    <w:p>
      <w:pPr>
        <w:pStyle w:val="ListParagraph"/>
        <w:numPr>
          <w:ilvl w:val="0"/>
          <w:numId w:val="2"/>
        </w:numPr>
        <w:spacing w:after="30" w:before="30"/>
      </w:pPr>
      <w:r>
        <w:rPr>
          <w:rFonts w:ascii="Arial" w:cs="Arial" w:eastAsia="Arial" w:hAnsi="Arial"/>
          <w:color w:val="1F1F1F"/>
          <w:sz w:val="22"/>
          <w:szCs w:val="22"/>
        </w:rPr>
        <w:t xml:space="preserve">P50 / P75 / P90 / P95 / P99 with 95% bootstrap CI</w:t>
      </w:r>
    </w:p>
    <w:p>
      <w:pPr>
        <w:pStyle w:val="ListParagraph"/>
        <w:numPr>
          <w:ilvl w:val="0"/>
          <w:numId w:val="2"/>
        </w:numPr>
        <w:spacing w:after="30" w:before="30"/>
      </w:pPr>
      <w:r>
        <w:rPr>
          <w:rFonts w:ascii="Arial" w:cs="Arial" w:eastAsia="Arial" w:hAnsi="Arial"/>
          <w:color w:val="1F1F1F"/>
          <w:sz w:val="22"/>
          <w:szCs w:val="22"/>
        </w:rPr>
        <w:t xml:space="preserve">Liquidity Coverage Ratio (LCR)</w:t>
      </w:r>
    </w:p>
    <w:p>
      <w:pPr>
        <w:pStyle w:val="ListParagraph"/>
        <w:numPr>
          <w:ilvl w:val="0"/>
          <w:numId w:val="2"/>
        </w:numPr>
        <w:spacing w:after="30" w:before="30"/>
      </w:pPr>
      <w:r>
        <w:rPr>
          <w:rFonts w:ascii="Arial" w:cs="Arial" w:eastAsia="Arial" w:hAnsi="Arial"/>
          <w:color w:val="1F1F1F"/>
          <w:sz w:val="22"/>
          <w:szCs w:val="22"/>
        </w:rPr>
        <w:t xml:space="preserve">Stress Coverage Ratio (SCR)</w:t>
      </w:r>
    </w:p>
    <w:p>
      <w:pPr>
        <w:pStyle w:val="ListParagraph"/>
        <w:numPr>
          <w:ilvl w:val="0"/>
          <w:numId w:val="2"/>
        </w:numPr>
        <w:spacing w:after="30" w:before="30"/>
      </w:pPr>
      <w:r>
        <w:rPr>
          <w:rFonts w:ascii="Arial" w:cs="Arial" w:eastAsia="Arial" w:hAnsi="Arial"/>
          <w:color w:val="1F1F1F"/>
          <w:sz w:val="22"/>
          <w:szCs w:val="22"/>
        </w:rPr>
        <w:t xml:space="preserve">Rolling window assumption</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CER sells the model. LCR makes it credible. SCR earns the MGU's trust. The Master Spec Part II.5 and the Liquidity Spec v1.1 define the exact formulas. Do not let a designer collapse this to a single number.</w:t>
      </w:r>
    </w:p>
    <w:p>
      <w:pPr>
        <w:pStyle w:val="Heading2"/>
        <w:spacing w:after="120" w:before="280"/>
      </w:pPr>
      <w:r>
        <w:rPr>
          <w:rFonts w:ascii="Arial" w:cs="Arial" w:eastAsia="Arial" w:hAnsi="Arial"/>
          <w:b/>
          <w:bCs/>
          <w:color w:val="1F1F1F"/>
          <w:sz w:val="28"/>
          <w:szCs w:val="28"/>
        </w:rPr>
        <w:t xml:space="preserve">4. Provenance</w:t>
      </w:r>
    </w:p>
    <w:p>
      <w:pPr>
        <w:spacing w:after="80" w:before="80"/>
        <w:jc w:val="left"/>
      </w:pPr>
      <w:r>
        <w:rPr>
          <w:rFonts w:ascii="Arial" w:cs="Arial" w:eastAsia="Arial" w:hAnsi="Arial"/>
          <w:b w:val="false"/>
          <w:bCs w:val="false"/>
          <w:i w:val="false"/>
          <w:iCs w:val="false"/>
          <w:color w:val="1F1F1F"/>
          <w:sz w:val="22"/>
          <w:szCs w:val="22"/>
        </w:rPr>
        <w:t xml:space="preserve">Every record carries eight provenance fields from ingestion through every output: input_mode, data_source, confidence_level, assumption_source, pricing_version_id, rule_version_id, indemnity_version_id, benchmark_version_id. Plus manual_override and override_reason. This is in Data Dictionary v2.0 Section 3. It is what makes the engine defensible to MGUs, brokers, and counsel.</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If any of those four drift in implementation, the engine breaks as a commercial tool even if the math still runs.</w:t>
      </w:r>
    </w:p>
    <w:p>
      <w:pPr>
        <w:pStyle w:val="Heading1"/>
        <w:spacing w:after="160" w:before="360"/>
      </w:pPr>
      <w:r>
        <w:rPr>
          <w:rFonts w:ascii="Arial" w:cs="Arial" w:eastAsia="Arial" w:hAnsi="Arial"/>
          <w:b/>
          <w:bCs/>
          <w:color w:val="1F1F1F"/>
          <w:sz w:val="36"/>
          <w:szCs w:val="36"/>
        </w:rPr>
        <w:t xml:space="preserve">The Stakes</w:t>
      </w:r>
    </w:p>
    <w:p>
      <w:pPr>
        <w:spacing w:after="80" w:before="80"/>
        <w:jc w:val="left"/>
      </w:pPr>
      <w:r>
        <w:rPr>
          <w:rFonts w:ascii="Arial" w:cs="Arial" w:eastAsia="Arial" w:hAnsi="Arial"/>
          <w:b w:val="false"/>
          <w:bCs w:val="false"/>
          <w:i w:val="false"/>
          <w:iCs w:val="false"/>
          <w:color w:val="1F1F1F"/>
          <w:sz w:val="22"/>
          <w:szCs w:val="22"/>
        </w:rPr>
        <w:t xml:space="preserve">Two things are riding on this build:</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Commercial defensibility. Without the engine, OffPlan's pitch to a broker or an MGU is a story. With it, OffPlan can take a CFO's claims file and demonstrate, with their data, that the model works. The engine produces both halves: classification (what changes) and capital adequacy (how much cash). The capital number, expressed as Capital Efficiency Ratio against an Equivalent Level-Funded Total Cost, is the headline that makes the conversation defensible at board level.</w:t>
      </w:r>
    </w:p>
    <w:p>
      <w:pPr>
        <w:pStyle w:val="ListParagraph"/>
        <w:numPr>
          <w:ilvl w:val="0"/>
          <w:numId w:val="3"/>
        </w:numPr>
        <w:spacing w:after="30" w:before="30"/>
      </w:pPr>
      <w:r>
        <w:rPr>
          <w:rFonts w:ascii="Arial" w:cs="Arial" w:eastAsia="Arial" w:hAnsi="Arial"/>
          <w:color w:val="1F1F1F"/>
          <w:sz w:val="22"/>
          <w:szCs w:val="22"/>
        </w:rPr>
        <w:t xml:space="preserve">Underwriting credibility. Stop-loss MGUs will not bind catastrophic coverage on a vague pitch. They will bind on a clear distributional picture: P95 Net Drawdown, frequency-and-severity below attachment, reimbursement-lag exposure, replenishment-aware reserve sizing, sequential clustering modeled correctly, bootstrap CI on tail percentiles, aggregate stop-loss properly modeled. The Liquidity &amp; Capital Modeling Spec v1.2 specifies all of it. Get the math right and the MGU conversation moves from 'tell me more' to 'send me the term sheet'.</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Build it well, and OffPlan can have honest, data-driven conversations with brokers, employers, MGUs, and stop-loss carriers from day one. Build it sloppy, and every commercial conversation devolves into 'trust me on the math'.</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v3.3 / v1.2 status: build-ready. The spec has been through two failure-mode audits (v1.0 → v1.1 closed conceptual gaps; v1.1 → v1.2 closed implementation defects). All known terminology, formula, and ingestion ambiguities are resolved.</w:t>
      </w:r>
    </w:p>
    <w:p>
      <w:pPr>
        <w:pBdr>
          <w:bottom w:val="single" w:color="1F1F1F" w:sz="6" w:space="4"/>
        </w:pBdr>
        <w:spacing w:after="200" w:before="80"/>
      </w:pPr>
      <w:r>
        <w:t xml:space="preserve"/>
      </w:r>
    </w:p>
    <w:p>
      <w:pPr>
        <w:pStyle w:val="Heading1"/>
        <w:spacing w:after="160" w:before="360"/>
      </w:pPr>
      <w:r>
        <w:rPr>
          <w:rFonts w:ascii="Arial" w:cs="Arial" w:eastAsia="Arial" w:hAnsi="Arial"/>
          <w:b/>
          <w:bCs/>
          <w:color w:val="1F1F1F"/>
          <w:sz w:val="36"/>
          <w:szCs w:val="36"/>
        </w:rPr>
        <w:t xml:space="preserve">Working With Omar</w:t>
      </w:r>
    </w:p>
    <w:p>
      <w:pPr>
        <w:spacing w:after="80" w:before="80"/>
        <w:jc w:val="left"/>
      </w:pPr>
      <w:r>
        <w:rPr>
          <w:rFonts w:ascii="Arial" w:cs="Arial" w:eastAsia="Arial" w:hAnsi="Arial"/>
          <w:b w:val="false"/>
          <w:bCs w:val="false"/>
          <w:i w:val="false"/>
          <w:iCs w:val="false"/>
          <w:color w:val="1F1F1F"/>
          <w:sz w:val="22"/>
          <w:szCs w:val="22"/>
        </w:rPr>
        <w:t xml:space="preserve">Where the package is opinionated (mandatory calculation order, baseline distinction, provenance), Omar is opinionated. Push back if Pepper sees a problem; Omar will engage. Where the package leaves choices open (architecture, vendor, sequencing), Pepper has full authority to recommend.</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Omar's commitments to Pepper:</w:t>
      </w:r>
    </w:p>
    <w:p>
      <w:pPr>
        <w:pStyle w:val="ListParagraph"/>
        <w:numPr>
          <w:ilvl w:val="0"/>
          <w:numId w:val="2"/>
        </w:numPr>
        <w:spacing w:after="30" w:before="30"/>
      </w:pPr>
      <w:r>
        <w:rPr>
          <w:rFonts w:ascii="Arial" w:cs="Arial" w:eastAsia="Arial" w:hAnsi="Arial"/>
          <w:color w:val="1F1F1F"/>
          <w:sz w:val="22"/>
          <w:szCs w:val="22"/>
        </w:rPr>
        <w:t xml:space="preserve">Decisions in 48 hours on anything that blocks Pepper's scoping work.</w:t>
      </w:r>
    </w:p>
    <w:p>
      <w:pPr>
        <w:pStyle w:val="ListParagraph"/>
        <w:numPr>
          <w:ilvl w:val="0"/>
          <w:numId w:val="2"/>
        </w:numPr>
        <w:spacing w:after="30" w:before="30"/>
      </w:pPr>
      <w:r>
        <w:rPr>
          <w:rFonts w:ascii="Arial" w:cs="Arial" w:eastAsia="Arial" w:hAnsi="Arial"/>
          <w:color w:val="1F1F1F"/>
          <w:sz w:val="22"/>
          <w:szCs w:val="22"/>
        </w:rPr>
        <w:t xml:space="preserve">Direct access to the broker channel and the first three target employers, so Pepper can validate against real data within Phase 1.</w:t>
      </w:r>
    </w:p>
    <w:p>
      <w:pPr>
        <w:pStyle w:val="ListParagraph"/>
        <w:numPr>
          <w:ilvl w:val="0"/>
          <w:numId w:val="2"/>
        </w:numPr>
        <w:spacing w:after="30" w:before="30"/>
      </w:pPr>
      <w:r>
        <w:rPr>
          <w:rFonts w:ascii="Arial" w:cs="Arial" w:eastAsia="Arial" w:hAnsi="Arial"/>
          <w:color w:val="1F1F1F"/>
          <w:sz w:val="22"/>
          <w:szCs w:val="22"/>
        </w:rPr>
        <w:t xml:space="preserve">Real-time access to evolving stop-loss MGU conversations so Phase 2 design can be validated with a real underwriting partner.</w:t>
      </w:r>
    </w:p>
    <w:p>
      <w:pPr>
        <w:pStyle w:val="ListParagraph"/>
        <w:numPr>
          <w:ilvl w:val="0"/>
          <w:numId w:val="2"/>
        </w:numPr>
        <w:spacing w:after="30" w:before="30"/>
      </w:pPr>
      <w:r>
        <w:rPr>
          <w:rFonts w:ascii="Arial" w:cs="Arial" w:eastAsia="Arial" w:hAnsi="Arial"/>
          <w:color w:val="1F1F1F"/>
          <w:sz w:val="22"/>
          <w:szCs w:val="22"/>
        </w:rPr>
        <w:t xml:space="preserve">No surprises. If the spec changes, Pepper sees it before anyone else.</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Pepper's commitments to Omar:</w:t>
      </w:r>
    </w:p>
    <w:p>
      <w:pPr>
        <w:pStyle w:val="ListParagraph"/>
        <w:numPr>
          <w:ilvl w:val="0"/>
          <w:numId w:val="2"/>
        </w:numPr>
        <w:spacing w:after="30" w:before="30"/>
      </w:pPr>
      <w:r>
        <w:rPr>
          <w:rFonts w:ascii="Arial" w:cs="Arial" w:eastAsia="Arial" w:hAnsi="Arial"/>
          <w:color w:val="1F1F1F"/>
          <w:sz w:val="22"/>
          <w:szCs w:val="22"/>
        </w:rPr>
        <w:t xml:space="preserve">Honest assessment of timeline and risk in the first scoping pass.</w:t>
      </w:r>
    </w:p>
    <w:p>
      <w:pPr>
        <w:pStyle w:val="ListParagraph"/>
        <w:numPr>
          <w:ilvl w:val="0"/>
          <w:numId w:val="2"/>
        </w:numPr>
        <w:spacing w:after="30" w:before="30"/>
      </w:pPr>
      <w:r>
        <w:rPr>
          <w:rFonts w:ascii="Arial" w:cs="Arial" w:eastAsia="Arial" w:hAnsi="Arial"/>
          <w:color w:val="1F1F1F"/>
          <w:sz w:val="22"/>
          <w:szCs w:val="22"/>
        </w:rPr>
        <w:t xml:space="preserve">Architectural decisions documented as ADRs (Architectural Decision Records) so future engineers can trace the reasoning.</w:t>
      </w:r>
    </w:p>
    <w:p>
      <w:pPr>
        <w:pStyle w:val="ListParagraph"/>
        <w:numPr>
          <w:ilvl w:val="0"/>
          <w:numId w:val="2"/>
        </w:numPr>
        <w:spacing w:after="30" w:before="30"/>
      </w:pPr>
      <w:r>
        <w:rPr>
          <w:rFonts w:ascii="Arial" w:cs="Arial" w:eastAsia="Arial" w:hAnsi="Arial"/>
          <w:color w:val="1F1F1F"/>
          <w:sz w:val="22"/>
          <w:szCs w:val="22"/>
        </w:rPr>
        <w:t xml:space="preserve">Weekly progress against the phase gates in the Master Spec.</w:t>
      </w:r>
    </w:p>
    <w:p>
      <w:pPr>
        <w:pStyle w:val="ListParagraph"/>
        <w:numPr>
          <w:ilvl w:val="0"/>
          <w:numId w:val="2"/>
        </w:numPr>
        <w:spacing w:after="30" w:before="30"/>
      </w:pPr>
      <w:r>
        <w:rPr>
          <w:rFonts w:ascii="Arial" w:cs="Arial" w:eastAsia="Arial" w:hAnsi="Arial"/>
          <w:color w:val="1F1F1F"/>
          <w:sz w:val="22"/>
          <w:szCs w:val="22"/>
        </w:rPr>
        <w:t xml:space="preserve">Early flag of any spec ambiguity. If Pepper hits something unclear, Omar wants to know in days, not weeks.</w:t>
      </w:r>
    </w:p>
    <w:p>
      <w:pPr>
        <w:pStyle w:val="Heading1"/>
        <w:spacing w:after="160" w:before="360"/>
      </w:pPr>
      <w:r>
        <w:rPr>
          <w:rFonts w:ascii="Arial" w:cs="Arial" w:eastAsia="Arial" w:hAnsi="Arial"/>
          <w:b/>
          <w:bCs/>
          <w:color w:val="1F1F1F"/>
          <w:sz w:val="36"/>
          <w:szCs w:val="36"/>
        </w:rPr>
        <w:t xml:space="preserve">Next Steps</w:t>
      </w:r>
    </w:p>
    <w:p>
      <w:pPr>
        <w:pStyle w:val="ListParagraph"/>
        <w:numPr>
          <w:ilvl w:val="0"/>
          <w:numId w:val="3"/>
        </w:numPr>
        <w:spacing w:after="30" w:before="30"/>
      </w:pPr>
      <w:r>
        <w:rPr>
          <w:rFonts w:ascii="Arial" w:cs="Arial" w:eastAsia="Arial" w:hAnsi="Arial"/>
          <w:color w:val="1F1F1F"/>
          <w:sz w:val="22"/>
          <w:szCs w:val="22"/>
        </w:rPr>
        <w:t xml:space="preserve">Read this Cover Memo (10 min, you're doing that now).</w:t>
      </w:r>
    </w:p>
    <w:p>
      <w:pPr>
        <w:pStyle w:val="ListParagraph"/>
        <w:numPr>
          <w:ilvl w:val="0"/>
          <w:numId w:val="3"/>
        </w:numPr>
        <w:spacing w:after="30" w:before="30"/>
      </w:pPr>
      <w:r>
        <w:rPr>
          <w:rFonts w:ascii="Arial" w:cs="Arial" w:eastAsia="Arial" w:hAnsi="Arial"/>
          <w:color w:val="1F1F1F"/>
          <w:sz w:val="22"/>
          <w:szCs w:val="22"/>
        </w:rPr>
        <w:t xml:space="preserve">Read the Master Spec v3.3 (01) end to end. Approximately 60 minutes.</w:t>
      </w:r>
    </w:p>
    <w:p>
      <w:pPr>
        <w:pStyle w:val="ListParagraph"/>
        <w:numPr>
          <w:ilvl w:val="0"/>
          <w:numId w:val="3"/>
        </w:numPr>
        <w:spacing w:after="30" w:before="30"/>
      </w:pPr>
      <w:r>
        <w:rPr>
          <w:rFonts w:ascii="Arial" w:cs="Arial" w:eastAsia="Arial" w:hAnsi="Arial"/>
          <w:color w:val="1F1F1F"/>
          <w:sz w:val="22"/>
          <w:szCs w:val="22"/>
        </w:rPr>
        <w:t xml:space="preserve">Read the Liquidity &amp; Capital Modeling Spec v1.2 (06) end to end. Open with Part 0 (Terminology Lockdown) — the five outflow terms anchor everything else. Approximately 75 minutes.</w:t>
      </w:r>
    </w:p>
    <w:p>
      <w:pPr>
        <w:pStyle w:val="ListParagraph"/>
        <w:numPr>
          <w:ilvl w:val="0"/>
          <w:numId w:val="3"/>
        </w:numPr>
        <w:spacing w:after="30" w:before="30"/>
      </w:pPr>
      <w:r>
        <w:rPr>
          <w:rFonts w:ascii="Arial" w:cs="Arial" w:eastAsia="Arial" w:hAnsi="Arial"/>
          <w:color w:val="1F1F1F"/>
          <w:sz w:val="22"/>
          <w:szCs w:val="22"/>
        </w:rPr>
        <w:t xml:space="preserve">Run the Reference Implementation (05). Note: the reference covers the deterministic classification layer only; the stochastic layer extension follows after CTO sign-off on v3.3 / v1.2. Approximately 30 minutes.</w:t>
      </w:r>
    </w:p>
    <w:p>
      <w:pPr>
        <w:pStyle w:val="ListParagraph"/>
        <w:numPr>
          <w:ilvl w:val="0"/>
          <w:numId w:val="3"/>
        </w:numPr>
        <w:spacing w:after="30" w:before="30"/>
      </w:pPr>
      <w:r>
        <w:rPr>
          <w:rFonts w:ascii="Arial" w:cs="Arial" w:eastAsia="Arial" w:hAnsi="Arial"/>
          <w:color w:val="1F1F1F"/>
          <w:sz w:val="22"/>
          <w:szCs w:val="22"/>
        </w:rPr>
        <w:t xml:space="preserve">Skim the Data Dictionary v3.0 (02), the Architecture spec (03), and the CSV Templates v2.1 (04). Total approximately 90 minutes.</w:t>
      </w:r>
    </w:p>
    <w:p>
      <w:pPr>
        <w:pStyle w:val="ListParagraph"/>
        <w:numPr>
          <w:ilvl w:val="0"/>
          <w:numId w:val="3"/>
        </w:numPr>
        <w:spacing w:after="30" w:before="30"/>
      </w:pPr>
      <w:r>
        <w:rPr>
          <w:rFonts w:ascii="Arial" w:cs="Arial" w:eastAsia="Arial" w:hAnsi="Arial"/>
          <w:color w:val="1F1F1F"/>
          <w:sz w:val="22"/>
          <w:szCs w:val="22"/>
        </w:rPr>
        <w:t xml:space="preserve">Optional shortcut for re-readers: the Delta Document v3.3 / v1.2 (07) summarizes everything that changed from v3.2 / v1.1. About 30 minutes.</w:t>
      </w:r>
    </w:p>
    <w:p>
      <w:pPr>
        <w:pStyle w:val="ListParagraph"/>
        <w:numPr>
          <w:ilvl w:val="0"/>
          <w:numId w:val="3"/>
        </w:numPr>
        <w:spacing w:after="30" w:before="30"/>
      </w:pPr>
      <w:r>
        <w:rPr>
          <w:rFonts w:ascii="Arial" w:cs="Arial" w:eastAsia="Arial" w:hAnsi="Arial"/>
          <w:color w:val="1F1F1F"/>
          <w:sz w:val="22"/>
          <w:szCs w:val="22"/>
        </w:rPr>
        <w:t xml:space="preserve">Schedule a 90-minute working session with Omar to confirm vendor approach and Phase 1 sequencing.</w:t>
      </w:r>
    </w:p>
    <w:p>
      <w:pPr>
        <w:pStyle w:val="ListParagraph"/>
        <w:numPr>
          <w:ilvl w:val="0"/>
          <w:numId w:val="3"/>
        </w:numPr>
        <w:spacing w:after="30" w:before="30"/>
      </w:pPr>
      <w:r>
        <w:rPr>
          <w:rFonts w:ascii="Arial" w:cs="Arial" w:eastAsia="Arial" w:hAnsi="Arial"/>
          <w:color w:val="1F1F1F"/>
          <w:sz w:val="22"/>
          <w:szCs w:val="22"/>
        </w:rPr>
        <w:t xml:space="preserve">Produce a scoping memo: Pepper's recommended Phase 1 scope, team composition, vendor approach, and 8-week milestone plan.</w:t>
      </w:r>
    </w:p>
    <w:p>
      <w:pPr>
        <w:pStyle w:val="ListParagraph"/>
        <w:numPr>
          <w:ilvl w:val="0"/>
          <w:numId w:val="3"/>
        </w:numPr>
        <w:spacing w:after="30" w:before="30"/>
      </w:pPr>
      <w:r>
        <w:rPr>
          <w:rFonts w:ascii="Arial" w:cs="Arial" w:eastAsia="Arial" w:hAnsi="Arial"/>
          <w:color w:val="1F1F1F"/>
          <w:sz w:val="22"/>
          <w:szCs w:val="22"/>
        </w:rPr>
        <w:t xml:space="preserve">Begin Phase 1 build.</w:t>
      </w:r>
    </w:p>
    <w:p>
      <w:pPr>
        <w:pBdr>
          <w:bottom w:val="single" w:color="1F1F1F" w:sz="6" w:space="4"/>
        </w:pBdr>
        <w:spacing w:after="200" w:before="80"/>
      </w:pPr>
      <w:r>
        <w:t xml:space="preserve"/>
      </w:r>
    </w:p>
    <w:p>
      <w:pPr>
        <w:spacing w:after="80" w:before="80"/>
        <w:jc w:val="left"/>
      </w:pPr>
      <w:r>
        <w:rPr>
          <w:rFonts w:ascii="Arial" w:cs="Arial" w:eastAsia="Arial" w:hAnsi="Arial"/>
          <w:b w:val="false"/>
          <w:bCs w:val="false"/>
          <w:i/>
          <w:iCs/>
          <w:color w:val="1F1F1F"/>
          <w:sz w:val="22"/>
          <w:szCs w:val="22"/>
        </w:rPr>
        <w:t xml:space="preserve">Welcome aboard. Build it the right way. The rest of OffPlan is depending on this engine working.</w:t>
      </w:r>
    </w:p>
    <w:p>
      <w:pPr>
        <w:spacing w:after="80" w:before="80"/>
      </w:pPr>
      <w:r>
        <w:t xml:space="preserve"/>
      </w:r>
    </w:p>
    <w:p>
      <w:pPr>
        <w:spacing w:after="80" w:before="80"/>
        <w:jc w:val="left"/>
      </w:pPr>
      <w:r>
        <w:rPr>
          <w:rFonts w:ascii="Arial" w:cs="Arial" w:eastAsia="Arial" w:hAnsi="Arial"/>
          <w:b w:val="false"/>
          <w:bCs w:val="false"/>
          <w:i w:val="false"/>
          <w:iCs w:val="false"/>
          <w:color w:val="555555"/>
          <w:sz w:val="22"/>
          <w:szCs w:val="22"/>
        </w:rPr>
        <w:t xml:space="preserve">Omar Fernandez · CEO · OffPlan Holdings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888888"/>
        <w:sz w:val="16"/>
        <w:szCs w:val="16"/>
      </w:rPr>
      <w:t xml:space="preserve">Confidential · OffPlan Holdings · v1.2 · May 2026</w:t>
    </w:r>
    <w:r>
      <w:rPr>
        <w:rFonts w:ascii="Arial" w:cs="Arial" w:eastAsia="Arial" w:hAnsi="Arial"/>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F1F1F"/>
        <w:sz w:val="18"/>
        <w:szCs w:val="18"/>
      </w:rPr>
      <w:t xml:space="preserve">OFFPLAN</w:t>
    </w:r>
    <w:r>
      <w:rPr>
        <w:sz w:val="18"/>
        <w:szCs w:val="18"/>
      </w:rPr>
      <w:t xml:space="preserve">    </w:t>
    </w:r>
    <w:r>
      <w:rPr>
        <w:rFonts w:ascii="Arial" w:cs="Arial" w:eastAsia="Arial" w:hAnsi="Arial"/>
        <w:color w:val="888888"/>
        <w:sz w:val="18"/>
        <w:szCs w:val="18"/>
      </w:rPr>
      <w:t xml:space="preserve">CTO Build Package · Cover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1F1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Reclassification Engine · CTO Build Package · Cover Memo</dc:title>
  <dc:creator>OffPlan Holdings</dc:creator>
  <dc:description>OffPlan Claims Reclassification Engine · CTO Build Package · Cover Memo</dc:description>
  <cp:lastModifiedBy>Un-named</cp:lastModifiedBy>
  <cp:revision>1</cp:revision>
  <dcterms:created xsi:type="dcterms:W3CDTF">2026-05-02T17:04:24.519Z</dcterms:created>
  <dcterms:modified xsi:type="dcterms:W3CDTF">2026-05-02T17:04:24.520Z</dcterms:modified>
</cp:coreProperties>
</file>

<file path=docProps/custom.xml><?xml version="1.0" encoding="utf-8"?>
<Properties xmlns="http://schemas.openxmlformats.org/officeDocument/2006/custom-properties" xmlns:vt="http://schemas.openxmlformats.org/officeDocument/2006/docPropsVTypes"/>
</file>