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pPr>
      <w:r>
        <w:rPr>
          <w:rFonts w:ascii="Arial" w:cs="Arial" w:eastAsia="Arial" w:hAnsi="Arial"/>
          <w:color w:val="999999"/>
          <w:spacing w:val="20"/>
          <w:sz w:val="14"/>
          <w:szCs w:val="14"/>
        </w:rPr>
        <w:t xml:space="preserve">PART OF OFFPLAN CLAIMS RECLASSIFICATION ENGINE · BUILD PACKAGE v1.0</w:t>
      </w:r>
    </w:p>
    <w:p>
      <w:pPr>
        <w:spacing w:after="80" w:before="200"/>
      </w:pPr>
      <w:r>
        <w:rPr>
          <w:rFonts w:ascii="Arial" w:cs="Arial" w:eastAsia="Arial" w:hAnsi="Arial"/>
          <w:color w:val="888888"/>
          <w:sz w:val="18"/>
          <w:szCs w:val="18"/>
        </w:rPr>
        <w:t xml:space="preserve">MASTER SPECIFICATION · v3.3</w:t>
      </w:r>
    </w:p>
    <w:p>
      <w:pPr>
        <w:spacing w:after="80" w:before="0"/>
      </w:pPr>
      <w:r>
        <w:rPr>
          <w:rFonts w:ascii="Arial" w:cs="Arial" w:eastAsia="Arial" w:hAnsi="Arial"/>
          <w:b/>
          <w:bCs/>
          <w:color w:val="1F1F1F"/>
          <w:sz w:val="56"/>
          <w:szCs w:val="56"/>
        </w:rPr>
        <w:t xml:space="preserve">Claims Reclassification Engine</w:t>
      </w:r>
    </w:p>
    <w:p>
      <w:pPr>
        <w:spacing w:after="100" w:before="0"/>
      </w:pPr>
      <w:r>
        <w:rPr>
          <w:rFonts w:ascii="Arial" w:cs="Arial" w:eastAsia="Arial" w:hAnsi="Arial"/>
          <w:i/>
          <w:iCs/>
          <w:color w:val="555555"/>
          <w:sz w:val="22"/>
          <w:szCs w:val="22"/>
        </w:rPr>
        <w:t xml:space="preserve">Build-ready product specification. v3.3 closes implementation defects identified in the v3.2 / v1.1 audit: deprecates the deterministic funding formula, locks outflow terminology, fixes annual-spend framing, repairs side-by-side comparison example. Supersedes all prior versions.</w:t>
      </w:r>
    </w:p>
    <w:p>
      <w:pPr>
        <w:pBdr>
          <w:bottom w:val="single" w:color="1F1F1F" w:sz="6" w:space="4"/>
        </w:pBdr>
        <w:spacing w:after="200" w:before="80"/>
      </w:pPr>
      <w:r>
        <w:t xml:space="preserve"/>
      </w:r>
    </w:p>
    <w:p>
      <w:pPr>
        <w:pStyle w:val="Heading2"/>
        <w:spacing w:after="120" w:before="280"/>
      </w:pPr>
      <w:r>
        <w:rPr>
          <w:rFonts w:ascii="Arial" w:cs="Arial" w:eastAsia="Arial" w:hAnsi="Arial"/>
          <w:b/>
          <w:bCs/>
          <w:color w:val="1F1F1F"/>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Value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OffPlan Claims Reclassification Engine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Version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 Package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Document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Master Specification</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Version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3.3</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 · supersedes all prior versions including v3.0, v3.1, and v3.2</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Owner</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Omar Fernandez, CEO</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Audience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Pepper (CTO), engineering vendor, stop-loss MGUs, counsel</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Companion Documents</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Liquidity &amp; Capital Modeling Spec v1.2, Data Dictionary v3.0, Architecture &amp; Security Spec, CSV Templates Package v2.1, Reference Implementation</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Date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May 2026</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Classification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Confidential · Internal Use Only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v3.2 → v3.3 changes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Deprecated deterministic recommended_funding_pepm formula in favor of stochastic Minimum Required Liquidity; updated Total OffPlan Stack PEPM formula; locked outflow terminology pointer (deferred to Liquidity Spec Part 0); rewrote stop-loss exposure rule to use gross-cash-outflow-during-lag; included aggregate stop-loss in MVP scope; updated companion document references to v1.2 / v3.0.</w:t>
            </w:r>
          </w:p>
        </w:tc>
      </w:tr>
    </w:tbl>
    <w:p>
      <w:pPr>
        <w:pStyle w:val="Heading1"/>
        <w:spacing w:after="160" w:before="360"/>
      </w:pPr>
      <w:r>
        <w:rPr>
          <w:rFonts w:ascii="Arial" w:cs="Arial" w:eastAsia="Arial" w:hAnsi="Arial"/>
          <w:b/>
          <w:bCs/>
          <w:color w:val="1F1F1F"/>
          <w:sz w:val="36"/>
          <w:szCs w:val="36"/>
        </w:rPr>
        <w:t xml:space="preserve">Part I · Strategic Foundation</w:t>
      </w:r>
    </w:p>
    <w:p>
      <w:pPr>
        <w:pStyle w:val="Heading2"/>
        <w:spacing w:after="120" w:before="280"/>
      </w:pPr>
      <w:r>
        <w:rPr>
          <w:rFonts w:ascii="Arial" w:cs="Arial" w:eastAsia="Arial" w:hAnsi="Arial"/>
          <w:b/>
          <w:bCs/>
          <w:color w:val="1F1F1F"/>
          <w:sz w:val="28"/>
          <w:szCs w:val="28"/>
        </w:rPr>
        <w:t xml:space="preserve">1. The Problem We Are Solving</w:t>
      </w:r>
    </w:p>
    <w:p>
      <w:pPr>
        <w:spacing w:after="80" w:before="80"/>
        <w:jc w:val="left"/>
      </w:pPr>
      <w:r>
        <w:rPr>
          <w:rFonts w:ascii="Arial" w:cs="Arial" w:eastAsia="Arial" w:hAnsi="Arial"/>
          <w:b w:val="false"/>
          <w:bCs w:val="false"/>
          <w:i w:val="false"/>
          <w:iCs w:val="false"/>
          <w:color w:val="1F1F1F"/>
          <w:sz w:val="22"/>
          <w:szCs w:val="22"/>
        </w:rPr>
        <w:t xml:space="preserve">Healthcare cost modeling today is built on the assumption that all care flows through an insurance claims system. Employers operating under fully insured, level-funded, or self-funded structures must pre-fund large, volatile claims pools regardless of actual utilization or risk. All three models share a common flaw: they treat all healthcare spending as claims that must be funded in advance.</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This produces four structural inefficiencies:</w:t>
      </w:r>
    </w:p>
    <w:p>
      <w:pPr>
        <w:pStyle w:val="ListParagraph"/>
        <w:numPr>
          <w:ilvl w:val="0"/>
          <w:numId w:val="2"/>
        </w:numPr>
        <w:spacing w:after="30" w:before="30"/>
      </w:pPr>
      <w:r>
        <w:rPr>
          <w:rFonts w:ascii="Arial" w:cs="Arial" w:eastAsia="Arial" w:hAnsi="Arial"/>
          <w:color w:val="1F1F1F"/>
          <w:sz w:val="22"/>
          <w:szCs w:val="22"/>
        </w:rPr>
        <w:t xml:space="preserve">Overfunding of predictable care. Routine and low-acuity care, primary care, chronic condition management, and minor procedures are funded as if they were unpredictable risks.</w:t>
      </w:r>
    </w:p>
    <w:p>
      <w:pPr>
        <w:pStyle w:val="ListParagraph"/>
        <w:numPr>
          <w:ilvl w:val="0"/>
          <w:numId w:val="2"/>
        </w:numPr>
        <w:spacing w:after="30" w:before="30"/>
      </w:pPr>
      <w:r>
        <w:rPr>
          <w:rFonts w:ascii="Arial" w:cs="Arial" w:eastAsia="Arial" w:hAnsi="Arial"/>
          <w:color w:val="1F1F1F"/>
          <w:sz w:val="22"/>
          <w:szCs w:val="22"/>
        </w:rPr>
        <w:t xml:space="preserve">Lack of cost transparency. Provider pricing is opaque; reimbursement is detached from actual market rates.</w:t>
      </w:r>
    </w:p>
    <w:p>
      <w:pPr>
        <w:pStyle w:val="ListParagraph"/>
        <w:numPr>
          <w:ilvl w:val="0"/>
          <w:numId w:val="2"/>
        </w:numPr>
        <w:spacing w:after="30" w:before="30"/>
      </w:pPr>
      <w:r>
        <w:rPr>
          <w:rFonts w:ascii="Arial" w:cs="Arial" w:eastAsia="Arial" w:hAnsi="Arial"/>
          <w:color w:val="1F1F1F"/>
          <w:sz w:val="22"/>
          <w:szCs w:val="22"/>
        </w:rPr>
        <w:t xml:space="preserve">Volatility exposure. Employers reserve capital for claims that may never occur.</w:t>
      </w:r>
    </w:p>
    <w:p>
      <w:pPr>
        <w:pStyle w:val="ListParagraph"/>
        <w:numPr>
          <w:ilvl w:val="0"/>
          <w:numId w:val="2"/>
        </w:numPr>
        <w:spacing w:after="30" w:before="30"/>
      </w:pPr>
      <w:r>
        <w:rPr>
          <w:rFonts w:ascii="Arial" w:cs="Arial" w:eastAsia="Arial" w:hAnsi="Arial"/>
          <w:color w:val="1F1F1F"/>
          <w:sz w:val="22"/>
          <w:szCs w:val="22"/>
        </w:rPr>
        <w:t xml:space="preserve">Misuse of insurance. Insurance is applied to services that do not require risk pooling.</w:t>
      </w:r>
    </w:p>
    <w:p>
      <w:pPr>
        <w:pStyle w:val="Heading2"/>
        <w:spacing w:after="120" w:before="280"/>
      </w:pPr>
      <w:r>
        <w:rPr>
          <w:rFonts w:ascii="Arial" w:cs="Arial" w:eastAsia="Arial" w:hAnsi="Arial"/>
          <w:b/>
          <w:bCs/>
          <w:color w:val="1F1F1F"/>
          <w:sz w:val="28"/>
          <w:szCs w:val="28"/>
        </w:rPr>
        <w:t xml:space="preserve">2. The OffPlan 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Arial" w:cs="Arial" w:eastAsia="Arial" w:hAnsi="Arial"/>
                <w:b w:val="false"/>
                <w:bCs w:val="false"/>
                <w:i/>
                <w:iCs/>
                <w:color w:val="1F1F1F"/>
                <w:sz w:val="26"/>
                <w:szCs w:val="26"/>
              </w:rPr>
              <w:t xml:space="preserve">Most healthcare does not require insurance. If care is no longer processed as a claim, it no longer needs to be funded as a claim.</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Primary care, chronic disease management, routine diagnostics, and a significant portion of specialty services can be delivered outside the traditional claims system through membership-based care, transparent cash-pay networks, and structured indemnity benefits. Insurance is preserved for what it does well: protection against high-cost, low-frequency catastrophic events.</w:t>
      </w:r>
    </w:p>
    <w:p>
      <w:pPr>
        <w:pStyle w:val="Heading2"/>
        <w:spacing w:after="120" w:before="280"/>
      </w:pPr>
      <w:r>
        <w:rPr>
          <w:rFonts w:ascii="Arial" w:cs="Arial" w:eastAsia="Arial" w:hAnsi="Arial"/>
          <w:b/>
          <w:bCs/>
          <w:color w:val="1F1F1F"/>
          <w:sz w:val="28"/>
          <w:szCs w:val="28"/>
        </w:rPr>
        <w:t xml:space="preserve">3. The Engine's Strategic Purpose</w:t>
      </w:r>
    </w:p>
    <w:p>
      <w:pPr>
        <w:spacing w:after="80" w:before="80"/>
        <w:jc w:val="left"/>
      </w:pPr>
      <w:r>
        <w:rPr>
          <w:rFonts w:ascii="Arial" w:cs="Arial" w:eastAsia="Arial" w:hAnsi="Arial"/>
          <w:b w:val="false"/>
          <w:bCs w:val="false"/>
          <w:i w:val="false"/>
          <w:iCs w:val="false"/>
          <w:color w:val="1F1F1F"/>
          <w:sz w:val="22"/>
          <w:szCs w:val="22"/>
        </w:rPr>
        <w:t xml:space="preserve">The Claims Reclassification Engine answers two questions, not one:</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What should the spend look like under OffPlan? (Classification.) The engine takes historical claims and reconstructs them under the OffPlan architecture: what disappears, what gets cheaper, what gets offset, what shifts to insurance, what remains.</w:t>
      </w:r>
    </w:p>
    <w:p>
      <w:pPr>
        <w:pStyle w:val="ListParagraph"/>
        <w:numPr>
          <w:ilvl w:val="0"/>
          <w:numId w:val="3"/>
        </w:numPr>
        <w:spacing w:after="30" w:before="30"/>
      </w:pPr>
      <w:r>
        <w:rPr>
          <w:rFonts w:ascii="Arial" w:cs="Arial" w:eastAsia="Arial" w:hAnsi="Arial"/>
          <w:color w:val="1F1F1F"/>
          <w:sz w:val="22"/>
          <w:szCs w:val="22"/>
        </w:rPr>
        <w:t xml:space="preserve">How much cash must exist at any point in time? (Capital adequacy.) The engine simulates the population stochastically and produces the required liquidity buffer at chosen confidence levels (P50 through P99) on rolling 30-day windows, with the corresponding traditional self-funded comparison.</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The first question is a classification problem. The second question is a capital adequacy problem. Both are necessary. Solving only the first produces a number that looks like a claims forecast and breaks OffPlan's commercial pitch the moment a CFO asks 'how much cash do we actually need?' Solving both produces the answer OffPlan needs to defend at every level: broker, employer, MGU, stop-loss carrier, counsel.</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The classification output (the five buckets):</w:t>
      </w:r>
    </w:p>
    <w:p>
      <w:pPr>
        <w:pStyle w:val="ListParagraph"/>
        <w:numPr>
          <w:ilvl w:val="0"/>
          <w:numId w:val="2"/>
        </w:numPr>
        <w:spacing w:after="30" w:before="30"/>
      </w:pPr>
      <w:r>
        <w:rPr>
          <w:rFonts w:ascii="Arial" w:cs="Arial" w:eastAsia="Arial" w:hAnsi="Arial"/>
          <w:color w:val="1F1F1F"/>
          <w:sz w:val="22"/>
          <w:szCs w:val="22"/>
        </w:rPr>
        <w:t xml:space="preserve">What costs disappear entirely (DPC eliminated).</w:t>
      </w:r>
    </w:p>
    <w:p>
      <w:pPr>
        <w:pStyle w:val="ListParagraph"/>
        <w:numPr>
          <w:ilvl w:val="0"/>
          <w:numId w:val="2"/>
        </w:numPr>
        <w:spacing w:after="30" w:before="30"/>
      </w:pPr>
      <w:r>
        <w:rPr>
          <w:rFonts w:ascii="Arial" w:cs="Arial" w:eastAsia="Arial" w:hAnsi="Arial"/>
          <w:color w:val="1F1F1F"/>
          <w:sz w:val="22"/>
          <w:szCs w:val="22"/>
        </w:rPr>
        <w:t xml:space="preserve">What costs are materially reduced (cash-pay repriced).</w:t>
      </w:r>
    </w:p>
    <w:p>
      <w:pPr>
        <w:pStyle w:val="ListParagraph"/>
        <w:numPr>
          <w:ilvl w:val="0"/>
          <w:numId w:val="2"/>
        </w:numPr>
        <w:spacing w:after="30" w:before="30"/>
      </w:pPr>
      <w:r>
        <w:rPr>
          <w:rFonts w:ascii="Arial" w:cs="Arial" w:eastAsia="Arial" w:hAnsi="Arial"/>
          <w:color w:val="1F1F1F"/>
          <w:sz w:val="22"/>
          <w:szCs w:val="22"/>
        </w:rPr>
        <w:t xml:space="preserve">What costs are offset through structured benefits (indemnity).</w:t>
      </w:r>
    </w:p>
    <w:p>
      <w:pPr>
        <w:pStyle w:val="ListParagraph"/>
        <w:numPr>
          <w:ilvl w:val="0"/>
          <w:numId w:val="2"/>
        </w:numPr>
        <w:spacing w:after="30" w:before="30"/>
      </w:pPr>
      <w:r>
        <w:rPr>
          <w:rFonts w:ascii="Arial" w:cs="Arial" w:eastAsia="Arial" w:hAnsi="Arial"/>
          <w:color w:val="1F1F1F"/>
          <w:sz w:val="22"/>
          <w:szCs w:val="22"/>
        </w:rPr>
        <w:t xml:space="preserve">What costs shift to catastrophic protection (stop-loss).</w:t>
      </w:r>
    </w:p>
    <w:p>
      <w:pPr>
        <w:pStyle w:val="ListParagraph"/>
        <w:numPr>
          <w:ilvl w:val="0"/>
          <w:numId w:val="2"/>
        </w:numPr>
        <w:spacing w:after="30" w:before="30"/>
      </w:pPr>
      <w:r>
        <w:rPr>
          <w:rFonts w:ascii="Arial" w:cs="Arial" w:eastAsia="Arial" w:hAnsi="Arial"/>
          <w:color w:val="1F1F1F"/>
          <w:sz w:val="22"/>
          <w:szCs w:val="22"/>
        </w:rPr>
        <w:t xml:space="preserve">What costs actually remain and require funding (residual).</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The capital output (the two-block structure):</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Executive Summary block (the story for CFO and broker):</w:t>
      </w:r>
    </w:p>
    <w:p>
      <w:pPr>
        <w:pStyle w:val="ListParagraph"/>
        <w:numPr>
          <w:ilvl w:val="0"/>
          <w:numId w:val="2"/>
        </w:numPr>
        <w:spacing w:after="30" w:before="30"/>
      </w:pPr>
      <w:r>
        <w:rPr>
          <w:rFonts w:ascii="Arial" w:cs="Arial" w:eastAsia="Arial" w:hAnsi="Arial"/>
          <w:color w:val="1F1F1F"/>
          <w:sz w:val="22"/>
          <w:szCs w:val="22"/>
        </w:rPr>
        <w:t xml:space="preserve">Equivalent Level-Funded Total Cost (the cash a level-funded employer must hold today, total-to-total).</w:t>
      </w:r>
    </w:p>
    <w:p>
      <w:pPr>
        <w:pStyle w:val="ListParagraph"/>
        <w:numPr>
          <w:ilvl w:val="0"/>
          <w:numId w:val="2"/>
        </w:numPr>
        <w:spacing w:after="30" w:before="30"/>
      </w:pPr>
      <w:r>
        <w:rPr>
          <w:rFonts w:ascii="Arial" w:cs="Arial" w:eastAsia="Arial" w:hAnsi="Arial"/>
          <w:color w:val="1F1F1F"/>
          <w:sz w:val="22"/>
          <w:szCs w:val="22"/>
        </w:rPr>
        <w:t xml:space="preserve">Expected Residual Spend (PEPM) (run-rate of non-OffPlan events).</w:t>
      </w:r>
    </w:p>
    <w:p>
      <w:pPr>
        <w:pStyle w:val="ListParagraph"/>
        <w:numPr>
          <w:ilvl w:val="0"/>
          <w:numId w:val="2"/>
        </w:numPr>
        <w:spacing w:after="30" w:before="30"/>
      </w:pPr>
      <w:r>
        <w:rPr>
          <w:rFonts w:ascii="Arial" w:cs="Arial" w:eastAsia="Arial" w:hAnsi="Arial"/>
          <w:color w:val="1F1F1F"/>
          <w:sz w:val="22"/>
          <w:szCs w:val="22"/>
        </w:rPr>
        <w:t xml:space="preserve">Minimum Required Liquidity (P95 of max rolling 30-day net drawdown).</w:t>
      </w:r>
    </w:p>
    <w:p>
      <w:pPr>
        <w:pStyle w:val="ListParagraph"/>
        <w:numPr>
          <w:ilvl w:val="0"/>
          <w:numId w:val="2"/>
        </w:numPr>
        <w:spacing w:after="30" w:before="30"/>
      </w:pPr>
      <w:r>
        <w:rPr>
          <w:rFonts w:ascii="Arial" w:cs="Arial" w:eastAsia="Arial" w:hAnsi="Arial"/>
          <w:color w:val="1F1F1F"/>
          <w:sz w:val="22"/>
          <w:szCs w:val="22"/>
        </w:rPr>
        <w:t xml:space="preserve">Capital Efficiency Ratio (CER) (Equivalent Level-Funded / Min Required Liquidity).</w:t>
      </w:r>
    </w:p>
    <w:p>
      <w:pPr>
        <w:pStyle w:val="ListParagraph"/>
        <w:numPr>
          <w:ilvl w:val="0"/>
          <w:numId w:val="2"/>
        </w:numPr>
        <w:spacing w:after="30" w:before="30"/>
      </w:pPr>
      <w:r>
        <w:rPr>
          <w:rFonts w:ascii="Arial" w:cs="Arial" w:eastAsia="Arial" w:hAnsi="Arial"/>
          <w:color w:val="1F1F1F"/>
          <w:sz w:val="22"/>
          <w:szCs w:val="22"/>
        </w:rPr>
        <w:t xml:space="preserve">Liquidity Reduction (the headline percentage).</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Liquidity Profile block (the justification for MGU and actuary):</w:t>
      </w:r>
    </w:p>
    <w:p>
      <w:pPr>
        <w:pStyle w:val="ListParagraph"/>
        <w:numPr>
          <w:ilvl w:val="0"/>
          <w:numId w:val="2"/>
        </w:numPr>
        <w:spacing w:after="30" w:before="30"/>
      </w:pPr>
      <w:r>
        <w:rPr>
          <w:rFonts w:ascii="Arial" w:cs="Arial" w:eastAsia="Arial" w:hAnsi="Arial"/>
          <w:color w:val="1F1F1F"/>
          <w:sz w:val="22"/>
          <w:szCs w:val="22"/>
        </w:rPr>
        <w:t xml:space="preserve">Mean Monthly Outflow.</w:t>
      </w:r>
    </w:p>
    <w:p>
      <w:pPr>
        <w:pStyle w:val="ListParagraph"/>
        <w:numPr>
          <w:ilvl w:val="0"/>
          <w:numId w:val="2"/>
        </w:numPr>
        <w:spacing w:after="30" w:before="30"/>
      </w:pPr>
      <w:r>
        <w:rPr>
          <w:rFonts w:ascii="Arial" w:cs="Arial" w:eastAsia="Arial" w:hAnsi="Arial"/>
          <w:color w:val="1F1F1F"/>
          <w:sz w:val="22"/>
          <w:szCs w:val="22"/>
        </w:rPr>
        <w:t xml:space="preserve">P50, P75, P90, P95, P99 monthly outflow with bootstrap 95% CI.</w:t>
      </w:r>
    </w:p>
    <w:p>
      <w:pPr>
        <w:pStyle w:val="ListParagraph"/>
        <w:numPr>
          <w:ilvl w:val="0"/>
          <w:numId w:val="2"/>
        </w:numPr>
        <w:spacing w:after="30" w:before="30"/>
      </w:pPr>
      <w:r>
        <w:rPr>
          <w:rFonts w:ascii="Arial" w:cs="Arial" w:eastAsia="Arial" w:hAnsi="Arial"/>
          <w:color w:val="1F1F1F"/>
          <w:sz w:val="22"/>
          <w:szCs w:val="22"/>
        </w:rPr>
        <w:t xml:space="preserve">Liquidity Coverage Ratio (LCR) (Min Required Liquidity / Mean Monthly Outflow).</w:t>
      </w:r>
    </w:p>
    <w:p>
      <w:pPr>
        <w:pStyle w:val="ListParagraph"/>
        <w:numPr>
          <w:ilvl w:val="0"/>
          <w:numId w:val="2"/>
        </w:numPr>
        <w:spacing w:after="30" w:before="30"/>
      </w:pPr>
      <w:r>
        <w:rPr>
          <w:rFonts w:ascii="Arial" w:cs="Arial" w:eastAsia="Arial" w:hAnsi="Arial"/>
          <w:color w:val="1F1F1F"/>
          <w:sz w:val="22"/>
          <w:szCs w:val="22"/>
        </w:rPr>
        <w:t xml:space="preserve">Stress Coverage Ratio (SCR) (Min Required Liquidity / P75 Monthly Outflow).</w:t>
      </w:r>
    </w:p>
    <w:p>
      <w:pPr>
        <w:pStyle w:val="ListParagraph"/>
        <w:numPr>
          <w:ilvl w:val="0"/>
          <w:numId w:val="2"/>
        </w:numPr>
        <w:spacing w:after="30" w:before="30"/>
      </w:pPr>
      <w:r>
        <w:rPr>
          <w:rFonts w:ascii="Arial" w:cs="Arial" w:eastAsia="Arial" w:hAnsi="Arial"/>
          <w:color w:val="1F1F1F"/>
          <w:sz w:val="22"/>
          <w:szCs w:val="22"/>
        </w:rPr>
        <w:t xml:space="preserve">Rolling window assumption (default 30-day; supplementary calendar-month and 60-day available).</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Both outputs are produced together. Neither alone is sufficient. The engine is incomplete until it produces both blocks for any employer dataset.</w:t>
      </w:r>
    </w:p>
    <w:p>
      <w:pPr>
        <w:pStyle w:val="Heading2"/>
        <w:spacing w:after="120" w:before="280"/>
      </w:pPr>
      <w:r>
        <w:rPr>
          <w:rFonts w:ascii="Arial" w:cs="Arial" w:eastAsia="Arial" w:hAnsi="Arial"/>
          <w:b/>
          <w:bCs/>
          <w:color w:val="1F1F1F"/>
          <w:sz w:val="28"/>
          <w:szCs w:val="28"/>
        </w:rPr>
        <w:t xml:space="preserve">4. What This System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This System Is</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This System Is Not</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 claims classification engine (deterministic layer)</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An insurance product</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 capital requirement modeling system (stochastic layer)</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 TPA system or claims adjudication engine</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 sales and broker enablement tool</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 premium pricing engine</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An underwriting support engine for stop-loss conversations</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 traditional actuarial reserve model (though it borrows methodology)</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 configurable simulation environment (Monte Carlo at scale)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 live claims processor or eligibility manager</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The engine produces decision-grade modeled output that informs employer conversations, broker enablement, capital planning, and underwriting discussions. It does not produce regulated insurance pricing. It does not adjudicate live claims. It is not a replacement for an actuarial certification on a bound stop-loss policy.</w:t>
      </w:r>
    </w:p>
    <w:p>
      <w:pPr>
        <w:pStyle w:val="Heading1"/>
        <w:spacing w:after="160" w:before="360"/>
      </w:pPr>
      <w:r>
        <w:rPr>
          <w:rFonts w:ascii="Arial" w:cs="Arial" w:eastAsia="Arial" w:hAnsi="Arial"/>
          <w:b/>
          <w:bCs/>
          <w:color w:val="1F1F1F"/>
          <w:sz w:val="36"/>
          <w:szCs w:val="36"/>
        </w:rPr>
        <w:t xml:space="preserve">Part II · The Reclassification Model (Deterministic Layer)</w:t>
      </w:r>
    </w:p>
    <w:p>
      <w:pPr>
        <w:pStyle w:val="Heading2"/>
        <w:spacing w:after="120" w:before="280"/>
      </w:pPr>
      <w:r>
        <w:rPr>
          <w:rFonts w:ascii="Arial" w:cs="Arial" w:eastAsia="Arial" w:hAnsi="Arial"/>
          <w:b/>
          <w:bCs/>
          <w:color w:val="1F1F1F"/>
          <w:sz w:val="28"/>
          <w:szCs w:val="28"/>
        </w:rPr>
        <w:t xml:space="preserve">5. The Five-Bucket Architecture</w:t>
      </w:r>
    </w:p>
    <w:p>
      <w:pPr>
        <w:spacing w:after="80" w:before="80"/>
        <w:jc w:val="left"/>
      </w:pPr>
      <w:r>
        <w:rPr>
          <w:rFonts w:ascii="Arial" w:cs="Arial" w:eastAsia="Arial" w:hAnsi="Arial"/>
          <w:b w:val="false"/>
          <w:bCs w:val="false"/>
          <w:i w:val="false"/>
          <w:iCs w:val="false"/>
          <w:color w:val="1F1F1F"/>
          <w:sz w:val="22"/>
          <w:szCs w:val="22"/>
        </w:rPr>
        <w:t xml:space="preserve">Every claim in the historical dataset is assigned to one of five buckets. The bucket determines what happens to that dollar of historical spend under the OffPlan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2900"/>
        <w:gridCol w:w="3480"/>
      </w:tblGrid>
      <w:tr>
        <w:trPr>
          <w:tblHeader/>
        </w:trPr>
        <w:tc>
          <w:tcPr>
            <w:tcW w:type="dxa" w:w="7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Bucket</w:t>
            </w:r>
          </w:p>
        </w:tc>
        <w:tc>
          <w:tcPr>
            <w:tcW w:type="dxa" w:w="22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Name</w:t>
            </w:r>
          </w:p>
        </w:tc>
        <w:tc>
          <w:tcPr>
            <w:tcW w:type="dxa" w:w="29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Treatment</w:t>
            </w:r>
          </w:p>
        </w:tc>
        <w:tc>
          <w:tcPr>
            <w:tcW w:type="dxa" w:w="34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Driver</w:t>
            </w:r>
          </w:p>
        </w:tc>
      </w:tr>
      <w:tr>
        <w:tc>
          <w:tcPr>
            <w:tcW w:type="dxa" w:w="7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DPC Eliminated</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Set residual to $0</w:t>
            </w:r>
          </w:p>
        </w:tc>
        <w:tc>
          <w:tcPr>
            <w:tcW w:type="dxa" w:w="3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Membership-based care absorbs primary care, chronic management, prevention</w:t>
            </w:r>
          </w:p>
        </w:tc>
      </w:tr>
      <w:tr>
        <w:tc>
          <w:tcPr>
            <w:tcW w:type="dxa" w:w="7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B</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Cash-Pay Repriced</w:t>
            </w:r>
          </w:p>
        </w:tc>
        <w:tc>
          <w:tcPr>
            <w:tcW w:type="dxa" w:w="29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Replace allowed amount with cash-network rate</w:t>
            </w:r>
          </w:p>
        </w:tc>
        <w:tc>
          <w:tcPr>
            <w:tcW w:type="dxa" w:w="3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Transparent specialty, imaging, lab, and ASC procedure pricing</w:t>
            </w:r>
          </w:p>
        </w:tc>
      </w:tr>
      <w:tr>
        <w:tc>
          <w:tcPr>
            <w:tcW w:type="dxa" w:w="7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Indemnity Offset</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Apply fixed cash benefit, then reduce residual</w:t>
            </w:r>
          </w:p>
        </w:tc>
        <w:tc>
          <w:tcPr>
            <w:tcW w:type="dxa" w:w="3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Structured benefit schedule for ER, hospital admit, hospital day, etc.</w:t>
            </w:r>
          </w:p>
        </w:tc>
      </w:tr>
      <w:tr>
        <w:tc>
          <w:tcPr>
            <w:tcW w:type="dxa" w:w="7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D</w:t>
            </w:r>
          </w:p>
        </w:tc>
        <w:tc>
          <w:tcPr>
            <w:tcW w:type="dxa" w:w="22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Residual Fund</w:t>
            </w:r>
          </w:p>
        </w:tc>
        <w:tc>
          <w:tcPr>
            <w:tcW w:type="dxa" w:w="29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Remains as employer-funded residual</w:t>
            </w:r>
          </w:p>
        </w:tc>
        <w:tc>
          <w:tcPr>
            <w:tcW w:type="dxa" w:w="3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What genuinely requires claims-style funding under OffPlan</w:t>
            </w:r>
          </w:p>
        </w:tc>
      </w:tr>
      <w:tr>
        <w:tc>
          <w:tcPr>
            <w:tcW w:type="dxa" w:w="7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Catastrophic</w:t>
            </w:r>
          </w:p>
        </w:tc>
        <w:tc>
          <w:tcPr>
            <w:tcW w:type="dxa" w:w="29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Shift amount above attachment point to stop-loss carrier</w:t>
            </w:r>
          </w:p>
        </w:tc>
        <w:tc>
          <w:tcPr>
            <w:tcW w:type="dxa" w:w="3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Per-member specific stop-loss above the attachment point</w:t>
            </w:r>
          </w:p>
        </w:tc>
      </w:tr>
    </w:tbl>
    <w:p>
      <w:pPr>
        <w:pStyle w:val="Heading2"/>
        <w:spacing w:after="120" w:before="280"/>
      </w:pPr>
      <w:r>
        <w:rPr>
          <w:rFonts w:ascii="Arial" w:cs="Arial" w:eastAsia="Arial" w:hAnsi="Arial"/>
          <w:b/>
          <w:bCs/>
          <w:color w:val="1F1F1F"/>
          <w:sz w:val="28"/>
          <w:szCs w:val="28"/>
        </w:rPr>
        <w:t xml:space="preserve">6. Mandatory Calculation Order</w:t>
      </w:r>
    </w:p>
    <w:p>
      <w:pPr>
        <w:spacing w:after="80" w:before="80"/>
        <w:jc w:val="left"/>
      </w:pPr>
      <w:r>
        <w:rPr>
          <w:rFonts w:ascii="Arial" w:cs="Arial" w:eastAsia="Arial" w:hAnsi="Arial"/>
          <w:b/>
          <w:bCs/>
          <w:i w:val="false"/>
          <w:iCs w:val="false"/>
          <w:color w:val="1F1F1F"/>
          <w:sz w:val="22"/>
          <w:szCs w:val="22"/>
        </w:rPr>
        <w:t xml:space="preserve">The engine must apply transformations in a fixed order. Reordering changes results and breaks reproducibility. This order is non-negotiable.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bCs/>
                <w:i w:val="false"/>
                <w:iCs w:val="false"/>
                <w:color w:val="1F1F1F"/>
                <w:sz w:val="22"/>
                <w:szCs w:val="22"/>
              </w:rPr>
              <w:t xml:space="preserve">1. DPC elimination  →  2. Cash-pay repricing  →  3. Indemnity offset  →  4. Stop-loss split (member-level aggregation)  →  5. Residual calculation</w:t>
            </w:r>
          </w:p>
        </w:tc>
      </w:tr>
    </w:tbl>
    <w:p>
      <w:pPr>
        <w:spacing w:after="80" w:before="80"/>
      </w:pPr>
      <w:r>
        <w:t xml:space="preserve"/>
      </w:r>
    </w:p>
    <w:p>
      <w:pPr>
        <w:spacing w:after="60" w:before="160"/>
      </w:pPr>
      <w:r>
        <w:rPr>
          <w:rFonts w:ascii="Arial" w:cs="Arial" w:eastAsia="Arial" w:hAnsi="Arial"/>
          <w:b/>
          <w:bCs/>
          <w:color w:val="1F1F1F"/>
          <w:sz w:val="22"/>
          <w:szCs w:val="22"/>
        </w:rPr>
        <w:t xml:space="preserve">6.1 DPC Elimination</w:t>
      </w:r>
    </w:p>
    <w:p>
      <w:pPr>
        <w:spacing w:after="80" w:before="80"/>
        <w:jc w:val="left"/>
      </w:pPr>
      <w:r>
        <w:rPr>
          <w:rFonts w:ascii="Arial" w:cs="Arial" w:eastAsia="Arial" w:hAnsi="Arial"/>
          <w:b w:val="false"/>
          <w:bCs w:val="false"/>
          <w:i w:val="false"/>
          <w:iCs w:val="false"/>
          <w:color w:val="1F1F1F"/>
          <w:sz w:val="22"/>
          <w:szCs w:val="22"/>
        </w:rPr>
        <w:t xml:space="preserve">For every claim assigned to Bucket A, the modeled cost is set to zero. The savings is the full allowed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22"/>
                <w:szCs w:val="22"/>
              </w:rPr>
              <w:t xml:space="preserve">dpc_savings  =  sum( allowed_amount  for claims in Bucket A )</w:t>
            </w:r>
          </w:p>
        </w:tc>
      </w:tr>
    </w:tbl>
    <w:p>
      <w:pPr>
        <w:spacing w:after="60" w:before="160"/>
      </w:pPr>
      <w:r>
        <w:rPr>
          <w:rFonts w:ascii="Arial" w:cs="Arial" w:eastAsia="Arial" w:hAnsi="Arial"/>
          <w:b/>
          <w:bCs/>
          <w:color w:val="1F1F1F"/>
          <w:sz w:val="22"/>
          <w:szCs w:val="22"/>
        </w:rPr>
        <w:t xml:space="preserve">6.2 Cash-Pay Repricing</w:t>
      </w:r>
    </w:p>
    <w:p>
      <w:pPr>
        <w:spacing w:after="80" w:before="80"/>
        <w:jc w:val="left"/>
      </w:pPr>
      <w:r>
        <w:rPr>
          <w:rFonts w:ascii="Arial" w:cs="Arial" w:eastAsia="Arial" w:hAnsi="Arial"/>
          <w:b w:val="false"/>
          <w:bCs w:val="false"/>
          <w:i w:val="false"/>
          <w:iCs w:val="false"/>
          <w:color w:val="1F1F1F"/>
          <w:sz w:val="22"/>
          <w:szCs w:val="22"/>
        </w:rPr>
        <w:t xml:space="preserve">For Bucket B claims, the engine looks up the CPT in the cash-pay price table. If a price exists, the modeled cost equals the cash price. If no price exists, the engine applies the scenario default discount factor to the allowed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22"/>
                <w:szCs w:val="22"/>
              </w:rPr>
              <w:t xml:space="preserve">modeled_cost  =  cash_price_lookup(cpt)  OR  allowed_amount × default_discount_factor</w:t>
            </w:r>
          </w:p>
          <w:p>
            <w:pPr>
              <w:spacing w:after="0" w:before="0" w:line="240"/>
            </w:pPr>
            <w:r>
              <w:rPr>
                <w:rFonts w:ascii="Consolas" w:cs="Consolas" w:eastAsia="Consolas" w:hAnsi="Consolas"/>
                <w:b w:val="false"/>
                <w:bCs w:val="false"/>
                <w:i w:val="false"/>
                <w:iCs w:val="false"/>
                <w:color w:val="1F1F1F"/>
                <w:sz w:val="22"/>
                <w:szCs w:val="22"/>
              </w:rPr>
              <w:t xml:space="preserve">repricing_savings  =  allowed_amount  −  modeled_cost</w:t>
            </w:r>
          </w:p>
        </w:tc>
      </w:tr>
    </w:tbl>
    <w:p>
      <w:pPr>
        <w:spacing w:after="60" w:before="160"/>
      </w:pPr>
      <w:r>
        <w:rPr>
          <w:rFonts w:ascii="Arial" w:cs="Arial" w:eastAsia="Arial" w:hAnsi="Arial"/>
          <w:b/>
          <w:bCs/>
          <w:color w:val="1F1F1F"/>
          <w:sz w:val="22"/>
          <w:szCs w:val="22"/>
        </w:rPr>
        <w:t xml:space="preserve">6.3 Indemnity Offset</w:t>
      </w:r>
    </w:p>
    <w:p>
      <w:pPr>
        <w:spacing w:after="80" w:before="80"/>
        <w:jc w:val="left"/>
      </w:pPr>
      <w:r>
        <w:rPr>
          <w:rFonts w:ascii="Arial" w:cs="Arial" w:eastAsia="Arial" w:hAnsi="Arial"/>
          <w:b w:val="false"/>
          <w:bCs w:val="false"/>
          <w:i w:val="false"/>
          <w:iCs w:val="false"/>
          <w:color w:val="1F1F1F"/>
          <w:sz w:val="22"/>
          <w:szCs w:val="22"/>
        </w:rPr>
        <w:t xml:space="preserve">For Bucket C claims, the engine applies the configured indemnity benefit (ER visit, hospital admission, hospital day, outpatient surgery, ambulance) and reduces the modeled cost. Residual cannot go below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22"/>
                <w:szCs w:val="22"/>
              </w:rPr>
              <w:t xml:space="preserve">net_after_indemnity  =  max( modeled_cost  −  indemnity_benefit ,  0 )</w:t>
            </w:r>
          </w:p>
        </w:tc>
      </w:tr>
    </w:tbl>
    <w:p>
      <w:pPr>
        <w:spacing w:after="60" w:before="160"/>
      </w:pPr>
      <w:r>
        <w:rPr>
          <w:rFonts w:ascii="Arial" w:cs="Arial" w:eastAsia="Arial" w:hAnsi="Arial"/>
          <w:b/>
          <w:bCs/>
          <w:color w:val="1F1F1F"/>
          <w:sz w:val="22"/>
          <w:szCs w:val="22"/>
        </w:rPr>
        <w:t xml:space="preserve">6.4 Stop-Loss Split (Member-Level)</w:t>
      </w:r>
    </w:p>
    <w:p>
      <w:pPr>
        <w:spacing w:after="80" w:before="80"/>
        <w:jc w:val="left"/>
      </w:pPr>
      <w:r>
        <w:rPr>
          <w:rFonts w:ascii="Arial" w:cs="Arial" w:eastAsia="Arial" w:hAnsi="Arial"/>
          <w:b/>
          <w:bCs/>
          <w:i w:val="false"/>
          <w:iCs w:val="false"/>
          <w:color w:val="1F1F1F"/>
          <w:sz w:val="22"/>
          <w:szCs w:val="22"/>
        </w:rPr>
        <w:t xml:space="preserve">Stop-loss must aggregate at the member level before splitting. Computing stop-loss line-by-line will systematically understate the shift to the catastrophic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8"/>
                <w:szCs w:val="18"/>
              </w:rPr>
              <w:t xml:space="preserve">FOR EACH member:</w:t>
            </w:r>
          </w:p>
          <w:p>
            <w:pPr>
              <w:spacing w:after="0" w:before="0" w:line="240"/>
            </w:pPr>
            <w:r>
              <w:rPr>
                <w:rFonts w:ascii="Consolas" w:cs="Consolas" w:eastAsia="Consolas" w:hAnsi="Consolas"/>
                <w:b w:val="false"/>
                <w:bCs w:val="false"/>
                <w:i w:val="false"/>
                <w:iCs w:val="false"/>
                <w:color w:val="1F1F1F"/>
                <w:sz w:val="18"/>
                <w:szCs w:val="18"/>
              </w:rPr>
              <w:t xml:space="preserve">  member_total  =  sum( modeled_cost  for that member )</w:t>
            </w:r>
          </w:p>
          <w:p>
            <w:pPr>
              <w:spacing w:after="0" w:before="0" w:line="240"/>
            </w:pPr>
            <w:r>
              <w:rPr>
                <w:rFonts w:ascii="Consolas" w:cs="Consolas" w:eastAsia="Consolas" w:hAnsi="Consolas"/>
                <w:b w:val="false"/>
                <w:bCs w:val="false"/>
                <w:i w:val="false"/>
                <w:iCs w:val="false"/>
                <w:color w:val="1F1F1F"/>
                <w:sz w:val="18"/>
                <w:szCs w:val="18"/>
              </w:rPr>
              <w:t xml:space="preserve">  IF member_total &gt; attachment_point:</w:t>
            </w:r>
          </w:p>
          <w:p>
            <w:pPr>
              <w:spacing w:after="0" w:before="0" w:line="240"/>
            </w:pPr>
            <w:r>
              <w:rPr>
                <w:rFonts w:ascii="Consolas" w:cs="Consolas" w:eastAsia="Consolas" w:hAnsi="Consolas"/>
                <w:b w:val="false"/>
                <w:bCs w:val="false"/>
                <w:i w:val="false"/>
                <w:iCs w:val="false"/>
                <w:color w:val="1F1F1F"/>
                <w:sz w:val="18"/>
                <w:szCs w:val="18"/>
              </w:rPr>
              <w:t xml:space="preserve">      stop_loss_amount   =  member_total  −  attachment_point</w:t>
            </w:r>
          </w:p>
          <w:p>
            <w:pPr>
              <w:spacing w:after="0" w:before="0" w:line="240"/>
            </w:pPr>
            <w:r>
              <w:rPr>
                <w:rFonts w:ascii="Consolas" w:cs="Consolas" w:eastAsia="Consolas" w:hAnsi="Consolas"/>
                <w:b w:val="false"/>
                <w:bCs w:val="false"/>
                <w:i w:val="false"/>
                <w:iCs w:val="false"/>
                <w:color w:val="1F1F1F"/>
                <w:sz w:val="18"/>
                <w:szCs w:val="18"/>
              </w:rPr>
              <w:t xml:space="preserve">      residual_amount    =  attachment_point</w:t>
            </w:r>
          </w:p>
          <w:p>
            <w:pPr>
              <w:spacing w:after="0" w:before="0" w:line="240"/>
            </w:pPr>
            <w:r>
              <w:rPr>
                <w:rFonts w:ascii="Consolas" w:cs="Consolas" w:eastAsia="Consolas" w:hAnsi="Consolas"/>
                <w:b w:val="false"/>
                <w:bCs w:val="false"/>
                <w:i w:val="false"/>
                <w:iCs w:val="false"/>
                <w:color w:val="1F1F1F"/>
                <w:sz w:val="18"/>
                <w:szCs w:val="18"/>
              </w:rPr>
              <w:t xml:space="preserve">  ELSE:</w:t>
            </w:r>
          </w:p>
          <w:p>
            <w:pPr>
              <w:spacing w:after="0" w:before="0" w:line="240"/>
            </w:pPr>
            <w:r>
              <w:rPr>
                <w:rFonts w:ascii="Consolas" w:cs="Consolas" w:eastAsia="Consolas" w:hAnsi="Consolas"/>
                <w:b w:val="false"/>
                <w:bCs w:val="false"/>
                <w:i w:val="false"/>
                <w:iCs w:val="false"/>
                <w:color w:val="1F1F1F"/>
                <w:sz w:val="18"/>
                <w:szCs w:val="18"/>
              </w:rPr>
              <w:t xml:space="preserve">      residual_amount    =  member_total</w:t>
            </w:r>
          </w:p>
        </w:tc>
      </w:tr>
    </w:tbl>
    <w:p>
      <w:pPr>
        <w:spacing w:after="60" w:before="160"/>
      </w:pPr>
      <w:r>
        <w:rPr>
          <w:rFonts w:ascii="Arial" w:cs="Arial" w:eastAsia="Arial" w:hAnsi="Arial"/>
          <w:b/>
          <w:bCs/>
          <w:color w:val="1F1F1F"/>
          <w:sz w:val="22"/>
          <w:szCs w:val="22"/>
        </w:rPr>
        <w:t xml:space="preserve">6.5 Residual Fund (Intermediate Output)</w:t>
      </w:r>
    </w:p>
    <w:p>
      <w:pPr>
        <w:spacing w:after="80" w:before="80"/>
        <w:jc w:val="left"/>
      </w:pPr>
      <w:r>
        <w:rPr>
          <w:rFonts w:ascii="Arial" w:cs="Arial" w:eastAsia="Arial" w:hAnsi="Arial"/>
          <w:b w:val="false"/>
          <w:bCs w:val="false"/>
          <w:i/>
          <w:iCs/>
          <w:color w:val="1F1F1F"/>
          <w:sz w:val="22"/>
          <w:szCs w:val="22"/>
        </w:rPr>
        <w:t xml:space="preserve">The residual fund is the sum of all per-member residual amounts after every prior transformation. This is an intermediate calculation feeding the stochastic layer; it is not the headline capital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22"/>
                <w:szCs w:val="22"/>
              </w:rPr>
              <w:t xml:space="preserve">residual_fund          =  sum( residual_amount )</w:t>
            </w:r>
          </w:p>
          <w:p>
            <w:pPr>
              <w:spacing w:after="0" w:before="0" w:line="240"/>
            </w:pPr>
            <w:r>
              <w:rPr>
                <w:rFonts w:ascii="Consolas" w:cs="Consolas" w:eastAsia="Consolas" w:hAnsi="Consolas"/>
                <w:b w:val="false"/>
                <w:bCs w:val="false"/>
                <w:i w:val="false"/>
                <w:iCs w:val="false"/>
                <w:color w:val="1F1F1F"/>
                <w:sz w:val="22"/>
                <w:szCs w:val="22"/>
              </w:rPr>
              <w:t xml:space="preserve">residual_pepm          =  residual_fund / covered_lives / 12</w:t>
            </w:r>
          </w:p>
        </w:tc>
      </w:tr>
    </w:tbl>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The residual fund is what feeds Module 6 (Stochastic Simulator) as the average expected outflow. The Liquidity Engine (Module 7) then computes the Minimum Required Liquidity from simulated distributions around this expected value. The headline output is Minimum Required Liquidity, not the residual fund.</w:t>
      </w:r>
    </w:p>
    <w:p>
      <w:pPr>
        <w:spacing w:after="60" w:before="160"/>
      </w:pPr>
      <w:r>
        <w:rPr>
          <w:rFonts w:ascii="Arial" w:cs="Arial" w:eastAsia="Arial" w:hAnsi="Arial"/>
          <w:b/>
          <w:bCs/>
          <w:color w:val="1F1F1F"/>
          <w:sz w:val="22"/>
          <w:szCs w:val="22"/>
        </w:rPr>
        <w:t xml:space="preserve">6.6 Total OffPlan Stack PEPM (v3.3 Update)</w:t>
      </w:r>
    </w:p>
    <w:p>
      <w:pPr>
        <w:spacing w:after="80" w:before="80"/>
        <w:jc w:val="left"/>
      </w:pPr>
      <w:r>
        <w:rPr>
          <w:rFonts w:ascii="Arial" w:cs="Arial" w:eastAsia="Arial" w:hAnsi="Arial"/>
          <w:b/>
          <w:bCs/>
          <w:i w:val="false"/>
          <w:iCs w:val="false"/>
          <w:color w:val="1F1F1F"/>
          <w:sz w:val="22"/>
          <w:szCs w:val="22"/>
        </w:rPr>
        <w:t xml:space="preserve">The deterministic funding construct that v3.0 and v3.1 used (recommended_funding_pepm = residual_pepm × scenario.risk_margin) is DEPRECATED in v3.3. All capital requirements are now derived from stochastic simulation outputs via Minimum Required Liquidity per the Liquidity &amp; Capital Modeling Specification v1.2.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4"/>
                <w:szCs w:val="14"/>
              </w:rPr>
              <w:t xml:space="preserve">DEPRECATED (v3.0/v3.1):</w:t>
            </w:r>
          </w:p>
          <w:p>
            <w:pPr>
              <w:spacing w:after="0" w:before="0" w:line="240"/>
            </w:pPr>
            <w:r>
              <w:rPr>
                <w:rFonts w:ascii="Consolas" w:cs="Consolas" w:eastAsia="Consolas" w:hAnsi="Consolas"/>
                <w:b w:val="false"/>
                <w:bCs w:val="false"/>
                <w:i w:val="false"/>
                <w:iCs w:val="false"/>
                <w:color w:val="1F1F1F"/>
                <w:sz w:val="14"/>
                <w:szCs w:val="14"/>
              </w:rPr>
              <w:t xml:space="preserve">    recommended_funding_pepm = residual_pepm × scenario.risk_margin</w:t>
            </w:r>
          </w:p>
          <w:p>
            <w:pPr>
              <w:spacing w:after="0" w:before="0" w:line="240"/>
            </w:pPr>
            <w:r>
              <w:rPr>
                <w:rFonts w:ascii="Consolas" w:cs="Consolas" w:eastAsia="Consolas" w:hAnsi="Consolas"/>
                <w:b w:val="false"/>
                <w:bCs w:val="false"/>
                <w:i w:val="false"/>
                <w:iCs w:val="false"/>
                <w:color w:val="1F1F1F"/>
                <w:sz w:val="14"/>
                <w:szCs w:val="14"/>
              </w:rPr>
              <w:t xml:space="preserve">    total_offplan_pepm = membership + recommended_funding_pepm</w:t>
            </w:r>
          </w:p>
          <w:p>
            <w:pPr>
              <w:spacing w:after="0" w:before="0" w:line="240"/>
            </w:pPr>
            <w:r>
              <w:rPr>
                <w:rFonts w:ascii="Consolas" w:cs="Consolas" w:eastAsia="Consolas" w:hAnsi="Consolas"/>
                <w:b w:val="false"/>
                <w:bCs w:val="false"/>
                <w:i w:val="false"/>
                <w:iCs w:val="false"/>
                <w:color w:val="1F1F1F"/>
                <w:sz w:val="14"/>
                <w:szCs w:val="14"/>
              </w:rPr>
              <w:t xml:space="preserve">                       + stop_loss_pepm + tpa_pepm</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ACTIVE (v3.3+):</w:t>
            </w:r>
          </w:p>
          <w:p>
            <w:pPr>
              <w:spacing w:after="0" w:before="0" w:line="240"/>
            </w:pPr>
            <w:r>
              <w:rPr>
                <w:rFonts w:ascii="Consolas" w:cs="Consolas" w:eastAsia="Consolas" w:hAnsi="Consolas"/>
                <w:b w:val="false"/>
                <w:bCs w:val="false"/>
                <w:i w:val="false"/>
                <w:iCs w:val="false"/>
                <w:color w:val="1F1F1F"/>
                <w:sz w:val="14"/>
                <w:szCs w:val="14"/>
              </w:rPr>
              <w:t xml:space="preserve">    No flat funding margin is applied.</w:t>
            </w:r>
          </w:p>
          <w:p>
            <w:pPr>
              <w:spacing w:after="0" w:before="0" w:line="240"/>
            </w:pPr>
            <w:r>
              <w:rPr>
                <w:rFonts w:ascii="Consolas" w:cs="Consolas" w:eastAsia="Consolas" w:hAnsi="Consolas"/>
                <w:b w:val="false"/>
                <w:bCs w:val="false"/>
                <w:i w:val="false"/>
                <w:iCs w:val="false"/>
                <w:color w:val="1F1F1F"/>
                <w:sz w:val="14"/>
                <w:szCs w:val="14"/>
              </w:rPr>
              <w:t xml:space="preserve">    Capital requirement is derived from stochastic simulation:</w:t>
            </w:r>
          </w:p>
          <w:p>
            <w:pPr>
              <w:spacing w:after="0" w:before="0" w:line="240"/>
            </w:pPr>
            <w:r>
              <w:rPr>
                <w:rFonts w:ascii="Consolas" w:cs="Consolas" w:eastAsia="Consolas" w:hAnsi="Consolas"/>
                <w:b w:val="false"/>
                <w:bCs w:val="false"/>
                <w:i w:val="false"/>
                <w:iCs w:val="false"/>
                <w:color w:val="1F1F1F"/>
                <w:sz w:val="14"/>
                <w:szCs w:val="14"/>
              </w:rPr>
              <w:t xml:space="preserve">        Minimum Required Liquidity = P95 of max rolling 30-day Net</w:t>
            </w:r>
          </w:p>
          <w:p>
            <w:pPr>
              <w:spacing w:after="0" w:before="0" w:line="240"/>
            </w:pPr>
            <w:r>
              <w:rPr>
                <w:rFonts w:ascii="Consolas" w:cs="Consolas" w:eastAsia="Consolas" w:hAnsi="Consolas"/>
                <w:b w:val="false"/>
                <w:bCs w:val="false"/>
                <w:i w:val="false"/>
                <w:iCs w:val="false"/>
                <w:color w:val="1F1F1F"/>
                <w:sz w:val="14"/>
                <w:szCs w:val="14"/>
              </w:rPr>
              <w:t xml:space="preserve">                                      Drawdown per simulation run</w:t>
            </w:r>
          </w:p>
          <w:p>
            <w:pPr>
              <w:spacing w:after="0" w:before="0" w:line="240"/>
            </w:pPr>
            <w:r>
              <w:rPr>
                <w:rFonts w:ascii="Consolas" w:cs="Consolas" w:eastAsia="Consolas" w:hAnsi="Consolas"/>
                <w:b w:val="false"/>
                <w:bCs w:val="false"/>
                <w:i w:val="false"/>
                <w:iCs w:val="false"/>
                <w:color w:val="1F1F1F"/>
                <w:sz w:val="14"/>
                <w:szCs w:val="14"/>
              </w:rPr>
              <w:t xml:space="preserve">                                      (per Liquidity Spec v1.2 §9.1)</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    Total OffPlan Stack PEPM (run-rate) =</w:t>
            </w:r>
          </w:p>
          <w:p>
            <w:pPr>
              <w:spacing w:after="0" w:before="0" w:line="240"/>
            </w:pPr>
            <w:r>
              <w:rPr>
                <w:rFonts w:ascii="Consolas" w:cs="Consolas" w:eastAsia="Consolas" w:hAnsi="Consolas"/>
                <w:b w:val="false"/>
                <w:bCs w:val="false"/>
                <w:i w:val="false"/>
                <w:iCs w:val="false"/>
                <w:color w:val="1F1F1F"/>
                <w:sz w:val="14"/>
                <w:szCs w:val="14"/>
              </w:rPr>
              <w:t xml:space="preserve">        offplan_membership_pepm  +  expected_residual_spend_pepm</w:t>
            </w:r>
          </w:p>
          <w:p>
            <w:pPr>
              <w:spacing w:after="0" w:before="0" w:line="240"/>
            </w:pPr>
            <w:r>
              <w:rPr>
                <w:rFonts w:ascii="Consolas" w:cs="Consolas" w:eastAsia="Consolas" w:hAnsi="Consolas"/>
                <w:b w:val="false"/>
                <w:bCs w:val="false"/>
                <w:i w:val="false"/>
                <w:iCs w:val="false"/>
                <w:color w:val="1F1F1F"/>
                <w:sz w:val="14"/>
                <w:szCs w:val="14"/>
              </w:rPr>
              <w:t xml:space="preserve">      + indemnity_premium_pepm   +  stop_loss_premium_pepm</w:t>
            </w:r>
          </w:p>
          <w:p>
            <w:pPr>
              <w:spacing w:after="0" w:before="0" w:line="240"/>
            </w:pPr>
            <w:r>
              <w:rPr>
                <w:rFonts w:ascii="Consolas" w:cs="Consolas" w:eastAsia="Consolas" w:hAnsi="Consolas"/>
                <w:b w:val="false"/>
                <w:bCs w:val="false"/>
                <w:i w:val="false"/>
                <w:iCs w:val="false"/>
                <w:color w:val="1F1F1F"/>
                <w:sz w:val="14"/>
                <w:szCs w:val="14"/>
              </w:rPr>
              <w:t xml:space="preserve">      + tpa_pepm                 +  network_pepm</w:t>
            </w:r>
          </w:p>
          <w:p>
            <w:pPr>
              <w:spacing w:after="0" w:before="0" w:line="240"/>
            </w:pPr>
            <w:r>
              <w:rPr>
                <w:rFonts w:ascii="Consolas" w:cs="Consolas" w:eastAsia="Consolas" w:hAnsi="Consolas"/>
                <w:b w:val="false"/>
                <w:bCs w:val="false"/>
                <w:i w:val="false"/>
                <w:iCs w:val="false"/>
                <w:color w:val="1F1F1F"/>
                <w:sz w:val="14"/>
                <w:szCs w:val="14"/>
              </w:rPr>
              <w:t xml:space="preserve"> </w:t>
            </w:r>
          </w:p>
          <w:p>
            <w:pPr>
              <w:spacing w:after="0" w:before="0" w:line="240"/>
            </w:pPr>
            <w:r>
              <w:rPr>
                <w:rFonts w:ascii="Consolas" w:cs="Consolas" w:eastAsia="Consolas" w:hAnsi="Consolas"/>
                <w:b w:val="false"/>
                <w:bCs w:val="false"/>
                <w:i w:val="false"/>
                <w:iCs w:val="false"/>
                <w:color w:val="1F1F1F"/>
                <w:sz w:val="14"/>
                <w:szCs w:val="14"/>
              </w:rPr>
              <w:t xml:space="preserve">    Capital Required (one-time at plan start, then run-rate replenishment) =</w:t>
            </w:r>
          </w:p>
          <w:p>
            <w:pPr>
              <w:spacing w:after="0" w:before="0" w:line="240"/>
            </w:pPr>
            <w:r>
              <w:rPr>
                <w:rFonts w:ascii="Consolas" w:cs="Consolas" w:eastAsia="Consolas" w:hAnsi="Consolas"/>
                <w:b w:val="false"/>
                <w:bCs w:val="false"/>
                <w:i w:val="false"/>
                <w:iCs w:val="false"/>
                <w:color w:val="1F1F1F"/>
                <w:sz w:val="14"/>
                <w:szCs w:val="14"/>
              </w:rPr>
              <w:t xml:space="preserve">        Minimum Required Liquidity (the cash buffer)</w:t>
            </w:r>
          </w:p>
          <w:p>
            <w:pPr>
              <w:spacing w:after="0" w:before="0" w:line="240"/>
            </w:pPr>
            <w:r>
              <w:rPr>
                <w:rFonts w:ascii="Consolas" w:cs="Consolas" w:eastAsia="Consolas" w:hAnsi="Consolas"/>
                <w:b w:val="false"/>
                <w:bCs w:val="false"/>
                <w:i w:val="false"/>
                <w:iCs w:val="false"/>
                <w:color w:val="1F1F1F"/>
                <w:sz w:val="14"/>
                <w:szCs w:val="14"/>
              </w:rPr>
              <w:t xml:space="preserve">      + monthly replenishment thereafter (per Liquidity Spec v1.2 §11)</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Default constants: offplan_membership_pepm = $195, tpa_pepm = $40. Both are admin-editable per Data Dictionary v3.0.</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This deprecation note is preserved deliberately to prevent regression. An engineer or vendor who reads only Section 6 should NOT silently re-introduce a deterministic risk margin. The capital number comes from stochastic simulation. Period.</w:t>
      </w:r>
    </w:p>
    <w:p>
      <w:pPr>
        <w:spacing w:after="60" w:before="160"/>
      </w:pPr>
      <w:r>
        <w:rPr>
          <w:rFonts w:ascii="Arial" w:cs="Arial" w:eastAsia="Arial" w:hAnsi="Arial"/>
          <w:b/>
          <w:bCs/>
          <w:color w:val="1F1F1F"/>
          <w:sz w:val="22"/>
          <w:szCs w:val="22"/>
        </w:rPr>
        <w:t xml:space="preserve">6.7 The Limit of the Deterministic Layer</w:t>
      </w:r>
    </w:p>
    <w:p>
      <w:pPr>
        <w:spacing w:after="80" w:before="80"/>
        <w:jc w:val="left"/>
      </w:pPr>
      <w:r>
        <w:rPr>
          <w:rFonts w:ascii="Arial" w:cs="Arial" w:eastAsia="Arial" w:hAnsi="Arial"/>
          <w:b/>
          <w:bCs/>
          <w:i w:val="false"/>
          <w:iCs w:val="false"/>
          <w:color w:val="1F1F1F"/>
          <w:sz w:val="22"/>
          <w:szCs w:val="22"/>
        </w:rPr>
        <w:t xml:space="preserve">The math in Section 6 produces averages: expected residual fund, expected PEPM, expected savings. Averages are necessary for run-rate framing but insufficient for capital adequacy. They cannot answer the CFO's question: how much cash do we need to hold to cover the worst month we are willing to plan for?</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That question requires distributions. The next section introduces the stochastic layer that the engine adds in v3.1. Read it as a complement to Section 6, not a replacement: the deterministic cascade still runs first and produces the means; the stochastic layer then simulates around those means to produce the distributional outputs.</w:t>
      </w:r>
    </w:p>
    <w:p>
      <w:pPr>
        <w:pStyle w:val="Heading1"/>
        <w:spacing w:after="160" w:before="360"/>
      </w:pPr>
      <w:r>
        <w:rPr>
          <w:rFonts w:ascii="Arial" w:cs="Arial" w:eastAsia="Arial" w:hAnsi="Arial"/>
          <w:b/>
          <w:bCs/>
          <w:color w:val="1F1F1F"/>
          <w:sz w:val="36"/>
          <w:szCs w:val="36"/>
        </w:rPr>
        <w:t xml:space="preserve">Part II.5 · The Liquidity Layer (Stochastic)</w:t>
      </w:r>
    </w:p>
    <w:p>
      <w:pPr>
        <w:spacing w:after="80" w:before="80"/>
        <w:jc w:val="left"/>
      </w:pPr>
      <w:r>
        <w:rPr>
          <w:rFonts w:ascii="Arial" w:cs="Arial" w:eastAsia="Arial" w:hAnsi="Arial"/>
          <w:b w:val="false"/>
          <w:bCs w:val="false"/>
          <w:i/>
          <w:iCs/>
          <w:color w:val="1F1F1F"/>
          <w:sz w:val="22"/>
          <w:szCs w:val="22"/>
        </w:rPr>
        <w:t xml:space="preserve">Detailed in the companion Liquidity &amp; Capital Modeling Specification v1.2. Summary:</w:t>
      </w:r>
    </w:p>
    <w:p>
      <w:pPr>
        <w:pStyle w:val="Heading2"/>
        <w:spacing w:after="120" w:before="280"/>
      </w:pPr>
      <w:r>
        <w:rPr>
          <w:rFonts w:ascii="Arial" w:cs="Arial" w:eastAsia="Arial" w:hAnsi="Arial"/>
          <w:b/>
          <w:bCs/>
          <w:color w:val="1F1F1F"/>
          <w:sz w:val="28"/>
          <w:szCs w:val="28"/>
        </w:rPr>
        <w:t xml:space="preserve">6.8 Why Stochastic Modeling Is Required</w:t>
      </w:r>
    </w:p>
    <w:p>
      <w:pPr>
        <w:spacing w:after="80" w:before="80"/>
        <w:jc w:val="left"/>
      </w:pPr>
      <w:r>
        <w:rPr>
          <w:rFonts w:ascii="Arial" w:cs="Arial" w:eastAsia="Arial" w:hAnsi="Arial"/>
          <w:b/>
          <w:bCs/>
          <w:i w:val="false"/>
          <w:iCs w:val="false"/>
          <w:color w:val="1F1F1F"/>
          <w:sz w:val="22"/>
          <w:szCs w:val="22"/>
        </w:rPr>
        <w:t xml:space="preserve">Healthcare costs are not normally distributed. Inpatient cost in particular has a heavy right tail that log-normal models systematically underweight. A model that outputs only means produces P99 estimates that are 30 to 50 percent too low. For a capital adequacy tool, that is a fatal error. The capital question must be answered with explicit distributions and confidence intervals, not point estimates.</w:t>
      </w:r>
    </w:p>
    <w:p>
      <w:pPr>
        <w:pStyle w:val="Heading2"/>
        <w:spacing w:after="120" w:before="280"/>
      </w:pPr>
      <w:r>
        <w:rPr>
          <w:rFonts w:ascii="Arial" w:cs="Arial" w:eastAsia="Arial" w:hAnsi="Arial"/>
          <w:b/>
          <w:bCs/>
          <w:color w:val="1F1F1F"/>
          <w:sz w:val="28"/>
          <w:szCs w:val="28"/>
        </w:rPr>
        <w:t xml:space="preserve">6.9 The Five Required Distributional Outputs</w:t>
      </w:r>
    </w:p>
    <w:p>
      <w:pPr>
        <w:spacing w:after="80" w:before="80"/>
        <w:jc w:val="left"/>
      </w:pPr>
      <w:r>
        <w:rPr>
          <w:rFonts w:ascii="Arial" w:cs="Arial" w:eastAsia="Arial" w:hAnsi="Arial"/>
          <w:b w:val="false"/>
          <w:bCs w:val="false"/>
          <w:i w:val="false"/>
          <w:iCs w:val="false"/>
          <w:color w:val="1F1F1F"/>
          <w:sz w:val="22"/>
          <w:szCs w:val="22"/>
        </w:rPr>
        <w:t xml:space="preserve">For every employer, the engine produces five percentile outputs on rolling 30-day net drawdown:</w:t>
      </w:r>
    </w:p>
    <w:p>
      <w:pPr>
        <w:pStyle w:val="ListParagraph"/>
        <w:numPr>
          <w:ilvl w:val="0"/>
          <w:numId w:val="2"/>
        </w:numPr>
        <w:spacing w:after="30" w:before="30"/>
      </w:pPr>
      <w:r>
        <w:rPr>
          <w:rFonts w:ascii="Arial" w:cs="Arial" w:eastAsia="Arial" w:hAnsi="Arial"/>
          <w:color w:val="1F1F1F"/>
          <w:sz w:val="22"/>
          <w:szCs w:val="22"/>
        </w:rPr>
        <w:t xml:space="preserve">P50 monthly outflow (median worst month).</w:t>
      </w:r>
    </w:p>
    <w:p>
      <w:pPr>
        <w:pStyle w:val="ListParagraph"/>
        <w:numPr>
          <w:ilvl w:val="0"/>
          <w:numId w:val="2"/>
        </w:numPr>
        <w:spacing w:after="30" w:before="30"/>
      </w:pPr>
      <w:r>
        <w:rPr>
          <w:rFonts w:ascii="Arial" w:cs="Arial" w:eastAsia="Arial" w:hAnsi="Arial"/>
          <w:color w:val="1F1F1F"/>
          <w:sz w:val="22"/>
          <w:szCs w:val="22"/>
        </w:rPr>
        <w:t xml:space="preserve">P75 monthly outflow (managed-risk planning level; SCR denominator).</w:t>
      </w:r>
    </w:p>
    <w:p>
      <w:pPr>
        <w:pStyle w:val="ListParagraph"/>
        <w:numPr>
          <w:ilvl w:val="0"/>
          <w:numId w:val="2"/>
        </w:numPr>
        <w:spacing w:after="30" w:before="30"/>
      </w:pPr>
      <w:r>
        <w:rPr>
          <w:rFonts w:ascii="Arial" w:cs="Arial" w:eastAsia="Arial" w:hAnsi="Arial"/>
          <w:color w:val="1F1F1F"/>
          <w:sz w:val="22"/>
          <w:szCs w:val="22"/>
        </w:rPr>
        <w:t xml:space="preserve">P90 monthly outflow (standard CFO planning level).</w:t>
      </w:r>
    </w:p>
    <w:p>
      <w:pPr>
        <w:pStyle w:val="ListParagraph"/>
        <w:numPr>
          <w:ilvl w:val="0"/>
          <w:numId w:val="2"/>
        </w:numPr>
        <w:spacing w:after="30" w:before="30"/>
      </w:pPr>
      <w:r>
        <w:rPr>
          <w:rFonts w:ascii="Arial" w:cs="Arial" w:eastAsia="Arial" w:hAnsi="Arial"/>
          <w:color w:val="1F1F1F"/>
          <w:sz w:val="22"/>
          <w:szCs w:val="22"/>
        </w:rPr>
        <w:t xml:space="preserve">P95 monthly outflow → Minimum Required Liquidity (recommended OffPlan baseline buffer).</w:t>
      </w:r>
    </w:p>
    <w:p>
      <w:pPr>
        <w:pStyle w:val="ListParagraph"/>
        <w:numPr>
          <w:ilvl w:val="0"/>
          <w:numId w:val="2"/>
        </w:numPr>
        <w:spacing w:after="30" w:before="30"/>
      </w:pPr>
      <w:r>
        <w:rPr>
          <w:rFonts w:ascii="Arial" w:cs="Arial" w:eastAsia="Arial" w:hAnsi="Arial"/>
          <w:color w:val="1F1F1F"/>
          <w:sz w:val="22"/>
          <w:szCs w:val="22"/>
        </w:rPr>
        <w:t xml:space="preserve">P99 monthly outflow (tail risk; stress-test scenario).</w:t>
      </w:r>
    </w:p>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For populations under 75 lives, every percentile carries a 95% bootstrap confidence interval that is displayed alongside the point estimate.</w:t>
      </w:r>
    </w:p>
    <w:p>
      <w:pPr>
        <w:pStyle w:val="Heading2"/>
        <w:spacing w:after="120" w:before="280"/>
      </w:pPr>
      <w:r>
        <w:rPr>
          <w:rFonts w:ascii="Arial" w:cs="Arial" w:eastAsia="Arial" w:hAnsi="Arial"/>
          <w:b/>
          <w:bCs/>
          <w:color w:val="1F1F1F"/>
          <w:sz w:val="28"/>
          <w:szCs w:val="28"/>
        </w:rPr>
        <w:t xml:space="preserve">6.10 Locked Output Metrics</w:t>
      </w:r>
    </w:p>
    <w:p>
      <w:pPr>
        <w:spacing w:after="80" w:before="80"/>
        <w:jc w:val="left"/>
      </w:pPr>
      <w:r>
        <w:rPr>
          <w:rFonts w:ascii="Arial" w:cs="Arial" w:eastAsia="Arial" w:hAnsi="Arial"/>
          <w:b/>
          <w:bCs/>
          <w:i w:val="false"/>
          <w:iCs w:val="false"/>
          <w:color w:val="1F1F1F"/>
          <w:sz w:val="22"/>
          <w:szCs w:val="22"/>
        </w:rPr>
        <w:t xml:space="preserve">Five metrics are locked in v3.2. Implementation produces these exact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6"/>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Consolas" w:cs="Consolas" w:eastAsia="Consolas" w:hAnsi="Consolas"/>
                <w:b w:val="false"/>
                <w:bCs w:val="false"/>
                <w:i w:val="false"/>
                <w:iCs w:val="false"/>
                <w:color w:val="1F1F1F"/>
                <w:sz w:val="16"/>
                <w:szCs w:val="16"/>
              </w:rPr>
              <w:t xml:space="preserve">Minimum Required Liquidity   = P95 of max rolling 30-day NET DRAWDOWN per run</w:t>
            </w:r>
          </w:p>
          <w:p>
            <w:pPr>
              <w:spacing w:after="0" w:before="0" w:line="240"/>
            </w:pPr>
            <w:r>
              <w:rPr>
                <w:rFonts w:ascii="Consolas" w:cs="Consolas" w:eastAsia="Consolas" w:hAnsi="Consolas"/>
                <w:b w:val="false"/>
                <w:bCs w:val="false"/>
                <w:i w:val="false"/>
                <w:iCs w:val="false"/>
                <w:color w:val="1F1F1F"/>
                <w:sz w:val="16"/>
                <w:szCs w:val="16"/>
              </w:rPr>
              <w:t xml:space="preserve">Mean Monthly Outflow         = mean of rolling 30-day net outflows across all runs</w:t>
            </w:r>
          </w:p>
          <w:p>
            <w:pPr>
              <w:spacing w:after="0" w:before="0" w:line="240"/>
            </w:pPr>
            <w:r>
              <w:rPr>
                <w:rFonts w:ascii="Consolas" w:cs="Consolas" w:eastAsia="Consolas" w:hAnsi="Consolas"/>
                <w:b w:val="false"/>
                <w:bCs w:val="false"/>
                <w:i w:val="false"/>
                <w:iCs w:val="false"/>
                <w:color w:val="1F1F1F"/>
                <w:sz w:val="16"/>
                <w:szCs w:val="16"/>
              </w:rPr>
              <w:t xml:space="preserve">Liquidity Coverage Ratio     = Min Required Liquidity / Mean Monthly Outflow</w:t>
            </w:r>
          </w:p>
          <w:p>
            <w:pPr>
              <w:spacing w:after="0" w:before="0" w:line="240"/>
            </w:pPr>
            <w:r>
              <w:rPr>
                <w:rFonts w:ascii="Consolas" w:cs="Consolas" w:eastAsia="Consolas" w:hAnsi="Consolas"/>
                <w:b w:val="false"/>
                <w:bCs w:val="false"/>
                <w:i w:val="false"/>
                <w:iCs w:val="false"/>
                <w:color w:val="1F1F1F"/>
                <w:sz w:val="16"/>
                <w:szCs w:val="16"/>
              </w:rPr>
              <w:t xml:space="preserve">Stress Coverage Ratio        = Min Required Liquidity / P75 Monthly Outflow</w:t>
            </w:r>
          </w:p>
          <w:p>
            <w:pPr>
              <w:spacing w:after="0" w:before="0" w:line="240"/>
            </w:pPr>
            <w:r>
              <w:rPr>
                <w:rFonts w:ascii="Consolas" w:cs="Consolas" w:eastAsia="Consolas" w:hAnsi="Consolas"/>
                <w:b w:val="false"/>
                <w:bCs w:val="false"/>
                <w:i w:val="false"/>
                <w:iCs w:val="false"/>
                <w:color w:val="1F1F1F"/>
                <w:sz w:val="16"/>
                <w:szCs w:val="16"/>
              </w:rPr>
              <w:t xml:space="preserve">Capital Efficiency Ratio     = Equivalent Level-Funded Total Cost / Min Required Liquidity</w:t>
            </w:r>
          </w:p>
          <w:p>
            <w:pPr>
              <w:spacing w:after="0" w:before="0" w:line="240"/>
            </w:pPr>
            <w:r>
              <w:rPr>
                <w:rFonts w:ascii="Consolas" w:cs="Consolas" w:eastAsia="Consolas" w:hAnsi="Consolas"/>
                <w:b w:val="false"/>
                <w:bCs w:val="false"/>
                <w:i w:val="false"/>
                <w:iCs w:val="false"/>
                <w:color w:val="1F1F1F"/>
                <w:sz w:val="16"/>
                <w:szCs w:val="16"/>
              </w:rPr>
              <w:t xml:space="preserve">Liquidity Reduction          = (Equivalent Level-Funded − Min Required Liquidity)</w:t>
            </w:r>
          </w:p>
          <w:p>
            <w:pPr>
              <w:spacing w:after="0" w:before="0" w:line="240"/>
            </w:pPr>
            <w:r>
              <w:rPr>
                <w:rFonts w:ascii="Consolas" w:cs="Consolas" w:eastAsia="Consolas" w:hAnsi="Consolas"/>
                <w:b w:val="false"/>
                <w:bCs w:val="false"/>
                <w:i w:val="false"/>
                <w:iCs w:val="false"/>
                <w:color w:val="1F1F1F"/>
                <w:sz w:val="16"/>
                <w:szCs w:val="16"/>
              </w:rPr>
              <w:t xml:space="preserve">                                / Equivalent Level-Funded</w:t>
            </w:r>
          </w:p>
        </w:tc>
      </w:tr>
    </w:tbl>
    <w:p>
      <w:pPr>
        <w:pStyle w:val="Heading2"/>
        <w:spacing w:after="120" w:before="280"/>
      </w:pPr>
      <w:r>
        <w:rPr>
          <w:rFonts w:ascii="Arial" w:cs="Arial" w:eastAsia="Arial" w:hAnsi="Arial"/>
          <w:b/>
          <w:bCs/>
          <w:color w:val="1F1F1F"/>
          <w:sz w:val="28"/>
          <w:szCs w:val="28"/>
        </w:rPr>
        <w:t xml:space="preserve">6.11 Module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Module</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Purpose</w:t>
            </w:r>
          </w:p>
        </w:tc>
        <w:tc>
          <w:tcPr>
            <w:tcW w:type="dxa" w:w="15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Status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6 — Stochastic Simulator</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Generate distributions; within-member sequential clustering; auto-scaled run counts.</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Module 7 — Liquidity Engine</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P50–P99 with bootstrap CI; LCR, SCR, CER computation; replenishment-aware drawdown.</w:t>
            </w:r>
          </w:p>
        </w:tc>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 + extended in v1.1</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8 — Indemnity Offset</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Per-event indemnity benefit application with cap enforcement.</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Refactored from v3.0</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Module 9 — Cash Flow Timeline</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Event-to-cash conversion with tier-specific timing and stop-loss reimbursement lag.</w:t>
            </w:r>
          </w:p>
        </w:tc>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Module 10 — Stop-Loss Layer</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Per-member attachment tracking; gross-outflow-during-lag exposure modeling.</w:t>
            </w:r>
          </w:p>
        </w:tc>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Refactored from v3.0</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Module 11 — Cash Strategy</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Replenishment-aware buffer sizing for reserve / LOC / blended strategies.</w:t>
            </w:r>
          </w:p>
        </w:tc>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New</w:t>
            </w:r>
          </w:p>
        </w:tc>
      </w:tr>
    </w:tbl>
    <w:p>
      <w:pPr>
        <w:pStyle w:val="Heading2"/>
        <w:spacing w:after="120" w:before="280"/>
      </w:pPr>
      <w:r>
        <w:rPr>
          <w:rFonts w:ascii="Arial" w:cs="Arial" w:eastAsia="Arial" w:hAnsi="Arial"/>
          <w:b/>
          <w:bCs/>
          <w:color w:val="1F1F1F"/>
          <w:sz w:val="28"/>
          <w:szCs w:val="28"/>
        </w:rPr>
        <w:t xml:space="preserve">6.12 The Required Capital Output Structure</w:t>
      </w:r>
    </w:p>
    <w:p>
      <w:pPr>
        <w:spacing w:after="80" w:before="80"/>
        <w:jc w:val="left"/>
      </w:pPr>
      <w:r>
        <w:rPr>
          <w:rFonts w:ascii="Arial" w:cs="Arial" w:eastAsia="Arial" w:hAnsi="Arial"/>
          <w:b w:val="false"/>
          <w:bCs w:val="false"/>
          <w:i w:val="false"/>
          <w:iCs w:val="false"/>
          <w:color w:val="1F1F1F"/>
          <w:sz w:val="22"/>
          <w:szCs w:val="22"/>
        </w:rPr>
        <w:t xml:space="preserve">Every employer dashboard and every report PDF produces two output blocks. Substitution is not permitted.</w:t>
      </w:r>
    </w:p>
    <w:p>
      <w:pPr>
        <w:pStyle w:val="Heading3"/>
        <w:spacing w:after="80" w:before="200"/>
      </w:pPr>
      <w:r>
        <w:rPr>
          <w:rFonts w:ascii="Arial" w:cs="Arial" w:eastAsia="Arial" w:hAnsi="Arial"/>
          <w:b/>
          <w:bCs/>
          <w:color w:val="1F1F1F"/>
          <w:sz w:val="24"/>
          <w:szCs w:val="24"/>
        </w:rPr>
        <w:t xml:space="preserve">Executive Summary Block (Story for CFO and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tblHeader/>
        </w:trPr>
        <w:tc>
          <w:tcPr>
            <w:tcW w:type="dxa" w:w="3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57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Definition</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Equivalent Level-Funded Total Cost</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What the employer would pre-fund under a level-funded plan, total-to-total</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Expected Residual Spend (PEPM)</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Run-rate of non-OffPlan events expressed PEPM</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Minimum Required Liquidity</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P95 of max rolling 30-day net drawdown</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Capital Efficiency Ratio (CER)</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Equivalent Level-Funded / Min Required Liquidity</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Reduction</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(Equivalent Level-Funded − Min Required Liquidity) / Equivalent Level-Funded</w:t>
            </w:r>
          </w:p>
        </w:tc>
      </w:tr>
    </w:tbl>
    <w:p>
      <w:pPr>
        <w:pStyle w:val="Heading3"/>
        <w:spacing w:after="80" w:before="200"/>
      </w:pPr>
      <w:r>
        <w:rPr>
          <w:rFonts w:ascii="Arial" w:cs="Arial" w:eastAsia="Arial" w:hAnsi="Arial"/>
          <w:b/>
          <w:bCs/>
          <w:color w:val="1F1F1F"/>
          <w:sz w:val="24"/>
          <w:szCs w:val="24"/>
        </w:rPr>
        <w:t xml:space="preserve">Liquidity Profile Block (Justification for MGU and actuary)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tblHeader/>
        </w:trPr>
        <w:tc>
          <w:tcPr>
            <w:tcW w:type="dxa" w:w="3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57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Definition</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Mean Monthly Outflow</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Mean of rolling 30-day net outflows across all simulation runs</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P50 / P75 / P90 / P95 / P99</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Percentile of max rolling 30-day net drawdown per run, with 95% CI</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Coverage Ratio (LCR)</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Min Required Liquidity / Mean Monthly Outflow</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Stress Coverage Ratio (SCR)</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Min Required Liquidity / P75 Monthly Outflow</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Rolling window assumption</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Default 30-day; supplementary calendar-month and 60-day available</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CER and Liquidity Reduction express the same underlying truth two ways. Both display on every dashboard. Boards anchor on multipliers; CFO ledgers anchor on percentages.</w:t>
      </w:r>
    </w:p>
    <w:p>
      <w:pPr>
        <w:pStyle w:val="Heading2"/>
        <w:spacing w:after="120" w:before="280"/>
      </w:pPr>
      <w:r>
        <w:rPr>
          <w:rFonts w:ascii="Arial" w:cs="Arial" w:eastAsia="Arial" w:hAnsi="Arial"/>
          <w:b/>
          <w:bCs/>
          <w:color w:val="1F1F1F"/>
          <w:sz w:val="28"/>
          <w:szCs w:val="28"/>
        </w:rPr>
        <w:t xml:space="preserve">6.13 Reference</w:t>
      </w:r>
    </w:p>
    <w:p>
      <w:pPr>
        <w:spacing w:after="80" w:before="80"/>
        <w:jc w:val="left"/>
      </w:pPr>
      <w:r>
        <w:rPr>
          <w:rFonts w:ascii="Arial" w:cs="Arial" w:eastAsia="Arial" w:hAnsi="Arial"/>
          <w:b w:val="false"/>
          <w:bCs w:val="false"/>
          <w:i/>
          <w:iCs/>
          <w:color w:val="1F1F1F"/>
          <w:sz w:val="22"/>
          <w:szCs w:val="22"/>
        </w:rPr>
        <w:t xml:space="preserve">The full mathematical specification — distributional choices per tier, simulator algorithm, replenishment model, correlation modeling, stop-loss interaction details, indemnity variance treatment, cash strategy formulas, performance targets, and acceptance criteria — is in the companion Liquidity &amp; Capital Modeling Specification v1.2. That document is binding for the implementation of Modules 6, 7, 9, 11 and the refactor of Modules 8 and 10. Note: v1.2 includes Part 0 (Terminology Lockdown) which defines the five outflow terms used throughout the engine; engineers should read Part 0 before any other section.</w:t>
      </w:r>
    </w:p>
    <w:p>
      <w:pPr>
        <w:pStyle w:val="Heading1"/>
        <w:spacing w:after="160" w:before="360"/>
      </w:pPr>
      <w:r>
        <w:rPr>
          <w:rFonts w:ascii="Arial" w:cs="Arial" w:eastAsia="Arial" w:hAnsi="Arial"/>
          <w:b/>
          <w:bCs/>
          <w:color w:val="1F1F1F"/>
          <w:sz w:val="36"/>
          <w:szCs w:val="36"/>
        </w:rPr>
        <w:t xml:space="preserve">Part III · Baseline Spend Requirement</w:t>
      </w:r>
    </w:p>
    <w:p>
      <w:pPr>
        <w:spacing w:after="80" w:before="80"/>
        <w:jc w:val="left"/>
      </w:pPr>
      <w:r>
        <w:rPr>
          <w:rFonts w:ascii="Arial" w:cs="Arial" w:eastAsia="Arial" w:hAnsi="Arial"/>
          <w:b w:val="false"/>
          <w:bCs w:val="false"/>
          <w:i w:val="false"/>
          <w:iCs w:val="false"/>
          <w:color w:val="1F1F1F"/>
          <w:sz w:val="22"/>
          <w:szCs w:val="22"/>
        </w:rPr>
        <w:t xml:space="preserve">The engine must distinguish between two different baselines and never conflate them. This distinction is what prevents the tool from accidentally making OffPlan look more expensive than the status quo.</w:t>
      </w:r>
    </w:p>
    <w:p>
      <w:pPr>
        <w:pStyle w:val="Heading2"/>
        <w:spacing w:after="120" w:before="280"/>
      </w:pPr>
      <w:r>
        <w:rPr>
          <w:rFonts w:ascii="Arial" w:cs="Arial" w:eastAsia="Arial" w:hAnsi="Arial"/>
          <w:b/>
          <w:bCs/>
          <w:color w:val="1F1F1F"/>
          <w:sz w:val="28"/>
          <w:szCs w:val="28"/>
        </w:rPr>
        <w:t xml:space="preserve">7. Two Distinct Baselines</w:t>
      </w:r>
    </w:p>
    <w:p>
      <w:pPr>
        <w:pStyle w:val="Heading3"/>
        <w:spacing w:after="80" w:before="200"/>
      </w:pPr>
      <w:r>
        <w:rPr>
          <w:rFonts w:ascii="Arial" w:cs="Arial" w:eastAsia="Arial" w:hAnsi="Arial"/>
          <w:b/>
          <w:bCs/>
          <w:color w:val="1F1F1F"/>
          <w:sz w:val="24"/>
          <w:szCs w:val="24"/>
        </w:rPr>
        <w:t xml:space="preserve">7.1 Historical Claims Spend</w:t>
      </w:r>
    </w:p>
    <w:p>
      <w:pPr>
        <w:spacing w:after="80" w:before="80"/>
        <w:jc w:val="left"/>
      </w:pPr>
      <w:r>
        <w:rPr>
          <w:rFonts w:ascii="Arial" w:cs="Arial" w:eastAsia="Arial" w:hAnsi="Arial"/>
          <w:b w:val="false"/>
          <w:bCs w:val="false"/>
          <w:i w:val="false"/>
          <w:iCs w:val="false"/>
          <w:color w:val="1F1F1F"/>
          <w:sz w:val="22"/>
          <w:szCs w:val="22"/>
        </w:rPr>
        <w:t xml:space="preserve">Used to model claims reclassification. Includes: medical claims, pharmacy claims, facility claims, and professional claims. This figure drives DPC elimination, repricing, indemnity offset, stop-loss modeling, and residual calculation. It does not drive the savings comparison.</w:t>
      </w:r>
    </w:p>
    <w:p>
      <w:pPr>
        <w:pStyle w:val="Heading3"/>
        <w:spacing w:after="80" w:before="200"/>
      </w:pPr>
      <w:r>
        <w:rPr>
          <w:rFonts w:ascii="Arial" w:cs="Arial" w:eastAsia="Arial" w:hAnsi="Arial"/>
          <w:b/>
          <w:bCs/>
          <w:color w:val="1F1F1F"/>
          <w:sz w:val="24"/>
          <w:szCs w:val="24"/>
        </w:rPr>
        <w:t xml:space="preserve">7.2 Current Total Healthcare Spend</w:t>
      </w:r>
    </w:p>
    <w:p>
      <w:pPr>
        <w:spacing w:after="80" w:before="80"/>
        <w:jc w:val="left"/>
      </w:pPr>
      <w:r>
        <w:rPr>
          <w:rFonts w:ascii="Arial" w:cs="Arial" w:eastAsia="Arial" w:hAnsi="Arial"/>
          <w:b/>
          <w:bCs/>
          <w:i w:val="false"/>
          <w:iCs w:val="false"/>
          <w:color w:val="1F1F1F"/>
          <w:sz w:val="22"/>
          <w:szCs w:val="22"/>
        </w:rPr>
        <w:t xml:space="preserve">Used to calculate employer savings. This is the comparison baseline.</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For fully insured employers: total annual premium.</w:t>
      </w:r>
    </w:p>
    <w:p>
      <w:pPr>
        <w:spacing w:after="80" w:before="80"/>
        <w:jc w:val="left"/>
      </w:pPr>
      <w:r>
        <w:rPr>
          <w:rFonts w:ascii="Arial" w:cs="Arial" w:eastAsia="Arial" w:hAnsi="Arial"/>
          <w:b w:val="false"/>
          <w:bCs w:val="false"/>
          <w:i w:val="false"/>
          <w:iCs w:val="false"/>
          <w:color w:val="1F1F1F"/>
          <w:sz w:val="22"/>
          <w:szCs w:val="22"/>
        </w:rPr>
        <w:t xml:space="preserve">For self-funded employers: total annual plan cost, including paid claims, TPA fees, network access fees, stop-loss premium, PBM and admin fees, broker and consulting fees, and other plan administration costs.</w:t>
      </w:r>
    </w:p>
    <w:p>
      <w:pPr>
        <w:spacing w:after="80" w:before="80"/>
        <w:jc w:val="left"/>
      </w:pPr>
      <w:r>
        <w:rPr>
          <w:rFonts w:ascii="Arial" w:cs="Arial" w:eastAsia="Arial" w:hAnsi="Arial"/>
          <w:b w:val="false"/>
          <w:bCs w:val="false"/>
          <w:i w:val="false"/>
          <w:iCs w:val="false"/>
          <w:color w:val="1F1F1F"/>
          <w:sz w:val="22"/>
          <w:szCs w:val="22"/>
        </w:rPr>
        <w:t xml:space="preserve">For level-funded employers: total annual contribution, including expected claims fund, stop-loss, admin, and carrier or TPA fees.</w:t>
      </w:r>
    </w:p>
    <w:p>
      <w:pPr>
        <w:pStyle w:val="Heading2"/>
        <w:spacing w:after="120" w:before="280"/>
      </w:pPr>
      <w:r>
        <w:rPr>
          <w:rFonts w:ascii="Arial" w:cs="Arial" w:eastAsia="Arial" w:hAnsi="Arial"/>
          <w:b/>
          <w:bCs/>
          <w:color w:val="1F1F1F"/>
          <w:sz w:val="28"/>
          <w:szCs w:val="28"/>
        </w:rPr>
        <w:t xml:space="preserve">8. Design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4"/>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Arial" w:cs="Arial" w:eastAsia="Arial" w:hAnsi="Arial"/>
                <w:b/>
                <w:bCs/>
                <w:i/>
                <w:iCs/>
                <w:color w:val="1F1F1F"/>
                <w:sz w:val="24"/>
                <w:szCs w:val="24"/>
              </w:rPr>
              <w:t xml:space="preserve">Savings must always be calculated against current total healthcare spend, not claims-only spend. Claims-only spend is useful for modeling the residual fund. It is not the proper savings baseline.</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OffPlan adds visible components that are often hidden inside a fully insured premium: DPC membership, residual claims fund, stop-loss premium, indemnity layer, and administration. If the engine compares OffPlan's full stack against historical claims only, the comparison is structurally asymmetric and the savings disappear. Comparison against total premium or total self-funded plan cost makes the savings visible, accurate, and defensible to brokers, MGUs, and CFOs.</w:t>
      </w:r>
    </w:p>
    <w:p>
      <w:pPr>
        <w:pStyle w:val="Heading2"/>
        <w:spacing w:after="120" w:before="280"/>
      </w:pPr>
      <w:r>
        <w:rPr>
          <w:rFonts w:ascii="Arial" w:cs="Arial" w:eastAsia="Arial" w:hAnsi="Arial"/>
          <w:b/>
          <w:bCs/>
          <w:color w:val="1F1F1F"/>
          <w:sz w:val="28"/>
          <w:szCs w:val="28"/>
        </w:rPr>
        <w:t xml:space="preserve">9. Setup Wizard</w:t>
      </w:r>
    </w:p>
    <w:p>
      <w:pPr>
        <w:spacing w:after="80" w:before="80"/>
        <w:jc w:val="left"/>
      </w:pPr>
      <w:r>
        <w:rPr>
          <w:rFonts w:ascii="Arial" w:cs="Arial" w:eastAsia="Arial" w:hAnsi="Arial"/>
          <w:b w:val="false"/>
          <w:bCs w:val="false"/>
          <w:i w:val="false"/>
          <w:iCs w:val="false"/>
          <w:color w:val="1F1F1F"/>
          <w:sz w:val="22"/>
          <w:szCs w:val="22"/>
        </w:rPr>
        <w:t xml:space="preserve">Every employer record is created through a two-question baseline wizard before any other data is collected. This wizard is mandatory.</w:t>
      </w:r>
    </w:p>
    <w:p>
      <w:pPr>
        <w:spacing w:after="60" w:before="160"/>
      </w:pPr>
      <w:r>
        <w:rPr>
          <w:rFonts w:ascii="Arial" w:cs="Arial" w:eastAsia="Arial" w:hAnsi="Arial"/>
          <w:b/>
          <w:bCs/>
          <w:color w:val="1F1F1F"/>
          <w:sz w:val="22"/>
          <w:szCs w:val="22"/>
        </w:rPr>
        <w:t xml:space="preserve">Question 1 · Current Funding Model</w:t>
      </w:r>
    </w:p>
    <w:p>
      <w:pPr>
        <w:pStyle w:val="ListParagraph"/>
        <w:numPr>
          <w:ilvl w:val="0"/>
          <w:numId w:val="2"/>
        </w:numPr>
        <w:spacing w:after="30" w:before="30"/>
      </w:pPr>
      <w:r>
        <w:rPr>
          <w:rFonts w:ascii="Arial" w:cs="Arial" w:eastAsia="Arial" w:hAnsi="Arial"/>
          <w:color w:val="1F1F1F"/>
          <w:sz w:val="22"/>
          <w:szCs w:val="22"/>
        </w:rPr>
        <w:t xml:space="preserve">Fully insured</w:t>
      </w:r>
    </w:p>
    <w:p>
      <w:pPr>
        <w:pStyle w:val="ListParagraph"/>
        <w:numPr>
          <w:ilvl w:val="0"/>
          <w:numId w:val="2"/>
        </w:numPr>
        <w:spacing w:after="30" w:before="30"/>
      </w:pPr>
      <w:r>
        <w:rPr>
          <w:rFonts w:ascii="Arial" w:cs="Arial" w:eastAsia="Arial" w:hAnsi="Arial"/>
          <w:color w:val="1F1F1F"/>
          <w:sz w:val="22"/>
          <w:szCs w:val="22"/>
        </w:rPr>
        <w:t xml:space="preserve">Level-funded</w:t>
      </w:r>
    </w:p>
    <w:p>
      <w:pPr>
        <w:pStyle w:val="ListParagraph"/>
        <w:numPr>
          <w:ilvl w:val="0"/>
          <w:numId w:val="2"/>
        </w:numPr>
        <w:spacing w:after="30" w:before="30"/>
      </w:pPr>
      <w:r>
        <w:rPr>
          <w:rFonts w:ascii="Arial" w:cs="Arial" w:eastAsia="Arial" w:hAnsi="Arial"/>
          <w:color w:val="1F1F1F"/>
          <w:sz w:val="22"/>
          <w:szCs w:val="22"/>
        </w:rPr>
        <w:t xml:space="preserve">Self-funded</w:t>
      </w:r>
    </w:p>
    <w:p>
      <w:pPr>
        <w:pStyle w:val="ListParagraph"/>
        <w:numPr>
          <w:ilvl w:val="0"/>
          <w:numId w:val="2"/>
        </w:numPr>
        <w:spacing w:after="30" w:before="30"/>
      </w:pPr>
      <w:r>
        <w:rPr>
          <w:rFonts w:ascii="Arial" w:cs="Arial" w:eastAsia="Arial" w:hAnsi="Arial"/>
          <w:color w:val="1F1F1F"/>
          <w:sz w:val="22"/>
          <w:szCs w:val="22"/>
        </w:rPr>
        <w:t xml:space="preserve">Unsure</w:t>
      </w:r>
    </w:p>
    <w:p>
      <w:pPr>
        <w:spacing w:after="60" w:before="160"/>
      </w:pPr>
      <w:r>
        <w:rPr>
          <w:rFonts w:ascii="Arial" w:cs="Arial" w:eastAsia="Arial" w:hAnsi="Arial"/>
          <w:b/>
          <w:bCs/>
          <w:color w:val="1F1F1F"/>
          <w:sz w:val="22"/>
          <w:szCs w:val="22"/>
        </w:rPr>
        <w:t xml:space="preserve">Question 2 · Baseline Amount</w:t>
      </w:r>
    </w:p>
    <w:p>
      <w:pPr>
        <w:spacing w:after="80" w:before="80"/>
        <w:jc w:val="left"/>
      </w:pPr>
      <w:r>
        <w:rPr>
          <w:rFonts w:ascii="Arial" w:cs="Arial" w:eastAsia="Arial" w:hAnsi="Arial"/>
          <w:b w:val="false"/>
          <w:bCs w:val="false"/>
          <w:i w:val="false"/>
          <w:iCs w:val="false"/>
          <w:color w:val="1F1F1F"/>
          <w:sz w:val="22"/>
          <w:szCs w:val="22"/>
        </w:rPr>
        <w:t xml:space="preserve">Field label and tooltip change based on the funding model selected:</w:t>
      </w:r>
    </w:p>
    <w:p>
      <w:pPr>
        <w:pStyle w:val="ListParagraph"/>
        <w:numPr>
          <w:ilvl w:val="0"/>
          <w:numId w:val="2"/>
        </w:numPr>
        <w:spacing w:after="30" w:before="30"/>
      </w:pPr>
      <w:r>
        <w:rPr>
          <w:rFonts w:ascii="Arial" w:cs="Arial" w:eastAsia="Arial" w:hAnsi="Arial"/>
          <w:color w:val="1F1F1F"/>
          <w:sz w:val="22"/>
          <w:szCs w:val="22"/>
        </w:rPr>
        <w:t xml:space="preserve">If fully insured: enter total annual premium.</w:t>
      </w:r>
    </w:p>
    <w:p>
      <w:pPr>
        <w:pStyle w:val="ListParagraph"/>
        <w:numPr>
          <w:ilvl w:val="0"/>
          <w:numId w:val="2"/>
        </w:numPr>
        <w:spacing w:after="30" w:before="30"/>
      </w:pPr>
      <w:r>
        <w:rPr>
          <w:rFonts w:ascii="Arial" w:cs="Arial" w:eastAsia="Arial" w:hAnsi="Arial"/>
          <w:color w:val="1F1F1F"/>
          <w:sz w:val="22"/>
          <w:szCs w:val="22"/>
        </w:rPr>
        <w:t xml:space="preserve">If self-funded: enter total annual plan cost (claims paid + stop-loss + TPA + network + PBM/admin + broker/consulting fees).</w:t>
      </w:r>
    </w:p>
    <w:p>
      <w:pPr>
        <w:pStyle w:val="ListParagraph"/>
        <w:numPr>
          <w:ilvl w:val="0"/>
          <w:numId w:val="2"/>
        </w:numPr>
        <w:spacing w:after="30" w:before="30"/>
      </w:pPr>
      <w:r>
        <w:rPr>
          <w:rFonts w:ascii="Arial" w:cs="Arial" w:eastAsia="Arial" w:hAnsi="Arial"/>
          <w:color w:val="1F1F1F"/>
          <w:sz w:val="22"/>
          <w:szCs w:val="22"/>
        </w:rPr>
        <w:t xml:space="preserve">If level-funded: enter total annual contribution (expected claims fund + stop-loss + admin + carrier/TPA fees).</w:t>
      </w:r>
    </w:p>
    <w:p>
      <w:pPr>
        <w:pStyle w:val="Heading2"/>
        <w:spacing w:after="120" w:before="280"/>
      </w:pPr>
      <w:r>
        <w:rPr>
          <w:rFonts w:ascii="Arial" w:cs="Arial" w:eastAsia="Arial" w:hAnsi="Arial"/>
          <w:b/>
          <w:bCs/>
          <w:color w:val="1F1F1F"/>
          <w:sz w:val="28"/>
          <w:szCs w:val="28"/>
        </w:rPr>
        <w:t xml:space="preserve">10. Required Output Display</w:t>
      </w:r>
    </w:p>
    <w:p>
      <w:pPr>
        <w:spacing w:after="80" w:before="80"/>
        <w:jc w:val="left"/>
      </w:pPr>
      <w:r>
        <w:rPr>
          <w:rFonts w:ascii="Arial" w:cs="Arial" w:eastAsia="Arial" w:hAnsi="Arial"/>
          <w:b w:val="false"/>
          <w:bCs w:val="false"/>
          <w:i w:val="false"/>
          <w:iCs w:val="false"/>
          <w:color w:val="1F1F1F"/>
          <w:sz w:val="22"/>
          <w:szCs w:val="22"/>
        </w:rPr>
        <w:t xml:space="preserve">Every dashboard and every report PDF must display the four-line baseline comparison matrix in this format. Substitution is not permitted.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tblHeader/>
        </w:trPr>
        <w:tc>
          <w:tcPr>
            <w:tcW w:type="dxa" w:w="3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57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Purpose</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Historical Claims</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Used for reclassification modeling</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Current Total Healthcare Spend</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Used for savings comparison</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OffPlan Total Stack</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Used for new model comparison</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Net Savings</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Current total spend minus OffPlan total stack</w:t>
            </w:r>
          </w:p>
        </w:tc>
      </w:tr>
    </w:tbl>
    <w:p>
      <w:pPr>
        <w:pStyle w:val="Heading1"/>
        <w:spacing w:after="160" w:before="360"/>
      </w:pPr>
      <w:r>
        <w:rPr>
          <w:rFonts w:ascii="Arial" w:cs="Arial" w:eastAsia="Arial" w:hAnsi="Arial"/>
          <w:b/>
          <w:bCs/>
          <w:color w:val="1F1F1F"/>
          <w:sz w:val="36"/>
          <w:szCs w:val="36"/>
        </w:rPr>
        <w:t xml:space="preserve">Part IV · Three Input Modes</w:t>
      </w:r>
    </w:p>
    <w:p>
      <w:pPr>
        <w:spacing w:after="80" w:before="80"/>
        <w:jc w:val="left"/>
      </w:pPr>
      <w:r>
        <w:rPr>
          <w:rFonts w:ascii="Arial" w:cs="Arial" w:eastAsia="Arial" w:hAnsi="Arial"/>
          <w:b w:val="false"/>
          <w:bCs w:val="false"/>
          <w:i w:val="false"/>
          <w:iCs w:val="false"/>
          <w:color w:val="1F1F1F"/>
          <w:sz w:val="22"/>
          <w:szCs w:val="22"/>
        </w:rPr>
        <w:t xml:space="preserve">The engine must function across varying levels of data availability. It must adapt to imperfect inputs while maintaining credible, transparent outputs.</w:t>
      </w:r>
    </w:p>
    <w:p>
      <w:pPr>
        <w:pStyle w:val="Heading2"/>
        <w:spacing w:after="120" w:before="280"/>
      </w:pPr>
      <w:r>
        <w:rPr>
          <w:rFonts w:ascii="Arial" w:cs="Arial" w:eastAsia="Arial" w:hAnsi="Arial"/>
          <w:b/>
          <w:bCs/>
          <w:color w:val="1F1F1F"/>
          <w:sz w:val="28"/>
          <w:szCs w:val="28"/>
        </w:rPr>
        <w:t xml:space="preserve">11. Mode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gridCol w:w="1440"/>
      </w:tblGrid>
      <w:tr>
        <w:trPr>
          <w:tblHeader/>
        </w:trPr>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Mode</w:t>
            </w:r>
          </w:p>
        </w:tc>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Data Availability</w:t>
            </w:r>
          </w:p>
        </w:tc>
        <w:tc>
          <w:tcPr>
            <w:tcW w:type="dxa" w:w="2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Typical Employer</w:t>
            </w:r>
          </w:p>
        </w:tc>
        <w:tc>
          <w:tcPr>
            <w:tcW w:type="dxa" w:w="14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Default Confidence</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Mode 1 · Full Claims</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Member-level CPT-line claims</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Self-funded with TPA access</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w:t>
            </w:r>
          </w:p>
        </w:tc>
      </w:tr>
      <w:tr>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Mode 2 · Partial Summary</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Category-level totals</w:t>
            </w:r>
          </w:p>
        </w:tc>
        <w:tc>
          <w:tcPr>
            <w:tcW w:type="dxa" w:w="2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Level-funded with broker reports</w:t>
            </w:r>
          </w:p>
        </w:tc>
        <w:tc>
          <w:tcPr>
            <w:tcW w:type="dxa" w:w="14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Medium</w:t>
            </w:r>
          </w:p>
        </w:tc>
      </w:tr>
      <w:tr>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Mode 3 · Modeled Profile</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Headcount, industry, total spend</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Fully insured, no claims access</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Low · Illustrative</w:t>
            </w:r>
          </w:p>
        </w:tc>
      </w:tr>
    </w:tbl>
    <w:p>
      <w:pPr>
        <w:pStyle w:val="Heading3"/>
        <w:spacing w:after="80" w:before="200"/>
      </w:pPr>
      <w:r>
        <w:rPr>
          <w:rFonts w:ascii="Arial" w:cs="Arial" w:eastAsia="Arial" w:hAnsi="Arial"/>
          <w:b/>
          <w:bCs/>
          <w:color w:val="1F1F1F"/>
          <w:sz w:val="24"/>
          <w:szCs w:val="24"/>
        </w:rPr>
        <w:t xml:space="preserve">11.1 Mode 1 — Full Claims</w:t>
      </w:r>
    </w:p>
    <w:p>
      <w:pPr>
        <w:spacing w:after="80" w:before="80"/>
        <w:jc w:val="left"/>
      </w:pPr>
      <w:r>
        <w:rPr>
          <w:rFonts w:ascii="Arial" w:cs="Arial" w:eastAsia="Arial" w:hAnsi="Arial"/>
          <w:b w:val="false"/>
          <w:bCs w:val="false"/>
          <w:i w:val="false"/>
          <w:iCs w:val="false"/>
          <w:color w:val="1F1F1F"/>
          <w:sz w:val="22"/>
          <w:szCs w:val="22"/>
        </w:rPr>
        <w:t xml:space="preserve">Member-level CPT-line claims data ingested via CSV. The engine performs full normalization, precise bucket assignment, accurate repricing, and member-level stop-loss simulation. Output is high-confidence and suitable for underwriting conversations.</w:t>
      </w:r>
    </w:p>
    <w:p>
      <w:pPr>
        <w:pStyle w:val="Heading3"/>
        <w:spacing w:after="80" w:before="200"/>
      </w:pPr>
      <w:r>
        <w:rPr>
          <w:rFonts w:ascii="Arial" w:cs="Arial" w:eastAsia="Arial" w:hAnsi="Arial"/>
          <w:b/>
          <w:bCs/>
          <w:color w:val="1F1F1F"/>
          <w:sz w:val="24"/>
          <w:szCs w:val="24"/>
        </w:rPr>
        <w:t xml:space="preserve">11.2 Mode 2 — Partial Summary</w:t>
      </w:r>
    </w:p>
    <w:p>
      <w:pPr>
        <w:spacing w:after="80" w:before="80"/>
        <w:jc w:val="left"/>
      </w:pPr>
      <w:r>
        <w:rPr>
          <w:rFonts w:ascii="Arial" w:cs="Arial" w:eastAsia="Arial" w:hAnsi="Arial"/>
          <w:b w:val="false"/>
          <w:bCs w:val="false"/>
          <w:i w:val="false"/>
          <w:iCs w:val="false"/>
          <w:color w:val="1F1F1F"/>
          <w:sz w:val="22"/>
          <w:szCs w:val="22"/>
        </w:rPr>
        <w:t xml:space="preserve">Category-level claims totals (Primary Care, Specialty, Imaging, Lab, Procedures, ER, Inpatient, Pharmacy, Other) ingested via CSV or entered manually. The engine applies a category-default bucket distribution drawn from the active rule version. Member-level stop-loss aggregation is not possible at this granularity; an actuarial loading factor is applied to inpatient and high-acuity outpatient categories instead. Output is decision-grade for prospect conversations and broker enablement.</w:t>
      </w:r>
    </w:p>
    <w:p>
      <w:pPr>
        <w:pStyle w:val="Heading3"/>
        <w:spacing w:after="80" w:before="200"/>
      </w:pPr>
      <w:r>
        <w:rPr>
          <w:rFonts w:ascii="Arial" w:cs="Arial" w:eastAsia="Arial" w:hAnsi="Arial"/>
          <w:b/>
          <w:bCs/>
          <w:color w:val="1F1F1F"/>
          <w:sz w:val="24"/>
          <w:szCs w:val="24"/>
        </w:rPr>
        <w:t xml:space="preserve">11.3 Mode 3 — Modeled Profile</w:t>
      </w:r>
    </w:p>
    <w:p>
      <w:pPr>
        <w:spacing w:after="80" w:before="80"/>
        <w:jc w:val="left"/>
      </w:pPr>
      <w:r>
        <w:rPr>
          <w:rFonts w:ascii="Arial" w:cs="Arial" w:eastAsia="Arial" w:hAnsi="Arial"/>
          <w:b w:val="false"/>
          <w:bCs w:val="false"/>
          <w:i w:val="false"/>
          <w:iCs w:val="false"/>
          <w:color w:val="1F1F1F"/>
          <w:sz w:val="22"/>
          <w:szCs w:val="22"/>
        </w:rPr>
        <w:t xml:space="preserve">Employer profile only: name, state, industry, employees, covered lives, current funding model, and current total healthcare spend. The engine looks up the matched benchmark profile (industry × geography × group size) and synthesizes a representative claims distribution scaled to the employer's stated total spend. Output is illustrative; every report carries an explicit disclaimer that figures are not based on actual claims data.</w:t>
      </w:r>
    </w:p>
    <w:p>
      <w:pPr>
        <w:pStyle w:val="Heading2"/>
        <w:spacing w:after="120" w:before="280"/>
      </w:pPr>
      <w:r>
        <w:rPr>
          <w:rFonts w:ascii="Arial" w:cs="Arial" w:eastAsia="Arial" w:hAnsi="Arial"/>
          <w:b/>
          <w:bCs/>
          <w:color w:val="1F1F1F"/>
          <w:sz w:val="28"/>
          <w:szCs w:val="28"/>
        </w:rPr>
        <w:t xml:space="preserve">12. Mixed Input</w:t>
      </w:r>
    </w:p>
    <w:p>
      <w:pPr>
        <w:spacing w:after="80" w:before="80"/>
        <w:jc w:val="left"/>
      </w:pPr>
      <w:r>
        <w:rPr>
          <w:rFonts w:ascii="Arial" w:cs="Arial" w:eastAsia="Arial" w:hAnsi="Arial"/>
          <w:b w:val="false"/>
          <w:bCs w:val="false"/>
          <w:i w:val="false"/>
          <w:iCs w:val="false"/>
          <w:color w:val="1F1F1F"/>
          <w:sz w:val="22"/>
          <w:szCs w:val="22"/>
        </w:rPr>
        <w:t xml:space="preserve">Mixed input is permitted. An employer may provide full claims for medical and modeled input for pharmacy, for example. Each line item carries its own input_mode flag and propagates that flag through every downstream calculation and output.</w:t>
      </w:r>
    </w:p>
    <w:p>
      <w:pPr>
        <w:pStyle w:val="Heading2"/>
        <w:spacing w:after="120" w:before="280"/>
      </w:pPr>
      <w:r>
        <w:rPr>
          <w:rFonts w:ascii="Arial" w:cs="Arial" w:eastAsia="Arial" w:hAnsi="Arial"/>
          <w:b/>
          <w:bCs/>
          <w:color w:val="1F1F1F"/>
          <w:sz w:val="28"/>
          <w:szCs w:val="28"/>
        </w:rPr>
        <w:t xml:space="preserve">13.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Arial" w:cs="Arial" w:eastAsia="Arial" w:hAnsi="Arial"/>
                <w:b w:val="false"/>
                <w:bCs w:val="false"/>
                <w:i/>
                <w:iCs/>
                <w:color w:val="1F1F1F"/>
                <w:sz w:val="22"/>
                <w:szCs w:val="22"/>
              </w:rPr>
              <w:t xml:space="preserve">The engine must never fail due to lack of data. It adapts its modeling approach while maintaining credibility through explicit confidence levels, version provenance, and source disclosure on every output.</w:t>
            </w:r>
          </w:p>
        </w:tc>
      </w:tr>
    </w:tbl>
    <w:p>
      <w:pPr>
        <w:pStyle w:val="Heading1"/>
        <w:spacing w:after="160" w:before="360"/>
      </w:pPr>
      <w:r>
        <w:rPr>
          <w:rFonts w:ascii="Arial" w:cs="Arial" w:eastAsia="Arial" w:hAnsi="Arial"/>
          <w:b/>
          <w:bCs/>
          <w:color w:val="1F1F1F"/>
          <w:sz w:val="36"/>
          <w:szCs w:val="36"/>
        </w:rPr>
        <w:t xml:space="preserve">Part V · Scenario Modeling</w:t>
      </w:r>
    </w:p>
    <w:p>
      <w:pPr>
        <w:spacing w:after="80" w:before="80"/>
        <w:jc w:val="left"/>
      </w:pPr>
      <w:r>
        <w:rPr>
          <w:rFonts w:ascii="Arial" w:cs="Arial" w:eastAsia="Arial" w:hAnsi="Arial"/>
          <w:b w:val="false"/>
          <w:bCs w:val="false"/>
          <w:i w:val="false"/>
          <w:iCs w:val="false"/>
          <w:color w:val="1F1F1F"/>
          <w:sz w:val="22"/>
          <w:szCs w:val="22"/>
        </w:rPr>
        <w:t xml:space="preserve">Every calculation runs against an active scenario. Scenarios are first-class entities: created, named, versioned, and locked to specific pricing, rule, indemnity, and benchmark versions in effect at creation time.</w:t>
      </w:r>
    </w:p>
    <w:p>
      <w:pPr>
        <w:pStyle w:val="Heading2"/>
        <w:spacing w:after="120" w:before="280"/>
      </w:pPr>
      <w:r>
        <w:rPr>
          <w:rFonts w:ascii="Arial" w:cs="Arial" w:eastAsia="Arial" w:hAnsi="Arial"/>
          <w:b/>
          <w:bCs/>
          <w:color w:val="1F1F1F"/>
          <w:sz w:val="28"/>
          <w:szCs w:val="28"/>
        </w:rPr>
        <w:t xml:space="preserve">14. Scenario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Variable</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Meaning</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dpc_elimination_pct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Percentage of Bucket A claims eliminated by DPC</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urgent_care_reduction_pct</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Reduction in urgent care utilization</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er_reduction_pct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Reduction in low-acuity ER utilization</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cashpay_discount_factor</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Default discount applied when no specific cash price exists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indemnity_enabled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Whether the indemnity layer is active for this scenario</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attachment_point</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Per-member specific stop-loss attachment dollar amount</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stop_loss_pepm</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Stop-loss premium loading PEPM</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risk_margin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Multiplier applied to residual PEPM to produce recommended funding PEPM</w:t>
            </w:r>
          </w:p>
        </w:tc>
      </w:tr>
    </w:tbl>
    <w:p>
      <w:pPr>
        <w:pStyle w:val="Heading2"/>
        <w:spacing w:after="120" w:before="280"/>
      </w:pPr>
      <w:r>
        <w:rPr>
          <w:rFonts w:ascii="Arial" w:cs="Arial" w:eastAsia="Arial" w:hAnsi="Arial"/>
          <w:b/>
          <w:bCs/>
          <w:color w:val="1F1F1F"/>
          <w:sz w:val="28"/>
          <w:szCs w:val="28"/>
        </w:rPr>
        <w:t xml:space="preserve">15. Default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Variable</w:t>
            </w:r>
          </w:p>
        </w:tc>
        <w:tc>
          <w:tcPr>
            <w:tcW w:type="dxa" w:w="20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Conservative</w:t>
            </w:r>
          </w:p>
        </w:tc>
        <w:tc>
          <w:tcPr>
            <w:tcW w:type="dxa" w:w="20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Expected</w:t>
            </w:r>
          </w:p>
        </w:tc>
        <w:tc>
          <w:tcPr>
            <w:tcW w:type="dxa" w:w="20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Aggressive</w:t>
            </w:r>
          </w:p>
        </w:tc>
      </w:tr>
      <w:tr>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DPC Elimination</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70%</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85%</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95%</w:t>
            </w:r>
          </w:p>
        </w:tc>
      </w:tr>
      <w:tr>
        <w:tc>
          <w:tcPr>
            <w:tcW w:type="dxa" w:w="33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Urgent Care Reduction</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70%</w:t>
            </w:r>
          </w:p>
        </w:tc>
      </w:tr>
      <w:tr>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ER Reduction</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25%</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40%</w:t>
            </w:r>
          </w:p>
        </w:tc>
      </w:tr>
      <w:tr>
        <w:tc>
          <w:tcPr>
            <w:tcW w:type="dxa" w:w="33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Cash-Pay Discount Factor</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70%</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40%</w:t>
            </w:r>
          </w:p>
        </w:tc>
      </w:tr>
      <w:tr>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Indemnity Enabled</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Yes</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Yes</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Yes</w:t>
            </w:r>
          </w:p>
        </w:tc>
      </w:tr>
      <w:tr>
        <w:tc>
          <w:tcPr>
            <w:tcW w:type="dxa" w:w="33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Attachment Point</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$75K</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$50K</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$50K</w:t>
            </w:r>
          </w:p>
        </w:tc>
      </w:tr>
      <w:tr>
        <w:tc>
          <w:tcPr>
            <w:tcW w:type="dxa" w:w="33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Stop-Loss PEPM</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$200</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$175</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$150</w:t>
            </w:r>
          </w:p>
        </w:tc>
      </w:tr>
      <w:tr>
        <w:tc>
          <w:tcPr>
            <w:tcW w:type="dxa" w:w="33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Risk Margin</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1.40x</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1.25x</w:t>
            </w:r>
          </w:p>
        </w:tc>
        <w:tc>
          <w:tcPr>
            <w:tcW w:type="dxa" w:w="20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1.10x</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Conservative is underwriting-safe with high funding buffer. Expected is balanced and used as the default for employer conversations. Aggressive demonstrates the structural ceiling. Custom scenarios may be created at any time and inherit version locks at creation.</w:t>
      </w:r>
    </w:p>
    <w:p>
      <w:pPr>
        <w:pStyle w:val="Heading1"/>
        <w:spacing w:after="160" w:before="360"/>
      </w:pPr>
      <w:r>
        <w:rPr>
          <w:rFonts w:ascii="Arial" w:cs="Arial" w:eastAsia="Arial" w:hAnsi="Arial"/>
          <w:b/>
          <w:bCs/>
          <w:color w:val="1F1F1F"/>
          <w:sz w:val="36"/>
          <w:szCs w:val="36"/>
        </w:rPr>
        <w:t xml:space="preserve">Part VI · Admin Control Layer</w:t>
      </w:r>
    </w:p>
    <w:p>
      <w:pPr>
        <w:spacing w:after="80" w:before="80"/>
        <w:jc w:val="left"/>
      </w:pPr>
      <w:r>
        <w:rPr>
          <w:rFonts w:ascii="Arial" w:cs="Arial" w:eastAsia="Arial" w:hAnsi="Arial"/>
          <w:b/>
          <w:bCs/>
          <w:i w:val="false"/>
          <w:iCs w:val="false"/>
          <w:color w:val="1F1F1F"/>
          <w:sz w:val="22"/>
          <w:szCs w:val="22"/>
        </w:rPr>
        <w:t xml:space="preserve">No core economic assumption may be hardcoded. The engine must function as a dynamic simulation environment for healthcare economics, configurable without engineering intervention.</w:t>
      </w:r>
    </w:p>
    <w:p>
      <w:pPr>
        <w:pStyle w:val="Heading2"/>
        <w:spacing w:after="120" w:before="280"/>
      </w:pPr>
      <w:r>
        <w:rPr>
          <w:rFonts w:ascii="Arial" w:cs="Arial" w:eastAsia="Arial" w:hAnsi="Arial"/>
          <w:b/>
          <w:bCs/>
          <w:color w:val="1F1F1F"/>
          <w:sz w:val="28"/>
          <w:szCs w:val="28"/>
        </w:rPr>
        <w:t xml:space="preserve">16. Four Editable Layers</w:t>
      </w:r>
    </w:p>
    <w:p>
      <w:pPr>
        <w:pStyle w:val="Heading3"/>
        <w:spacing w:after="80" w:before="200"/>
      </w:pPr>
      <w:r>
        <w:rPr>
          <w:rFonts w:ascii="Arial" w:cs="Arial" w:eastAsia="Arial" w:hAnsi="Arial"/>
          <w:b/>
          <w:bCs/>
          <w:color w:val="1F1F1F"/>
          <w:sz w:val="24"/>
          <w:szCs w:val="24"/>
        </w:rPr>
        <w:t xml:space="preserve">16.1 Cash-Pay Pricing Engine</w:t>
      </w:r>
    </w:p>
    <w:p>
      <w:pPr>
        <w:spacing w:after="80" w:before="80"/>
        <w:jc w:val="left"/>
      </w:pPr>
      <w:r>
        <w:rPr>
          <w:rFonts w:ascii="Arial" w:cs="Arial" w:eastAsia="Arial" w:hAnsi="Arial"/>
          <w:b w:val="false"/>
          <w:bCs w:val="false"/>
          <w:i w:val="false"/>
          <w:iCs w:val="false"/>
          <w:color w:val="1F1F1F"/>
          <w:sz w:val="22"/>
          <w:szCs w:val="22"/>
        </w:rPr>
        <w:t xml:space="preserve">Controls pricing assumptions for all repriced services. Capabilities: add new CPT codes, edit pricing for existing codes, delete obsolete entries, define pricing by region (Phase 2), version pricing over time. All repricing calculations reference this table dynamically.</w:t>
      </w:r>
    </w:p>
    <w:p>
      <w:pPr>
        <w:pStyle w:val="Heading3"/>
        <w:spacing w:after="80" w:before="200"/>
      </w:pPr>
      <w:r>
        <w:rPr>
          <w:rFonts w:ascii="Arial" w:cs="Arial" w:eastAsia="Arial" w:hAnsi="Arial"/>
          <w:b/>
          <w:bCs/>
          <w:color w:val="1F1F1F"/>
          <w:sz w:val="24"/>
          <w:szCs w:val="24"/>
        </w:rPr>
        <w:t xml:space="preserve">16.2 CPT Mapping &amp; Classification Engine</w:t>
      </w:r>
    </w:p>
    <w:p>
      <w:pPr>
        <w:spacing w:after="80" w:before="80"/>
        <w:jc w:val="left"/>
      </w:pPr>
      <w:r>
        <w:rPr>
          <w:rFonts w:ascii="Arial" w:cs="Arial" w:eastAsia="Arial" w:hAnsi="Arial"/>
          <w:b w:val="false"/>
          <w:bCs w:val="false"/>
          <w:i w:val="false"/>
          <w:iCs w:val="false"/>
          <w:color w:val="1F1F1F"/>
          <w:sz w:val="22"/>
          <w:szCs w:val="22"/>
        </w:rPr>
        <w:t xml:space="preserve">Defines how claims are categorized and assigned to OffPlan buckets. Capabilities: map CPT to normalized category, assign default bucket A through E, flag codes for manual review, update classifications. Classification logic is editable without code changes.</w:t>
      </w:r>
    </w:p>
    <w:p>
      <w:pPr>
        <w:pStyle w:val="Heading3"/>
        <w:spacing w:after="80" w:before="200"/>
      </w:pPr>
      <w:r>
        <w:rPr>
          <w:rFonts w:ascii="Arial" w:cs="Arial" w:eastAsia="Arial" w:hAnsi="Arial"/>
          <w:b/>
          <w:bCs/>
          <w:color w:val="1F1F1F"/>
          <w:sz w:val="24"/>
          <w:szCs w:val="24"/>
        </w:rPr>
        <w:t xml:space="preserve">16.3 Indemnity Rules Engine</w:t>
      </w:r>
    </w:p>
    <w:p>
      <w:pPr>
        <w:spacing w:after="80" w:before="80"/>
        <w:jc w:val="left"/>
      </w:pPr>
      <w:r>
        <w:rPr>
          <w:rFonts w:ascii="Arial" w:cs="Arial" w:eastAsia="Arial" w:hAnsi="Arial"/>
          <w:b w:val="false"/>
          <w:bCs w:val="false"/>
          <w:i w:val="false"/>
          <w:iCs w:val="false"/>
          <w:color w:val="1F1F1F"/>
          <w:sz w:val="22"/>
          <w:szCs w:val="22"/>
        </w:rPr>
        <w:t xml:space="preserve">Controls benefit assumptions for mid-range cost offset. Capabilities: enable/disable indemnity layer per scenario, define benefit amounts, set per-event limits, configure coverage by event type.</w:t>
      </w:r>
    </w:p>
    <w:p>
      <w:pPr>
        <w:pStyle w:val="Heading3"/>
        <w:spacing w:after="80" w:before="200"/>
      </w:pPr>
      <w:r>
        <w:rPr>
          <w:rFonts w:ascii="Arial" w:cs="Arial" w:eastAsia="Arial" w:hAnsi="Arial"/>
          <w:b/>
          <w:bCs/>
          <w:color w:val="1F1F1F"/>
          <w:sz w:val="24"/>
          <w:szCs w:val="24"/>
        </w:rPr>
        <w:t xml:space="preserve">16.4 Scenario Configuration Engine</w:t>
      </w:r>
    </w:p>
    <w:p>
      <w:pPr>
        <w:spacing w:after="80" w:before="80"/>
        <w:jc w:val="left"/>
      </w:pPr>
      <w:r>
        <w:rPr>
          <w:rFonts w:ascii="Arial" w:cs="Arial" w:eastAsia="Arial" w:hAnsi="Arial"/>
          <w:b w:val="false"/>
          <w:bCs w:val="false"/>
          <w:i w:val="false"/>
          <w:iCs w:val="false"/>
          <w:color w:val="1F1F1F"/>
          <w:sz w:val="22"/>
          <w:szCs w:val="22"/>
        </w:rPr>
        <w:t xml:space="preserve">Allows dynamic modeling of operating assumptions. Capabilities: create custom scenarios, edit any of the eight scenario variables, save and recall named scenarios, compare scenarios side-by-side.</w:t>
      </w:r>
    </w:p>
    <w:p>
      <w:pPr>
        <w:pStyle w:val="Heading2"/>
        <w:spacing w:after="120" w:before="280"/>
      </w:pPr>
      <w:r>
        <w:rPr>
          <w:rFonts w:ascii="Arial" w:cs="Arial" w:eastAsia="Arial" w:hAnsi="Arial"/>
          <w:b/>
          <w:bCs/>
          <w:color w:val="1F1F1F"/>
          <w:sz w:val="28"/>
          <w:szCs w:val="28"/>
        </w:rPr>
        <w:t xml:space="preserve">17. Versioning Rules</w:t>
      </w:r>
    </w:p>
    <w:p>
      <w:pPr>
        <w:spacing w:after="80" w:before="80"/>
        <w:jc w:val="left"/>
      </w:pPr>
      <w:r>
        <w:rPr>
          <w:rFonts w:ascii="Arial" w:cs="Arial" w:eastAsia="Arial" w:hAnsi="Arial"/>
          <w:b/>
          <w:bCs/>
          <w:i w:val="false"/>
          <w:iCs w:val="false"/>
          <w:color w:val="1F1F1F"/>
          <w:sz w:val="22"/>
          <w:szCs w:val="22"/>
        </w:rPr>
        <w:t xml:space="preserve">Every administrative change creates a new immutable version. Past versions are never deleted.</w:t>
      </w:r>
    </w:p>
    <w:p>
      <w:pPr>
        <w:spacing w:after="80" w:before="80"/>
      </w:pPr>
      <w:r>
        <w:t xml:space="preserve"/>
      </w:r>
    </w:p>
    <w:p>
      <w:pPr>
        <w:pStyle w:val="ListParagraph"/>
        <w:numPr>
          <w:ilvl w:val="0"/>
          <w:numId w:val="3"/>
        </w:numPr>
        <w:spacing w:after="30" w:before="30"/>
      </w:pPr>
      <w:r>
        <w:rPr>
          <w:rFonts w:ascii="Arial" w:cs="Arial" w:eastAsia="Arial" w:hAnsi="Arial"/>
          <w:color w:val="1F1F1F"/>
          <w:sz w:val="22"/>
          <w:szCs w:val="22"/>
        </w:rPr>
        <w:t xml:space="preserve">New pricing, rule, indemnity, or benchmark versions are created in draft status. They have no effect until activated.</w:t>
      </w:r>
    </w:p>
    <w:p>
      <w:pPr>
        <w:pStyle w:val="ListParagraph"/>
        <w:numPr>
          <w:ilvl w:val="0"/>
          <w:numId w:val="3"/>
        </w:numPr>
        <w:spacing w:after="30" w:before="30"/>
      </w:pPr>
      <w:r>
        <w:rPr>
          <w:rFonts w:ascii="Arial" w:cs="Arial" w:eastAsia="Arial" w:hAnsi="Arial"/>
          <w:color w:val="1F1F1F"/>
          <w:sz w:val="22"/>
          <w:szCs w:val="22"/>
        </w:rPr>
        <w:t xml:space="preserve">Activating a new version archives the prior active version. Both remain queryable.</w:t>
      </w:r>
    </w:p>
    <w:p>
      <w:pPr>
        <w:pStyle w:val="ListParagraph"/>
        <w:numPr>
          <w:ilvl w:val="0"/>
          <w:numId w:val="3"/>
        </w:numPr>
        <w:spacing w:after="30" w:before="30"/>
      </w:pPr>
      <w:r>
        <w:rPr>
          <w:rFonts w:ascii="Arial" w:cs="Arial" w:eastAsia="Arial" w:hAnsi="Arial"/>
          <w:color w:val="1F1F1F"/>
          <w:sz w:val="22"/>
          <w:szCs w:val="22"/>
        </w:rPr>
        <w:t xml:space="preserve">A scenario, once created, locks the pricing/rule/indemnity/benchmark versions in effect at creation time. Re-activating an old version does not retroactively change historical scenario outputs.</w:t>
      </w:r>
    </w:p>
    <w:p>
      <w:pPr>
        <w:pStyle w:val="ListParagraph"/>
        <w:numPr>
          <w:ilvl w:val="0"/>
          <w:numId w:val="3"/>
        </w:numPr>
        <w:spacing w:after="30" w:before="30"/>
      </w:pPr>
      <w:r>
        <w:rPr>
          <w:rFonts w:ascii="Arial" w:cs="Arial" w:eastAsia="Arial" w:hAnsi="Arial"/>
          <w:color w:val="1F1F1F"/>
          <w:sz w:val="22"/>
          <w:szCs w:val="22"/>
        </w:rPr>
        <w:t xml:space="preserve">Re-running a saved scenario must produce identical results regardless of currently active versions. This is the integrity guarantee.</w:t>
      </w:r>
    </w:p>
    <w:p>
      <w:pPr>
        <w:pStyle w:val="ListParagraph"/>
        <w:numPr>
          <w:ilvl w:val="0"/>
          <w:numId w:val="3"/>
        </w:numPr>
        <w:spacing w:after="30" w:before="30"/>
      </w:pPr>
      <w:r>
        <w:rPr>
          <w:rFonts w:ascii="Arial" w:cs="Arial" w:eastAsia="Arial" w:hAnsi="Arial"/>
          <w:color w:val="1F1F1F"/>
          <w:sz w:val="22"/>
          <w:szCs w:val="22"/>
        </w:rPr>
        <w:t xml:space="preserve">Every version change writes a row to admin_audit_log with before-state and after-state snapshots.</w:t>
      </w:r>
    </w:p>
    <w:p>
      <w:pPr>
        <w:pStyle w:val="Heading2"/>
        <w:spacing w:after="120" w:before="280"/>
      </w:pPr>
      <w:r>
        <w:rPr>
          <w:rFonts w:ascii="Arial" w:cs="Arial" w:eastAsia="Arial" w:hAnsi="Arial"/>
          <w:b/>
          <w:bCs/>
          <w:color w:val="1F1F1F"/>
          <w:sz w:val="28"/>
          <w:szCs w:val="28"/>
        </w:rPr>
        <w:t xml:space="preserve">18. Override Rules</w:t>
      </w:r>
    </w:p>
    <w:p>
      <w:pPr>
        <w:pStyle w:val="ListParagraph"/>
        <w:numPr>
          <w:ilvl w:val="0"/>
          <w:numId w:val="3"/>
        </w:numPr>
        <w:spacing w:after="30" w:before="30"/>
      </w:pPr>
      <w:r>
        <w:rPr>
          <w:rFonts w:ascii="Arial" w:cs="Arial" w:eastAsia="Arial" w:hAnsi="Arial"/>
          <w:color w:val="1F1F1F"/>
          <w:sz w:val="22"/>
          <w:szCs w:val="22"/>
        </w:rPr>
        <w:t xml:space="preserve">Any user with role analyst or above may manually override a claim's bucket, category, or repricing factor.</w:t>
      </w:r>
    </w:p>
    <w:p>
      <w:pPr>
        <w:pStyle w:val="ListParagraph"/>
        <w:numPr>
          <w:ilvl w:val="0"/>
          <w:numId w:val="3"/>
        </w:numPr>
        <w:spacing w:after="30" w:before="30"/>
      </w:pPr>
      <w:r>
        <w:rPr>
          <w:rFonts w:ascii="Arial" w:cs="Arial" w:eastAsia="Arial" w:hAnsi="Arial"/>
          <w:color w:val="1F1F1F"/>
          <w:sz w:val="22"/>
          <w:szCs w:val="22"/>
        </w:rPr>
        <w:t xml:space="preserve">manual_override = true requires a non-empty override_reason. The UI must enforce this.</w:t>
      </w:r>
    </w:p>
    <w:p>
      <w:pPr>
        <w:pStyle w:val="ListParagraph"/>
        <w:numPr>
          <w:ilvl w:val="0"/>
          <w:numId w:val="3"/>
        </w:numPr>
        <w:spacing w:after="30" w:before="30"/>
      </w:pPr>
      <w:r>
        <w:rPr>
          <w:rFonts w:ascii="Arial" w:cs="Arial" w:eastAsia="Arial" w:hAnsi="Arial"/>
          <w:color w:val="1F1F1F"/>
          <w:sz w:val="22"/>
          <w:szCs w:val="22"/>
        </w:rPr>
        <w:t xml:space="preserve">Overrides are scoped to a specific claim and a specific scenario. Cloning the scenario does not copy the override.</w:t>
      </w:r>
    </w:p>
    <w:p>
      <w:pPr>
        <w:pStyle w:val="ListParagraph"/>
        <w:numPr>
          <w:ilvl w:val="0"/>
          <w:numId w:val="3"/>
        </w:numPr>
        <w:spacing w:after="30" w:before="30"/>
      </w:pPr>
      <w:r>
        <w:rPr>
          <w:rFonts w:ascii="Arial" w:cs="Arial" w:eastAsia="Arial" w:hAnsi="Arial"/>
          <w:color w:val="1F1F1F"/>
          <w:sz w:val="22"/>
          <w:szCs w:val="22"/>
        </w:rPr>
        <w:t xml:space="preserve">Every override writes a row to admin_audit_log.</w:t>
      </w:r>
    </w:p>
    <w:p>
      <w:pPr>
        <w:pStyle w:val="ListParagraph"/>
        <w:numPr>
          <w:ilvl w:val="0"/>
          <w:numId w:val="3"/>
        </w:numPr>
        <w:spacing w:after="30" w:before="30"/>
      </w:pPr>
      <w:r>
        <w:rPr>
          <w:rFonts w:ascii="Arial" w:cs="Arial" w:eastAsia="Arial" w:hAnsi="Arial"/>
          <w:color w:val="1F1F1F"/>
          <w:sz w:val="22"/>
          <w:szCs w:val="22"/>
        </w:rPr>
        <w:t xml:space="preserve">Reports must surface override count and dollar magnitude.</w:t>
      </w:r>
    </w:p>
    <w:p>
      <w:pPr>
        <w:pStyle w:val="Heading1"/>
        <w:spacing w:after="160" w:before="360"/>
      </w:pPr>
      <w:r>
        <w:rPr>
          <w:rFonts w:ascii="Arial" w:cs="Arial" w:eastAsia="Arial" w:hAnsi="Arial"/>
          <w:b/>
          <w:bCs/>
          <w:color w:val="1F1F1F"/>
          <w:sz w:val="36"/>
          <w:szCs w:val="36"/>
        </w:rPr>
        <w:t xml:space="preserve">Part VII · System Architecture (Reference)</w:t>
      </w:r>
    </w:p>
    <w:p>
      <w:pPr>
        <w:spacing w:after="80" w:before="80"/>
        <w:jc w:val="left"/>
      </w:pPr>
      <w:r>
        <w:rPr>
          <w:rFonts w:ascii="Arial" w:cs="Arial" w:eastAsia="Arial" w:hAnsi="Arial"/>
          <w:b w:val="false"/>
          <w:bCs w:val="false"/>
          <w:i w:val="false"/>
          <w:iCs w:val="false"/>
          <w:color w:val="1F1F1F"/>
          <w:sz w:val="22"/>
          <w:szCs w:val="22"/>
        </w:rPr>
        <w:t xml:space="preserve">The recommended reference stack is provided as a starting point. Final architectural decisions rest with the CTO. See the companion Architecture &amp; Security Specification for the detailed multi-tenant production architecture, security controls, and compliance framework.</w:t>
      </w:r>
    </w:p>
    <w:p>
      <w:pPr>
        <w:pStyle w:val="Heading2"/>
        <w:spacing w:after="120" w:before="280"/>
      </w:pPr>
      <w:r>
        <w:rPr>
          <w:rFonts w:ascii="Arial" w:cs="Arial" w:eastAsia="Arial" w:hAnsi="Arial"/>
          <w:b/>
          <w:bCs/>
          <w:color w:val="1F1F1F"/>
          <w:sz w:val="28"/>
          <w:szCs w:val="28"/>
        </w:rPr>
        <w:t xml:space="preserve">19. Reference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Layer</w:t>
            </w:r>
          </w:p>
        </w:tc>
        <w:tc>
          <w:tcPr>
            <w:tcW w:type="dxa" w:w="64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Reference Choice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Frontend</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React + TypeScript + TanStack Query + Recharts</w:t>
            </w:r>
          </w:p>
        </w:tc>
      </w:tr>
      <w:tr>
        <w:tc>
          <w:tcPr>
            <w:tcW w:type="dxa" w:w="28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Mobile</w:t>
            </w:r>
          </w:p>
        </w:tc>
        <w:tc>
          <w:tcPr>
            <w:tcW w:type="dxa" w:w="6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React Native (Phase 3 only — members, not admin)</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Backend</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Python FastAPI (calculation engine) or Java Spring Boot (microservices)</w:t>
            </w:r>
          </w:p>
        </w:tc>
      </w:tr>
      <w:tr>
        <w:tc>
          <w:tcPr>
            <w:tcW w:type="dxa" w:w="28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Database</w:t>
            </w:r>
          </w:p>
        </w:tc>
        <w:tc>
          <w:tcPr>
            <w:tcW w:type="dxa" w:w="6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PostgreSQL (multi-tenant via row-level security)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Object Storage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S3 (raw claims files, generated reports)</w:t>
            </w:r>
          </w:p>
        </w:tc>
      </w:tr>
      <w:tr>
        <w:tc>
          <w:tcPr>
            <w:tcW w:type="dxa" w:w="28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Auth</w:t>
            </w:r>
          </w:p>
        </w:tc>
        <w:tc>
          <w:tcPr>
            <w:tcW w:type="dxa" w:w="6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Auth0 or Keycloak (OAuth2 / OpenID Connect)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File Processing</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Python / Pandas for CSV ingestion and validation</w:t>
            </w:r>
          </w:p>
        </w:tc>
      </w:tr>
      <w:tr>
        <w:tc>
          <w:tcPr>
            <w:tcW w:type="dxa" w:w="28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Report Generation</w:t>
            </w:r>
          </w:p>
        </w:tc>
        <w:tc>
          <w:tcPr>
            <w:tcW w:type="dxa" w:w="6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PDFMonkey or Documint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Hosting</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AWS (EKS or ECS, RDS, KMS, Secrets Manager)</w:t>
            </w:r>
          </w:p>
        </w:tc>
      </w:tr>
      <w:tr>
        <w:tc>
          <w:tcPr>
            <w:tcW w:type="dxa" w:w="28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Compliance Automation</w:t>
            </w:r>
          </w:p>
        </w:tc>
        <w:tc>
          <w:tcPr>
            <w:tcW w:type="dxa" w:w="64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Vanta (recommended) or Drata or Secureframe</w:t>
            </w:r>
          </w:p>
        </w:tc>
      </w:tr>
    </w:tbl>
    <w:p>
      <w:pPr>
        <w:pStyle w:val="Heading2"/>
        <w:spacing w:after="120" w:before="280"/>
      </w:pPr>
      <w:r>
        <w:rPr>
          <w:rFonts w:ascii="Arial" w:cs="Arial" w:eastAsia="Arial" w:hAnsi="Arial"/>
          <w:b/>
          <w:bCs/>
          <w:color w:val="1F1F1F"/>
          <w:sz w:val="28"/>
          <w:szCs w:val="28"/>
        </w:rPr>
        <w:t xml:space="preserve">20. Architectural Principles</w:t>
      </w:r>
    </w:p>
    <w:p>
      <w:pPr>
        <w:pStyle w:val="ListParagraph"/>
        <w:numPr>
          <w:ilvl w:val="0"/>
          <w:numId w:val="3"/>
        </w:numPr>
        <w:spacing w:after="30" w:before="30"/>
      </w:pPr>
      <w:r>
        <w:rPr>
          <w:rFonts w:ascii="Arial" w:cs="Arial" w:eastAsia="Arial" w:hAnsi="Arial"/>
          <w:color w:val="1F1F1F"/>
          <w:sz w:val="22"/>
          <w:szCs w:val="22"/>
        </w:rPr>
        <w:t xml:space="preserve">All calculation logic resides in the backend. No business logic in the frontend.</w:t>
      </w:r>
    </w:p>
    <w:p>
      <w:pPr>
        <w:pStyle w:val="ListParagraph"/>
        <w:numPr>
          <w:ilvl w:val="0"/>
          <w:numId w:val="3"/>
        </w:numPr>
        <w:spacing w:after="30" w:before="30"/>
      </w:pPr>
      <w:r>
        <w:rPr>
          <w:rFonts w:ascii="Arial" w:cs="Arial" w:eastAsia="Arial" w:hAnsi="Arial"/>
          <w:color w:val="1F1F1F"/>
          <w:sz w:val="22"/>
          <w:szCs w:val="22"/>
        </w:rPr>
        <w:t xml:space="preserve">Calculations are deterministic. Same inputs plus same versions produce identical outputs.</w:t>
      </w:r>
    </w:p>
    <w:p>
      <w:pPr>
        <w:pStyle w:val="ListParagraph"/>
        <w:numPr>
          <w:ilvl w:val="0"/>
          <w:numId w:val="3"/>
        </w:numPr>
        <w:spacing w:after="30" w:before="30"/>
      </w:pPr>
      <w:r>
        <w:rPr>
          <w:rFonts w:ascii="Arial" w:cs="Arial" w:eastAsia="Arial" w:hAnsi="Arial"/>
          <w:color w:val="1F1F1F"/>
          <w:sz w:val="22"/>
          <w:szCs w:val="22"/>
        </w:rPr>
        <w:t xml:space="preserve">Every output is traceable. Provenance fields propagate from input through calculation through report.</w:t>
      </w:r>
    </w:p>
    <w:p>
      <w:pPr>
        <w:pStyle w:val="ListParagraph"/>
        <w:numPr>
          <w:ilvl w:val="0"/>
          <w:numId w:val="3"/>
        </w:numPr>
        <w:spacing w:after="30" w:before="30"/>
      </w:pPr>
      <w:r>
        <w:rPr>
          <w:rFonts w:ascii="Arial" w:cs="Arial" w:eastAsia="Arial" w:hAnsi="Arial"/>
          <w:color w:val="1F1F1F"/>
          <w:sz w:val="22"/>
          <w:szCs w:val="22"/>
        </w:rPr>
        <w:t xml:space="preserve">API-first. All proprietary applications communicate through the internal API layer, not directly with vendor APIs.</w:t>
      </w:r>
    </w:p>
    <w:p>
      <w:pPr>
        <w:pStyle w:val="ListParagraph"/>
        <w:numPr>
          <w:ilvl w:val="0"/>
          <w:numId w:val="3"/>
        </w:numPr>
        <w:spacing w:after="30" w:before="30"/>
      </w:pPr>
      <w:r>
        <w:rPr>
          <w:rFonts w:ascii="Arial" w:cs="Arial" w:eastAsia="Arial" w:hAnsi="Arial"/>
          <w:color w:val="1F1F1F"/>
          <w:sz w:val="22"/>
          <w:szCs w:val="22"/>
        </w:rPr>
        <w:t xml:space="preserve">FHIR-aligned where applicable, even for non-clinical data flows.</w:t>
      </w:r>
    </w:p>
    <w:p>
      <w:pPr>
        <w:pStyle w:val="ListParagraph"/>
        <w:numPr>
          <w:ilvl w:val="0"/>
          <w:numId w:val="3"/>
        </w:numPr>
        <w:spacing w:after="30" w:before="30"/>
      </w:pPr>
      <w:r>
        <w:rPr>
          <w:rFonts w:ascii="Arial" w:cs="Arial" w:eastAsia="Arial" w:hAnsi="Arial"/>
          <w:color w:val="1F1F1F"/>
          <w:sz w:val="22"/>
          <w:szCs w:val="22"/>
        </w:rPr>
        <w:t xml:space="preserve">Modular. Pricing, rules, and scenarios are versioned data, not code.</w:t>
      </w:r>
    </w:p>
    <w:p>
      <w:pPr>
        <w:pStyle w:val="Heading1"/>
        <w:spacing w:after="160" w:before="360"/>
      </w:pPr>
      <w:r>
        <w:rPr>
          <w:rFonts w:ascii="Arial" w:cs="Arial" w:eastAsia="Arial" w:hAnsi="Arial"/>
          <w:b/>
          <w:bCs/>
          <w:color w:val="1F1F1F"/>
          <w:sz w:val="36"/>
          <w:szCs w:val="36"/>
        </w:rPr>
        <w:t xml:space="preserve">Part VIII · Build Phasing</w:t>
      </w:r>
    </w:p>
    <w:p>
      <w:pPr>
        <w:pStyle w:val="Heading2"/>
        <w:spacing w:after="120" w:before="280"/>
      </w:pPr>
      <w:r>
        <w:rPr>
          <w:rFonts w:ascii="Arial" w:cs="Arial" w:eastAsia="Arial" w:hAnsi="Arial"/>
          <w:b/>
          <w:bCs/>
          <w:color w:val="1F1F1F"/>
          <w:sz w:val="28"/>
          <w:szCs w:val="28"/>
        </w:rPr>
        <w:t xml:space="preserve">21. Phase 1 — Foundation (Weeks 1 to 8)</w:t>
      </w:r>
    </w:p>
    <w:p>
      <w:pPr>
        <w:spacing w:after="80" w:before="80"/>
        <w:jc w:val="left"/>
      </w:pPr>
      <w:r>
        <w:rPr>
          <w:rFonts w:ascii="Arial" w:cs="Arial" w:eastAsia="Arial" w:hAnsi="Arial"/>
          <w:b w:val="false"/>
          <w:bCs w:val="false"/>
          <w:i w:val="false"/>
          <w:iCs w:val="false"/>
          <w:color w:val="1F1F1F"/>
          <w:sz w:val="22"/>
          <w:szCs w:val="22"/>
        </w:rPr>
        <w:t xml:space="preserve">Goal: working MVP that ingests CSV, classifies claims, runs scenarios, generates reports, AND produces the full capital comparison output for a single employer at a time. Note: timeline extended from v3.0 (6 weeks) to 8 weeks to accommodate the stochastic simulator.</w:t>
      </w:r>
    </w:p>
    <w:p>
      <w:pPr>
        <w:pStyle w:val="ListParagraph"/>
        <w:numPr>
          <w:ilvl w:val="0"/>
          <w:numId w:val="2"/>
        </w:numPr>
        <w:spacing w:after="30" w:before="30"/>
      </w:pPr>
      <w:r>
        <w:rPr>
          <w:rFonts w:ascii="Arial" w:cs="Arial" w:eastAsia="Arial" w:hAnsi="Arial"/>
          <w:color w:val="1F1F1F"/>
          <w:sz w:val="22"/>
          <w:szCs w:val="22"/>
        </w:rPr>
        <w:t xml:space="preserve">Database schema: employers, claims, scenarios, scenario_results, cpt_mapping_rules, indemnity_rules, pricing_versions, rule_versions, indemnity_versions, benchmark_versions, event_tier_versions (new), simulation_runs (new), liquidity_outputs (new), admin_audit_log.</w:t>
      </w:r>
    </w:p>
    <w:p>
      <w:pPr>
        <w:pStyle w:val="ListParagraph"/>
        <w:numPr>
          <w:ilvl w:val="0"/>
          <w:numId w:val="2"/>
        </w:numPr>
        <w:spacing w:after="30" w:before="30"/>
      </w:pPr>
      <w:r>
        <w:rPr>
          <w:rFonts w:ascii="Arial" w:cs="Arial" w:eastAsia="Arial" w:hAnsi="Arial"/>
          <w:color w:val="1F1F1F"/>
          <w:sz w:val="22"/>
          <w:szCs w:val="22"/>
        </w:rPr>
        <w:t xml:space="preserve">CSV ingestion service: validation, parsing, staging.</w:t>
      </w:r>
    </w:p>
    <w:p>
      <w:pPr>
        <w:pStyle w:val="ListParagraph"/>
        <w:numPr>
          <w:ilvl w:val="0"/>
          <w:numId w:val="2"/>
        </w:numPr>
        <w:spacing w:after="30" w:before="30"/>
      </w:pPr>
      <w:r>
        <w:rPr>
          <w:rFonts w:ascii="Arial" w:cs="Arial" w:eastAsia="Arial" w:hAnsi="Arial"/>
          <w:color w:val="1F1F1F"/>
          <w:sz w:val="22"/>
          <w:szCs w:val="22"/>
        </w:rPr>
        <w:t xml:space="preserve">Normalization and bucket assignment engines.</w:t>
      </w:r>
    </w:p>
    <w:p>
      <w:pPr>
        <w:pStyle w:val="ListParagraph"/>
        <w:numPr>
          <w:ilvl w:val="0"/>
          <w:numId w:val="2"/>
        </w:numPr>
        <w:spacing w:after="30" w:before="30"/>
      </w:pPr>
      <w:r>
        <w:rPr>
          <w:rFonts w:ascii="Arial" w:cs="Arial" w:eastAsia="Arial" w:hAnsi="Arial"/>
          <w:color w:val="1F1F1F"/>
          <w:sz w:val="22"/>
          <w:szCs w:val="22"/>
        </w:rPr>
        <w:t xml:space="preserve">Five-stage deterministic calculation cascade with member-level stop-loss aggregation.</w:t>
      </w:r>
    </w:p>
    <w:p>
      <w:pPr>
        <w:pStyle w:val="ListParagraph"/>
        <w:numPr>
          <w:ilvl w:val="0"/>
          <w:numId w:val="2"/>
        </w:numPr>
        <w:spacing w:after="30" w:before="30"/>
      </w:pPr>
      <w:r>
        <w:rPr>
          <w:rFonts w:ascii="Arial" w:cs="Arial" w:eastAsia="Arial" w:hAnsi="Arial"/>
          <w:color w:val="1F1F1F"/>
          <w:sz w:val="22"/>
          <w:szCs w:val="22"/>
        </w:rPr>
        <w:t xml:space="preserve">Module 6 — Stochastic Event Simulator: Monte Carlo with heavy-tail mixture distributions, chronic correlation, seasonal factors. 10,000 runs per employer in under 2 minutes for 200-life population.</w:t>
      </w:r>
    </w:p>
    <w:p>
      <w:pPr>
        <w:pStyle w:val="ListParagraph"/>
        <w:numPr>
          <w:ilvl w:val="0"/>
          <w:numId w:val="2"/>
        </w:numPr>
        <w:spacing w:after="30" w:before="30"/>
      </w:pPr>
      <w:r>
        <w:rPr>
          <w:rFonts w:ascii="Arial" w:cs="Arial" w:eastAsia="Arial" w:hAnsi="Arial"/>
          <w:color w:val="1F1F1F"/>
          <w:sz w:val="22"/>
          <w:szCs w:val="22"/>
        </w:rPr>
        <w:t xml:space="preserve">Module 7 — Liquidity Engine: P50/P75/P90/P95/P99 percentile aggregation across rolling 30-day windows.</w:t>
      </w:r>
    </w:p>
    <w:p>
      <w:pPr>
        <w:pStyle w:val="ListParagraph"/>
        <w:numPr>
          <w:ilvl w:val="0"/>
          <w:numId w:val="2"/>
        </w:numPr>
        <w:spacing w:after="30" w:before="30"/>
      </w:pPr>
      <w:r>
        <w:rPr>
          <w:rFonts w:ascii="Arial" w:cs="Arial" w:eastAsia="Arial" w:hAnsi="Arial"/>
          <w:color w:val="1F1F1F"/>
          <w:sz w:val="22"/>
          <w:szCs w:val="22"/>
        </w:rPr>
        <w:t xml:space="preserve">Module 8 — Indemnity Offset Engine: per-event benefit application with cap enforcement.</w:t>
      </w:r>
    </w:p>
    <w:p>
      <w:pPr>
        <w:pStyle w:val="ListParagraph"/>
        <w:numPr>
          <w:ilvl w:val="0"/>
          <w:numId w:val="2"/>
        </w:numPr>
        <w:spacing w:after="30" w:before="30"/>
      </w:pPr>
      <w:r>
        <w:rPr>
          <w:rFonts w:ascii="Arial" w:cs="Arial" w:eastAsia="Arial" w:hAnsi="Arial"/>
          <w:color w:val="1F1F1F"/>
          <w:sz w:val="22"/>
          <w:szCs w:val="22"/>
        </w:rPr>
        <w:t xml:space="preserve">Module 9 — Cash Flow Timeline: event-to-cash conversion with tier-specific timing distributions.</w:t>
      </w:r>
    </w:p>
    <w:p>
      <w:pPr>
        <w:pStyle w:val="ListParagraph"/>
        <w:numPr>
          <w:ilvl w:val="0"/>
          <w:numId w:val="2"/>
        </w:numPr>
        <w:spacing w:after="30" w:before="30"/>
      </w:pPr>
      <w:r>
        <w:rPr>
          <w:rFonts w:ascii="Arial" w:cs="Arial" w:eastAsia="Arial" w:hAnsi="Arial"/>
          <w:color w:val="1F1F1F"/>
          <w:sz w:val="22"/>
          <w:szCs w:val="22"/>
        </w:rPr>
        <w:t xml:space="preserve">Module 10 — Stop-Loss Layer: per-member attachment tracking; reimbursement lag modeling; pre-attachment exposure separation.</w:t>
      </w:r>
    </w:p>
    <w:p>
      <w:pPr>
        <w:pStyle w:val="ListParagraph"/>
        <w:numPr>
          <w:ilvl w:val="0"/>
          <w:numId w:val="2"/>
        </w:numPr>
        <w:spacing w:after="30" w:before="30"/>
      </w:pPr>
      <w:r>
        <w:rPr>
          <w:rFonts w:ascii="Arial" w:cs="Arial" w:eastAsia="Arial" w:hAnsi="Arial"/>
          <w:color w:val="1F1F1F"/>
          <w:sz w:val="22"/>
          <w:szCs w:val="22"/>
        </w:rPr>
        <w:t xml:space="preserve">Module 11 — Cash Strategy: buffer sizing for reserve / LOC / blended strategies.</w:t>
      </w:r>
    </w:p>
    <w:p>
      <w:pPr>
        <w:pStyle w:val="ListParagraph"/>
        <w:numPr>
          <w:ilvl w:val="0"/>
          <w:numId w:val="2"/>
        </w:numPr>
        <w:spacing w:after="30" w:before="30"/>
      </w:pPr>
      <w:r>
        <w:rPr>
          <w:rFonts w:ascii="Arial" w:cs="Arial" w:eastAsia="Arial" w:hAnsi="Arial"/>
          <w:color w:val="1F1F1F"/>
          <w:sz w:val="22"/>
          <w:szCs w:val="22"/>
        </w:rPr>
        <w:t xml:space="preserve">Scenario engine with three default presets.</w:t>
      </w:r>
    </w:p>
    <w:p>
      <w:pPr>
        <w:pStyle w:val="ListParagraph"/>
        <w:numPr>
          <w:ilvl w:val="0"/>
          <w:numId w:val="2"/>
        </w:numPr>
        <w:spacing w:after="30" w:before="30"/>
      </w:pPr>
      <w:r>
        <w:rPr>
          <w:rFonts w:ascii="Arial" w:cs="Arial" w:eastAsia="Arial" w:hAnsi="Arial"/>
          <w:color w:val="1F1F1F"/>
          <w:sz w:val="22"/>
          <w:szCs w:val="22"/>
        </w:rPr>
        <w:t xml:space="preserve">Employer dashboard with the baseline comparison matrix, the capital comparison block, and the provenance footer.</w:t>
      </w:r>
    </w:p>
    <w:p>
      <w:pPr>
        <w:pStyle w:val="ListParagraph"/>
        <w:numPr>
          <w:ilvl w:val="0"/>
          <w:numId w:val="2"/>
        </w:numPr>
        <w:spacing w:after="30" w:before="30"/>
      </w:pPr>
      <w:r>
        <w:rPr>
          <w:rFonts w:ascii="Arial" w:cs="Arial" w:eastAsia="Arial" w:hAnsi="Arial"/>
          <w:color w:val="1F1F1F"/>
          <w:sz w:val="22"/>
          <w:szCs w:val="22"/>
        </w:rPr>
        <w:t xml:space="preserve">PDF report generation.</w:t>
      </w:r>
    </w:p>
    <w:p>
      <w:pPr>
        <w:pStyle w:val="ListParagraph"/>
        <w:numPr>
          <w:ilvl w:val="0"/>
          <w:numId w:val="2"/>
        </w:numPr>
        <w:spacing w:after="30" w:before="30"/>
      </w:pPr>
      <w:r>
        <w:rPr>
          <w:rFonts w:ascii="Arial" w:cs="Arial" w:eastAsia="Arial" w:hAnsi="Arial"/>
          <w:color w:val="1F1F1F"/>
          <w:sz w:val="22"/>
          <w:szCs w:val="22"/>
        </w:rPr>
        <w:t xml:space="preserve">Admin control layer: cash-pay, indemnity, repricing factors, CPT rules, event tier parameters — all version-tracked.</w:t>
      </w:r>
    </w:p>
    <w:p>
      <w:pPr>
        <w:pStyle w:val="ListParagraph"/>
        <w:numPr>
          <w:ilvl w:val="0"/>
          <w:numId w:val="2"/>
        </w:numPr>
        <w:spacing w:after="30" w:before="30"/>
      </w:pPr>
      <w:r>
        <w:rPr>
          <w:rFonts w:ascii="Arial" w:cs="Arial" w:eastAsia="Arial" w:hAnsi="Arial"/>
          <w:color w:val="1F1F1F"/>
          <w:sz w:val="22"/>
          <w:szCs w:val="22"/>
        </w:rPr>
        <w:t xml:space="preserve">Audit log.</w:t>
      </w:r>
    </w:p>
    <w:p>
      <w:pPr>
        <w:pStyle w:val="Heading2"/>
        <w:spacing w:after="120" w:before="280"/>
      </w:pPr>
      <w:r>
        <w:rPr>
          <w:rFonts w:ascii="Arial" w:cs="Arial" w:eastAsia="Arial" w:hAnsi="Arial"/>
          <w:b/>
          <w:bCs/>
          <w:color w:val="1F1F1F"/>
          <w:sz w:val="28"/>
          <w:szCs w:val="28"/>
        </w:rPr>
        <w:t xml:space="preserve">22. Phase 2 — Multi-Tenant Production (Weeks 8 to 18)</w:t>
      </w:r>
    </w:p>
    <w:p>
      <w:pPr>
        <w:spacing w:after="80" w:before="80"/>
        <w:jc w:val="left"/>
      </w:pPr>
      <w:r>
        <w:rPr>
          <w:rFonts w:ascii="Arial" w:cs="Arial" w:eastAsia="Arial" w:hAnsi="Arial"/>
          <w:b w:val="false"/>
          <w:bCs w:val="false"/>
          <w:i w:val="false"/>
          <w:iCs w:val="false"/>
          <w:color w:val="1F1F1F"/>
          <w:sz w:val="22"/>
          <w:szCs w:val="22"/>
        </w:rPr>
        <w:t xml:space="preserve">Goal: enterprise-ready SaaS with PHI-grade security.</w:t>
      </w:r>
    </w:p>
    <w:p>
      <w:pPr>
        <w:pStyle w:val="ListParagraph"/>
        <w:numPr>
          <w:ilvl w:val="0"/>
          <w:numId w:val="2"/>
        </w:numPr>
        <w:spacing w:after="30" w:before="30"/>
      </w:pPr>
      <w:r>
        <w:rPr>
          <w:rFonts w:ascii="Arial" w:cs="Arial" w:eastAsia="Arial" w:hAnsi="Arial"/>
          <w:color w:val="1F1F1F"/>
          <w:sz w:val="22"/>
          <w:szCs w:val="22"/>
        </w:rPr>
        <w:t xml:space="preserve">Multi-tenant data isolation (row-level security on every PHI-touching table).</w:t>
      </w:r>
    </w:p>
    <w:p>
      <w:pPr>
        <w:pStyle w:val="ListParagraph"/>
        <w:numPr>
          <w:ilvl w:val="0"/>
          <w:numId w:val="2"/>
        </w:numPr>
        <w:spacing w:after="30" w:before="30"/>
      </w:pPr>
      <w:r>
        <w:rPr>
          <w:rFonts w:ascii="Arial" w:cs="Arial" w:eastAsia="Arial" w:hAnsi="Arial"/>
          <w:color w:val="1F1F1F"/>
          <w:sz w:val="22"/>
          <w:szCs w:val="22"/>
        </w:rPr>
        <w:t xml:space="preserve">Auth0 or Keycloak integration with role-based access control.</w:t>
      </w:r>
    </w:p>
    <w:p>
      <w:pPr>
        <w:pStyle w:val="ListParagraph"/>
        <w:numPr>
          <w:ilvl w:val="0"/>
          <w:numId w:val="2"/>
        </w:numPr>
        <w:spacing w:after="30" w:before="30"/>
      </w:pPr>
      <w:r>
        <w:rPr>
          <w:rFonts w:ascii="Arial" w:cs="Arial" w:eastAsia="Arial" w:hAnsi="Arial"/>
          <w:color w:val="1F1F1F"/>
          <w:sz w:val="22"/>
          <w:szCs w:val="22"/>
        </w:rPr>
        <w:t xml:space="preserve">Encryption at rest (AES-256) and in transit (TLS 1.2+).</w:t>
      </w:r>
    </w:p>
    <w:p>
      <w:pPr>
        <w:pStyle w:val="ListParagraph"/>
        <w:numPr>
          <w:ilvl w:val="0"/>
          <w:numId w:val="2"/>
        </w:numPr>
        <w:spacing w:after="30" w:before="30"/>
      </w:pPr>
      <w:r>
        <w:rPr>
          <w:rFonts w:ascii="Arial" w:cs="Arial" w:eastAsia="Arial" w:hAnsi="Arial"/>
          <w:color w:val="1F1F1F"/>
          <w:sz w:val="22"/>
          <w:szCs w:val="22"/>
        </w:rPr>
        <w:t xml:space="preserve">Field-level encryption on PHI columns.</w:t>
      </w:r>
    </w:p>
    <w:p>
      <w:pPr>
        <w:pStyle w:val="ListParagraph"/>
        <w:numPr>
          <w:ilvl w:val="0"/>
          <w:numId w:val="2"/>
        </w:numPr>
        <w:spacing w:after="30" w:before="30"/>
      </w:pPr>
      <w:r>
        <w:rPr>
          <w:rFonts w:ascii="Arial" w:cs="Arial" w:eastAsia="Arial" w:hAnsi="Arial"/>
          <w:color w:val="1F1F1F"/>
          <w:sz w:val="22"/>
          <w:szCs w:val="22"/>
        </w:rPr>
        <w:t xml:space="preserve">Centralized structured logging with correlation IDs and PHI redaction.</w:t>
      </w:r>
    </w:p>
    <w:p>
      <w:pPr>
        <w:pStyle w:val="ListParagraph"/>
        <w:numPr>
          <w:ilvl w:val="0"/>
          <w:numId w:val="2"/>
        </w:numPr>
        <w:spacing w:after="30" w:before="30"/>
      </w:pPr>
      <w:r>
        <w:rPr>
          <w:rFonts w:ascii="Arial" w:cs="Arial" w:eastAsia="Arial" w:hAnsi="Arial"/>
          <w:color w:val="1F1F1F"/>
          <w:sz w:val="22"/>
          <w:szCs w:val="22"/>
        </w:rPr>
        <w:t xml:space="preserve">SOC 2 Type I readiness.</w:t>
      </w:r>
    </w:p>
    <w:p>
      <w:pPr>
        <w:pStyle w:val="ListParagraph"/>
        <w:numPr>
          <w:ilvl w:val="0"/>
          <w:numId w:val="2"/>
        </w:numPr>
        <w:spacing w:after="30" w:before="30"/>
      </w:pPr>
      <w:r>
        <w:rPr>
          <w:rFonts w:ascii="Arial" w:cs="Arial" w:eastAsia="Arial" w:hAnsi="Arial"/>
          <w:color w:val="1F1F1F"/>
          <w:sz w:val="22"/>
          <w:szCs w:val="22"/>
        </w:rPr>
        <w:t xml:space="preserve">Compliance automation platform (Vanta) operational.</w:t>
      </w:r>
    </w:p>
    <w:p>
      <w:pPr>
        <w:pStyle w:val="ListParagraph"/>
        <w:numPr>
          <w:ilvl w:val="0"/>
          <w:numId w:val="2"/>
        </w:numPr>
        <w:spacing w:after="30" w:before="30"/>
      </w:pPr>
      <w:r>
        <w:rPr>
          <w:rFonts w:ascii="Arial" w:cs="Arial" w:eastAsia="Arial" w:hAnsi="Arial"/>
          <w:color w:val="1F1F1F"/>
          <w:sz w:val="22"/>
          <w:szCs w:val="22"/>
        </w:rPr>
        <w:t xml:space="preserve">Partial Summary CSV (Mode 2) and Modeled Profile (Mode 3) ingestion paths.</w:t>
      </w:r>
    </w:p>
    <w:p>
      <w:pPr>
        <w:pStyle w:val="ListParagraph"/>
        <w:numPr>
          <w:ilvl w:val="0"/>
          <w:numId w:val="2"/>
        </w:numPr>
        <w:spacing w:after="30" w:before="30"/>
      </w:pPr>
      <w:r>
        <w:rPr>
          <w:rFonts w:ascii="Arial" w:cs="Arial" w:eastAsia="Arial" w:hAnsi="Arial"/>
          <w:color w:val="1F1F1F"/>
          <w:sz w:val="22"/>
          <w:szCs w:val="22"/>
        </w:rPr>
        <w:t xml:space="preserve">Output API for downstream OffPlan platform integration.</w:t>
      </w:r>
    </w:p>
    <w:p>
      <w:pPr>
        <w:pStyle w:val="Heading2"/>
        <w:spacing w:after="120" w:before="280"/>
      </w:pPr>
      <w:r>
        <w:rPr>
          <w:rFonts w:ascii="Arial" w:cs="Arial" w:eastAsia="Arial" w:hAnsi="Arial"/>
          <w:b/>
          <w:bCs/>
          <w:color w:val="1F1F1F"/>
          <w:sz w:val="28"/>
          <w:szCs w:val="28"/>
        </w:rPr>
        <w:t xml:space="preserve">23. Phase 3 — Underwriting Integration (Weeks 18 to 30)</w:t>
      </w:r>
    </w:p>
    <w:p>
      <w:pPr>
        <w:pStyle w:val="ListParagraph"/>
        <w:numPr>
          <w:ilvl w:val="0"/>
          <w:numId w:val="2"/>
        </w:numPr>
        <w:spacing w:after="30" w:before="30"/>
      </w:pPr>
      <w:r>
        <w:rPr>
          <w:rFonts w:ascii="Arial" w:cs="Arial" w:eastAsia="Arial" w:hAnsi="Arial"/>
          <w:color w:val="1F1F1F"/>
          <w:sz w:val="22"/>
          <w:szCs w:val="22"/>
        </w:rPr>
        <w:t xml:space="preserve">Stop-loss carrier API integration (eligibility export, claims feed).</w:t>
      </w:r>
    </w:p>
    <w:p>
      <w:pPr>
        <w:pStyle w:val="ListParagraph"/>
        <w:numPr>
          <w:ilvl w:val="0"/>
          <w:numId w:val="2"/>
        </w:numPr>
        <w:spacing w:after="30" w:before="30"/>
      </w:pPr>
      <w:r>
        <w:rPr>
          <w:rFonts w:ascii="Arial" w:cs="Arial" w:eastAsia="Arial" w:hAnsi="Arial"/>
          <w:color w:val="1F1F1F"/>
          <w:sz w:val="22"/>
          <w:szCs w:val="22"/>
        </w:rPr>
        <w:t xml:space="preserve">MGU-facing reporting (frequency and severity below attachment).</w:t>
      </w:r>
    </w:p>
    <w:p>
      <w:pPr>
        <w:pStyle w:val="ListParagraph"/>
        <w:numPr>
          <w:ilvl w:val="0"/>
          <w:numId w:val="2"/>
        </w:numPr>
        <w:spacing w:after="30" w:before="30"/>
      </w:pPr>
      <w:r>
        <w:rPr>
          <w:rFonts w:ascii="Arial" w:cs="Arial" w:eastAsia="Arial" w:hAnsi="Arial"/>
          <w:color w:val="1F1F1F"/>
          <w:sz w:val="22"/>
          <w:szCs w:val="22"/>
        </w:rPr>
        <w:t xml:space="preserve">Real-time scenario sharing with brokers.</w:t>
      </w:r>
    </w:p>
    <w:p>
      <w:pPr>
        <w:pStyle w:val="ListParagraph"/>
        <w:numPr>
          <w:ilvl w:val="0"/>
          <w:numId w:val="2"/>
        </w:numPr>
        <w:spacing w:after="30" w:before="30"/>
      </w:pPr>
      <w:r>
        <w:rPr>
          <w:rFonts w:ascii="Arial" w:cs="Arial" w:eastAsia="Arial" w:hAnsi="Arial"/>
          <w:color w:val="1F1F1F"/>
          <w:sz w:val="22"/>
          <w:szCs w:val="22"/>
        </w:rPr>
        <w:t xml:space="preserve">SOC 2 Type II observation period begins.</w:t>
      </w:r>
    </w:p>
    <w:p>
      <w:pPr>
        <w:pStyle w:val="ListParagraph"/>
        <w:numPr>
          <w:ilvl w:val="0"/>
          <w:numId w:val="2"/>
        </w:numPr>
        <w:spacing w:after="30" w:before="30"/>
      </w:pPr>
      <w:r>
        <w:rPr>
          <w:rFonts w:ascii="Arial" w:cs="Arial" w:eastAsia="Arial" w:hAnsi="Arial"/>
          <w:color w:val="1F1F1F"/>
          <w:sz w:val="22"/>
          <w:szCs w:val="22"/>
        </w:rPr>
        <w:t xml:space="preserve">Population health overlays (groups 50+ lives only).</w:t>
      </w:r>
    </w:p>
    <w:p>
      <w:pPr>
        <w:pStyle w:val="Heading1"/>
        <w:spacing w:after="160" w:before="360"/>
      </w:pPr>
      <w:r>
        <w:rPr>
          <w:rFonts w:ascii="Arial" w:cs="Arial" w:eastAsia="Arial" w:hAnsi="Arial"/>
          <w:b/>
          <w:bCs/>
          <w:color w:val="1F1F1F"/>
          <w:sz w:val="36"/>
          <w:szCs w:val="36"/>
        </w:rPr>
        <w:t xml:space="preserve">Part IX · MVP Acceptance Criteria</w:t>
      </w:r>
    </w:p>
    <w:p>
      <w:pPr>
        <w:spacing w:after="80" w:before="80"/>
        <w:jc w:val="left"/>
      </w:pPr>
      <w:r>
        <w:rPr>
          <w:rFonts w:ascii="Arial" w:cs="Arial" w:eastAsia="Arial" w:hAnsi="Arial"/>
          <w:b w:val="false"/>
          <w:bCs w:val="false"/>
          <w:i w:val="false"/>
          <w:iCs w:val="false"/>
          <w:color w:val="1F1F1F"/>
          <w:sz w:val="22"/>
          <w:szCs w:val="22"/>
        </w:rPr>
        <w:t xml:space="preserve">The MVP is complete when all of the following are demonstrably true on a real employer dataset.</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Classification layer:</w:t>
      </w:r>
    </w:p>
    <w:p>
      <w:pPr>
        <w:pStyle w:val="ListParagraph"/>
        <w:numPr>
          <w:ilvl w:val="0"/>
          <w:numId w:val="3"/>
        </w:numPr>
        <w:spacing w:after="30" w:before="30"/>
      </w:pPr>
      <w:r>
        <w:rPr>
          <w:rFonts w:ascii="Arial" w:cs="Arial" w:eastAsia="Arial" w:hAnsi="Arial"/>
          <w:color w:val="1F1F1F"/>
          <w:sz w:val="22"/>
          <w:szCs w:val="22"/>
        </w:rPr>
        <w:t xml:space="preserve">User can create an employer case via the two-question baseline wizard.</w:t>
      </w:r>
    </w:p>
    <w:p>
      <w:pPr>
        <w:pStyle w:val="ListParagraph"/>
        <w:numPr>
          <w:ilvl w:val="0"/>
          <w:numId w:val="3"/>
        </w:numPr>
        <w:spacing w:after="30" w:before="30"/>
      </w:pPr>
      <w:r>
        <w:rPr>
          <w:rFonts w:ascii="Arial" w:cs="Arial" w:eastAsia="Arial" w:hAnsi="Arial"/>
          <w:color w:val="1F1F1F"/>
          <w:sz w:val="22"/>
          <w:szCs w:val="22"/>
        </w:rPr>
        <w:t xml:space="preserve">User can upload a standardized claims CSV. System validates format and reports row-level errors.</w:t>
      </w:r>
    </w:p>
    <w:p>
      <w:pPr>
        <w:pStyle w:val="ListParagraph"/>
        <w:numPr>
          <w:ilvl w:val="0"/>
          <w:numId w:val="3"/>
        </w:numPr>
        <w:spacing w:after="30" w:before="30"/>
      </w:pPr>
      <w:r>
        <w:rPr>
          <w:rFonts w:ascii="Arial" w:cs="Arial" w:eastAsia="Arial" w:hAnsi="Arial"/>
          <w:color w:val="1F1F1F"/>
          <w:sz w:val="22"/>
          <w:szCs w:val="22"/>
        </w:rPr>
        <w:t xml:space="preserve">System normalizes claims to standard categories and assigns buckets A through E.</w:t>
      </w:r>
    </w:p>
    <w:p>
      <w:pPr>
        <w:pStyle w:val="ListParagraph"/>
        <w:numPr>
          <w:ilvl w:val="0"/>
          <w:numId w:val="3"/>
        </w:numPr>
        <w:spacing w:after="30" w:before="30"/>
      </w:pPr>
      <w:r>
        <w:rPr>
          <w:rFonts w:ascii="Arial" w:cs="Arial" w:eastAsia="Arial" w:hAnsi="Arial"/>
          <w:color w:val="1F1F1F"/>
          <w:sz w:val="22"/>
          <w:szCs w:val="22"/>
        </w:rPr>
        <w:t xml:space="preserve">Auto-classification accuracy is at least 85% on a representative dataset.</w:t>
      </w:r>
    </w:p>
    <w:p>
      <w:pPr>
        <w:pStyle w:val="ListParagraph"/>
        <w:numPr>
          <w:ilvl w:val="0"/>
          <w:numId w:val="3"/>
        </w:numPr>
        <w:spacing w:after="30" w:before="30"/>
      </w:pPr>
      <w:r>
        <w:rPr>
          <w:rFonts w:ascii="Arial" w:cs="Arial" w:eastAsia="Arial" w:hAnsi="Arial"/>
          <w:color w:val="1F1F1F"/>
          <w:sz w:val="22"/>
          <w:szCs w:val="22"/>
        </w:rPr>
        <w:t xml:space="preserve">User can manually override classification with a required reason. Override is logged to audit_log.</w:t>
      </w:r>
    </w:p>
    <w:p>
      <w:pPr>
        <w:pStyle w:val="ListParagraph"/>
        <w:numPr>
          <w:ilvl w:val="0"/>
          <w:numId w:val="3"/>
        </w:numPr>
        <w:spacing w:after="30" w:before="30"/>
      </w:pPr>
      <w:r>
        <w:rPr>
          <w:rFonts w:ascii="Arial" w:cs="Arial" w:eastAsia="Arial" w:hAnsi="Arial"/>
          <w:color w:val="1F1F1F"/>
          <w:sz w:val="22"/>
          <w:szCs w:val="22"/>
        </w:rPr>
        <w:t xml:space="preserve">User can run conservative, expected, and aggressive scenarios.</w:t>
      </w:r>
    </w:p>
    <w:p>
      <w:pPr>
        <w:pStyle w:val="ListParagraph"/>
        <w:numPr>
          <w:ilvl w:val="0"/>
          <w:numId w:val="3"/>
        </w:numPr>
        <w:spacing w:after="30" w:before="30"/>
      </w:pPr>
      <w:r>
        <w:rPr>
          <w:rFonts w:ascii="Arial" w:cs="Arial" w:eastAsia="Arial" w:hAnsi="Arial"/>
          <w:color w:val="1F1F1F"/>
          <w:sz w:val="22"/>
          <w:szCs w:val="22"/>
        </w:rPr>
        <w:t xml:space="preserve">Outputs update within 2 seconds of any scenario change (deterministic outputs).</w:t>
      </w:r>
    </w:p>
    <w:p>
      <w:pPr>
        <w:pStyle w:val="ListParagraph"/>
        <w:numPr>
          <w:ilvl w:val="0"/>
          <w:numId w:val="3"/>
        </w:numPr>
        <w:spacing w:after="30" w:before="30"/>
      </w:pPr>
      <w:r>
        <w:rPr>
          <w:rFonts w:ascii="Arial" w:cs="Arial" w:eastAsia="Arial" w:hAnsi="Arial"/>
          <w:color w:val="1F1F1F"/>
          <w:sz w:val="22"/>
          <w:szCs w:val="22"/>
        </w:rPr>
        <w:t xml:space="preserve">Dashboard displays all required KPIs and the four-line baseline comparison matrix.</w:t>
      </w:r>
    </w:p>
    <w:p>
      <w:pPr>
        <w:pStyle w:val="ListParagraph"/>
        <w:numPr>
          <w:ilvl w:val="0"/>
          <w:numId w:val="3"/>
        </w:numPr>
        <w:spacing w:after="30" w:before="30"/>
      </w:pPr>
      <w:r>
        <w:rPr>
          <w:rFonts w:ascii="Arial" w:cs="Arial" w:eastAsia="Arial" w:hAnsi="Arial"/>
          <w:color w:val="1F1F1F"/>
          <w:sz w:val="22"/>
          <w:szCs w:val="22"/>
        </w:rPr>
        <w:t xml:space="preserve">Residual claims fund and PEPM calculate correctly (sum of components equals historical claims).</w:t>
      </w:r>
    </w:p>
    <w:p>
      <w:pPr>
        <w:pStyle w:val="ListParagraph"/>
        <w:numPr>
          <w:ilvl w:val="0"/>
          <w:numId w:val="3"/>
        </w:numPr>
        <w:spacing w:after="30" w:before="30"/>
      </w:pPr>
      <w:r>
        <w:rPr>
          <w:rFonts w:ascii="Arial" w:cs="Arial" w:eastAsia="Arial" w:hAnsi="Arial"/>
          <w:color w:val="1F1F1F"/>
          <w:sz w:val="22"/>
          <w:szCs w:val="22"/>
        </w:rPr>
        <w:t xml:space="preserve">PDF report generates with the provenance footer and baseline disclosure block.</w:t>
      </w:r>
    </w:p>
    <w:p>
      <w:pPr>
        <w:pStyle w:val="ListParagraph"/>
        <w:numPr>
          <w:ilvl w:val="0"/>
          <w:numId w:val="3"/>
        </w:numPr>
        <w:spacing w:after="30" w:before="30"/>
      </w:pPr>
      <w:r>
        <w:rPr>
          <w:rFonts w:ascii="Arial" w:cs="Arial" w:eastAsia="Arial" w:hAnsi="Arial"/>
          <w:color w:val="1F1F1F"/>
          <w:sz w:val="22"/>
          <w:szCs w:val="22"/>
        </w:rPr>
        <w:t xml:space="preserve">Every output carries input_mode, confidence_level, pricing_version_id, rule_version_id, and scenario_version_id.</w:t>
      </w:r>
    </w:p>
    <w:p>
      <w:pPr>
        <w:pStyle w:val="ListParagraph"/>
        <w:numPr>
          <w:ilvl w:val="0"/>
          <w:numId w:val="3"/>
        </w:numPr>
        <w:spacing w:after="30" w:before="30"/>
      </w:pPr>
      <w:r>
        <w:rPr>
          <w:rFonts w:ascii="Arial" w:cs="Arial" w:eastAsia="Arial" w:hAnsi="Arial"/>
          <w:color w:val="1F1F1F"/>
          <w:sz w:val="22"/>
          <w:szCs w:val="22"/>
        </w:rPr>
        <w:t xml:space="preserve">Admin can edit cash prices, indemnity benefits, repricing factors, and event tier parameters. Each edit creates a new version and writes to admin_audit_log.</w:t>
      </w:r>
    </w:p>
    <w:p>
      <w:pPr>
        <w:pStyle w:val="ListParagraph"/>
        <w:numPr>
          <w:ilvl w:val="0"/>
          <w:numId w:val="3"/>
        </w:numPr>
        <w:spacing w:after="30" w:before="30"/>
      </w:pPr>
      <w:r>
        <w:rPr>
          <w:rFonts w:ascii="Arial" w:cs="Arial" w:eastAsia="Arial" w:hAnsi="Arial"/>
          <w:color w:val="1F1F1F"/>
          <w:sz w:val="22"/>
          <w:szCs w:val="22"/>
        </w:rPr>
        <w:t xml:space="preserve">Re-running a saved scenario produces identical output regardless of subsequent admin changes.</w:t>
      </w:r>
    </w:p>
    <w:p>
      <w:pPr>
        <w:pStyle w:val="ListParagraph"/>
        <w:numPr>
          <w:ilvl w:val="0"/>
          <w:numId w:val="3"/>
        </w:numPr>
        <w:spacing w:after="30" w:before="30"/>
      </w:pPr>
      <w:r>
        <w:rPr>
          <w:rFonts w:ascii="Arial" w:cs="Arial" w:eastAsia="Arial" w:hAnsi="Arial"/>
          <w:color w:val="1F1F1F"/>
          <w:sz w:val="22"/>
          <w:szCs w:val="22"/>
        </w:rPr>
        <w:t xml:space="preserve">Multi-tenant: data from Employer A is not accessible to a user scoped to Employer B.</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Liquidity layer (per Liquidity &amp; Capital Modeling Spec v1.1):</w:t>
      </w:r>
    </w:p>
    <w:p>
      <w:pPr>
        <w:pStyle w:val="ListParagraph"/>
        <w:numPr>
          <w:ilvl w:val="0"/>
          <w:numId w:val="3"/>
        </w:numPr>
        <w:spacing w:after="30" w:before="30"/>
      </w:pPr>
      <w:r>
        <w:rPr>
          <w:rFonts w:ascii="Arial" w:cs="Arial" w:eastAsia="Arial" w:hAnsi="Arial"/>
          <w:color w:val="1F1F1F"/>
          <w:sz w:val="22"/>
          <w:szCs w:val="22"/>
        </w:rPr>
        <w:t xml:space="preserve">Stochastic simulator runs Monte Carlo iterations on a 200-life population for 10,000 runs in under 2 minutes.</w:t>
      </w:r>
    </w:p>
    <w:p>
      <w:pPr>
        <w:pStyle w:val="ListParagraph"/>
        <w:numPr>
          <w:ilvl w:val="0"/>
          <w:numId w:val="3"/>
        </w:numPr>
        <w:spacing w:after="30" w:before="30"/>
      </w:pPr>
      <w:r>
        <w:rPr>
          <w:rFonts w:ascii="Arial" w:cs="Arial" w:eastAsia="Arial" w:hAnsi="Arial"/>
          <w:color w:val="1F1F1F"/>
          <w:sz w:val="22"/>
          <w:szCs w:val="22"/>
        </w:rPr>
        <w:t xml:space="preserve">Run count auto-scales: 10,000 runs (≥75 lives), 25,000 runs (50–74 lives), 50,000 runs (&lt;50 lives).</w:t>
      </w:r>
    </w:p>
    <w:p>
      <w:pPr>
        <w:pStyle w:val="ListParagraph"/>
        <w:numPr>
          <w:ilvl w:val="0"/>
          <w:numId w:val="3"/>
        </w:numPr>
        <w:spacing w:after="30" w:before="30"/>
      </w:pPr>
      <w:r>
        <w:rPr>
          <w:rFonts w:ascii="Arial" w:cs="Arial" w:eastAsia="Arial" w:hAnsi="Arial"/>
          <w:color w:val="1F1F1F"/>
          <w:sz w:val="22"/>
          <w:szCs w:val="22"/>
        </w:rPr>
        <w:t xml:space="preserve">Simulator uses heavy-tail mixture distributions (Pareto + log-normal) for inpatient tiers, calibrated against published actuarial benchmarks.</w:t>
      </w:r>
    </w:p>
    <w:p>
      <w:pPr>
        <w:pStyle w:val="ListParagraph"/>
        <w:numPr>
          <w:ilvl w:val="0"/>
          <w:numId w:val="3"/>
        </w:numPr>
        <w:spacing w:after="30" w:before="30"/>
      </w:pPr>
      <w:r>
        <w:rPr>
          <w:rFonts w:ascii="Arial" w:cs="Arial" w:eastAsia="Arial" w:hAnsi="Arial"/>
          <w:color w:val="1F1F1F"/>
          <w:sz w:val="22"/>
          <w:szCs w:val="22"/>
        </w:rPr>
        <w:t xml:space="preserve">Chronic flags drive joint multipliers across tiers, not independent multipliers.</w:t>
      </w:r>
    </w:p>
    <w:p>
      <w:pPr>
        <w:pStyle w:val="ListParagraph"/>
        <w:numPr>
          <w:ilvl w:val="0"/>
          <w:numId w:val="3"/>
        </w:numPr>
        <w:spacing w:after="30" w:before="30"/>
      </w:pPr>
      <w:r>
        <w:rPr>
          <w:rFonts w:ascii="Arial" w:cs="Arial" w:eastAsia="Arial" w:hAnsi="Arial"/>
          <w:color w:val="1F1F1F"/>
          <w:sz w:val="22"/>
          <w:szCs w:val="22"/>
        </w:rPr>
        <w:t xml:space="preserve">Within-member sequential clustering implemented per-tier (complication_probability, complication_lag_days_distribution).</w:t>
      </w:r>
    </w:p>
    <w:p>
      <w:pPr>
        <w:pStyle w:val="ListParagraph"/>
        <w:numPr>
          <w:ilvl w:val="0"/>
          <w:numId w:val="3"/>
        </w:numPr>
        <w:spacing w:after="30" w:before="30"/>
      </w:pPr>
      <w:r>
        <w:rPr>
          <w:rFonts w:ascii="Arial" w:cs="Arial" w:eastAsia="Arial" w:hAnsi="Arial"/>
          <w:color w:val="1F1F1F"/>
          <w:sz w:val="22"/>
          <w:szCs w:val="22"/>
        </w:rPr>
        <w:t xml:space="preserve">Engine produces P50, P75, P90, P95, and P99 monthly outflow on rolling 30-day windows with bootstrap 95% CI.</w:t>
      </w:r>
    </w:p>
    <w:p>
      <w:pPr>
        <w:pStyle w:val="ListParagraph"/>
        <w:numPr>
          <w:ilvl w:val="0"/>
          <w:numId w:val="3"/>
        </w:numPr>
        <w:spacing w:after="30" w:before="30"/>
      </w:pPr>
      <w:r>
        <w:rPr>
          <w:rFonts w:ascii="Arial" w:cs="Arial" w:eastAsia="Arial" w:hAnsi="Arial"/>
          <w:color w:val="1F1F1F"/>
          <w:sz w:val="22"/>
          <w:szCs w:val="22"/>
        </w:rPr>
        <w:t xml:space="preserve">Standard error on P95 remains below 5% of estimate value.</w:t>
      </w:r>
    </w:p>
    <w:p>
      <w:pPr>
        <w:pStyle w:val="ListParagraph"/>
        <w:numPr>
          <w:ilvl w:val="0"/>
          <w:numId w:val="3"/>
        </w:numPr>
        <w:spacing w:after="30" w:before="30"/>
      </w:pPr>
      <w:r>
        <w:rPr>
          <w:rFonts w:ascii="Arial" w:cs="Arial" w:eastAsia="Arial" w:hAnsi="Arial"/>
          <w:color w:val="1F1F1F"/>
          <w:sz w:val="22"/>
          <w:szCs w:val="22"/>
        </w:rPr>
        <w:t xml:space="preserve">Engine produces both calendar-month and rolling-30-day views; rolling 60-day available as supplementary.</w:t>
      </w:r>
    </w:p>
    <w:p>
      <w:pPr>
        <w:pStyle w:val="ListParagraph"/>
        <w:numPr>
          <w:ilvl w:val="0"/>
          <w:numId w:val="3"/>
        </w:numPr>
        <w:spacing w:after="30" w:before="30"/>
      </w:pPr>
      <w:r>
        <w:rPr>
          <w:rFonts w:ascii="Arial" w:cs="Arial" w:eastAsia="Arial" w:hAnsi="Arial"/>
          <w:color w:val="1F1F1F"/>
          <w:sz w:val="22"/>
          <w:szCs w:val="22"/>
        </w:rPr>
        <w:t xml:space="preserve">Indemnity offset is applied per-event in simulation, not as a flat reduction.</w:t>
      </w:r>
    </w:p>
    <w:p>
      <w:pPr>
        <w:pStyle w:val="ListParagraph"/>
        <w:numPr>
          <w:ilvl w:val="0"/>
          <w:numId w:val="3"/>
        </w:numPr>
        <w:spacing w:after="30" w:before="30"/>
      </w:pPr>
      <w:r>
        <w:rPr>
          <w:rFonts w:ascii="Arial" w:cs="Arial" w:eastAsia="Arial" w:hAnsi="Arial"/>
          <w:color w:val="1F1F1F"/>
          <w:sz w:val="22"/>
          <w:szCs w:val="22"/>
        </w:rPr>
        <w:t xml:space="preserve">Stop-loss layer tracks attachment per-member with reimbursement lag (default 30 to 60 days).</w:t>
      </w:r>
    </w:p>
    <w:p>
      <w:pPr>
        <w:pStyle w:val="ListParagraph"/>
        <w:numPr>
          <w:ilvl w:val="0"/>
          <w:numId w:val="3"/>
        </w:numPr>
        <w:spacing w:after="30" w:before="30"/>
      </w:pPr>
      <w:r>
        <w:rPr>
          <w:rFonts w:ascii="Arial" w:cs="Arial" w:eastAsia="Arial" w:hAnsi="Arial"/>
          <w:color w:val="1F1F1F"/>
          <w:sz w:val="22"/>
          <w:szCs w:val="22"/>
        </w:rPr>
        <w:t xml:space="preserve">Liquidity is sized against gross outflow during reimbursement lag (not net post-reimbursement exposure).</w:t>
      </w:r>
    </w:p>
    <w:p>
      <w:pPr>
        <w:pStyle w:val="ListParagraph"/>
        <w:numPr>
          <w:ilvl w:val="0"/>
          <w:numId w:val="3"/>
        </w:numPr>
        <w:spacing w:after="30" w:before="30"/>
      </w:pPr>
      <w:r>
        <w:rPr>
          <w:rFonts w:ascii="Arial" w:cs="Arial" w:eastAsia="Arial" w:hAnsi="Arial"/>
          <w:color w:val="1F1F1F"/>
          <w:sz w:val="22"/>
          <w:szCs w:val="22"/>
        </w:rPr>
        <w:t xml:space="preserve">Replenishment model enabled by default: monthly fixed contribution = Expected Residual Spend × covered_lives, credited 1st of each month.</w:t>
      </w:r>
    </w:p>
    <w:p>
      <w:pPr>
        <w:pStyle w:val="ListParagraph"/>
        <w:numPr>
          <w:ilvl w:val="0"/>
          <w:numId w:val="3"/>
        </w:numPr>
        <w:spacing w:after="30" w:before="30"/>
      </w:pPr>
      <w:r>
        <w:rPr>
          <w:rFonts w:ascii="Arial" w:cs="Arial" w:eastAsia="Arial" w:hAnsi="Arial"/>
          <w:color w:val="1F1F1F"/>
          <w:sz w:val="22"/>
          <w:szCs w:val="22"/>
        </w:rPr>
        <w:t xml:space="preserve">Engine produces Executive Summary block: Equivalent Level-Funded Total Cost, Expected Residual Spend, Minimum Required Liquidity, CER, Liquidity Reduction.</w:t>
      </w:r>
    </w:p>
    <w:p>
      <w:pPr>
        <w:pStyle w:val="ListParagraph"/>
        <w:numPr>
          <w:ilvl w:val="0"/>
          <w:numId w:val="3"/>
        </w:numPr>
        <w:spacing w:after="30" w:before="30"/>
      </w:pPr>
      <w:r>
        <w:rPr>
          <w:rFonts w:ascii="Arial" w:cs="Arial" w:eastAsia="Arial" w:hAnsi="Arial"/>
          <w:color w:val="1F1F1F"/>
          <w:sz w:val="22"/>
          <w:szCs w:val="22"/>
        </w:rPr>
        <w:t xml:space="preserve">Engine produces Liquidity Profile block: Mean Monthly Outflow, P50–P99, LCR, SCR, rolling window assumption.</w:t>
      </w:r>
    </w:p>
    <w:p>
      <w:pPr>
        <w:pStyle w:val="ListParagraph"/>
        <w:numPr>
          <w:ilvl w:val="0"/>
          <w:numId w:val="3"/>
        </w:numPr>
        <w:spacing w:after="30" w:before="30"/>
      </w:pPr>
      <w:r>
        <w:rPr>
          <w:rFonts w:ascii="Arial" w:cs="Arial" w:eastAsia="Arial" w:hAnsi="Arial"/>
          <w:color w:val="1F1F1F"/>
          <w:sz w:val="22"/>
          <w:szCs w:val="22"/>
        </w:rPr>
        <w:t xml:space="preserve">Equivalent Level-Funded Total Cost computed total-to-total (claims pool × multiplier + stop-loss + TPA + network + broker).</w:t>
      </w:r>
    </w:p>
    <w:p>
      <w:pPr>
        <w:pStyle w:val="ListParagraph"/>
        <w:numPr>
          <w:ilvl w:val="0"/>
          <w:numId w:val="3"/>
        </w:numPr>
        <w:spacing w:after="30" w:before="30"/>
      </w:pPr>
      <w:r>
        <w:rPr>
          <w:rFonts w:ascii="Arial" w:cs="Arial" w:eastAsia="Arial" w:hAnsi="Arial"/>
          <w:color w:val="1F1F1F"/>
          <w:sz w:val="22"/>
          <w:szCs w:val="22"/>
        </w:rPr>
        <w:t xml:space="preserve">Engine produces buffer-sizing recommendations for reserve, LOC, and blended cash strategies, sized against post-replenishment drawdown.</w:t>
      </w:r>
    </w:p>
    <w:p>
      <w:pPr>
        <w:pStyle w:val="ListParagraph"/>
        <w:numPr>
          <w:ilvl w:val="0"/>
          <w:numId w:val="3"/>
        </w:numPr>
        <w:spacing w:after="30" w:before="30"/>
      </w:pPr>
      <w:r>
        <w:rPr>
          <w:rFonts w:ascii="Arial" w:cs="Arial" w:eastAsia="Arial" w:hAnsi="Arial"/>
          <w:color w:val="1F1F1F"/>
          <w:sz w:val="22"/>
          <w:szCs w:val="22"/>
        </w:rPr>
        <w:t xml:space="preserve">Re-running a saved simulation with same seed produces identical event streams.</w:t>
      </w:r>
    </w:p>
    <w:p>
      <w:pPr>
        <w:pStyle w:val="ListParagraph"/>
        <w:numPr>
          <w:ilvl w:val="0"/>
          <w:numId w:val="3"/>
        </w:numPr>
        <w:spacing w:after="30" w:before="30"/>
      </w:pPr>
      <w:r>
        <w:rPr>
          <w:rFonts w:ascii="Arial" w:cs="Arial" w:eastAsia="Arial" w:hAnsi="Arial"/>
          <w:color w:val="1F1F1F"/>
          <w:sz w:val="22"/>
          <w:szCs w:val="22"/>
        </w:rPr>
        <w:t xml:space="preserve">Calibration test passes: simulator mean within 2% of deterministic engine output.</w:t>
      </w:r>
    </w:p>
    <w:p>
      <w:pPr>
        <w:pStyle w:val="ListParagraph"/>
        <w:numPr>
          <w:ilvl w:val="0"/>
          <w:numId w:val="3"/>
        </w:numPr>
        <w:spacing w:after="30" w:before="30"/>
      </w:pPr>
      <w:r>
        <w:rPr>
          <w:rFonts w:ascii="Arial" w:cs="Arial" w:eastAsia="Arial" w:hAnsi="Arial"/>
          <w:color w:val="1F1F1F"/>
          <w:sz w:val="22"/>
          <w:szCs w:val="22"/>
        </w:rPr>
        <w:t xml:space="preserve">Tail test passes: P99 falls within published actuarial benchmarks (5–8x mean for 200-life population).</w:t>
      </w:r>
    </w:p>
    <w:p>
      <w:pPr>
        <w:pStyle w:val="ListParagraph"/>
        <w:numPr>
          <w:ilvl w:val="0"/>
          <w:numId w:val="3"/>
        </w:numPr>
        <w:spacing w:after="30" w:before="30"/>
      </w:pPr>
      <w:r>
        <w:rPr>
          <w:rFonts w:ascii="Arial" w:cs="Arial" w:eastAsia="Arial" w:hAnsi="Arial"/>
          <w:color w:val="1F1F1F"/>
          <w:sz w:val="22"/>
          <w:szCs w:val="22"/>
        </w:rPr>
        <w:t xml:space="preserve">Chronic correlation test: removing joint correlation drops P95 by 8 to 15%.</w:t>
      </w:r>
    </w:p>
    <w:p>
      <w:pPr>
        <w:pStyle w:val="ListParagraph"/>
        <w:numPr>
          <w:ilvl w:val="0"/>
          <w:numId w:val="3"/>
        </w:numPr>
        <w:spacing w:after="30" w:before="30"/>
      </w:pPr>
      <w:r>
        <w:rPr>
          <w:rFonts w:ascii="Arial" w:cs="Arial" w:eastAsia="Arial" w:hAnsi="Arial"/>
          <w:color w:val="1F1F1F"/>
          <w:sz w:val="22"/>
          <w:szCs w:val="22"/>
        </w:rPr>
        <w:t xml:space="preserve">Stop-loss test: reducing attachment from $50K to $25K reduces P95 by 25 to 40%.</w:t>
      </w:r>
    </w:p>
    <w:p>
      <w:pPr>
        <w:pStyle w:val="ListParagraph"/>
        <w:numPr>
          <w:ilvl w:val="0"/>
          <w:numId w:val="3"/>
        </w:numPr>
        <w:spacing w:after="30" w:before="30"/>
      </w:pPr>
      <w:r>
        <w:rPr>
          <w:rFonts w:ascii="Arial" w:cs="Arial" w:eastAsia="Arial" w:hAnsi="Arial"/>
          <w:color w:val="1F1F1F"/>
          <w:sz w:val="22"/>
          <w:szCs w:val="22"/>
        </w:rPr>
        <w:t xml:space="preserve">Replenishment test: disabling replenishment increases P95 by 20 to 35%.</w:t>
      </w:r>
    </w:p>
    <w:p>
      <w:pPr>
        <w:pStyle w:val="ListParagraph"/>
        <w:numPr>
          <w:ilvl w:val="0"/>
          <w:numId w:val="3"/>
        </w:numPr>
        <w:spacing w:after="30" w:before="30"/>
      </w:pPr>
      <w:r>
        <w:rPr>
          <w:rFonts w:ascii="Arial" w:cs="Arial" w:eastAsia="Arial" w:hAnsi="Arial"/>
          <w:color w:val="1F1F1F"/>
          <w:sz w:val="22"/>
          <w:szCs w:val="22"/>
        </w:rPr>
        <w:t xml:space="preserve">Sequential clustering test: enabling baseline complication parameters increases P95 by 6 to 10%.</w:t>
      </w:r>
    </w:p>
    <w:p>
      <w:pPr>
        <w:pStyle w:val="Heading2"/>
        <w:spacing w:after="120" w:before="280"/>
      </w:pPr>
      <w:r>
        <w:rPr>
          <w:rFonts w:ascii="Arial" w:cs="Arial" w:eastAsia="Arial" w:hAnsi="Arial"/>
          <w:b/>
          <w:bCs/>
          <w:color w:val="1F1F1F"/>
          <w:sz w:val="28"/>
          <w:szCs w:val="28"/>
        </w:rPr>
        <w:t xml:space="preserve">24. Performance Targets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Target</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Max claims file size</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100,000 rows</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Initial processing time</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Under 30 seconds for 50,000 rows</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Scenario recalculation (deterministic)</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Under 2 seconds</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Stochastic simulation (200 lives × 10,000 runs)</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Under 2 minutes</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Liquidity engine aggregation</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Under 30 seconds</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Total: CSV upload to capital comparison output</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Under 5 minutes</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Concurrent users (Phase 1)</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Up to 50</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Concurrent users (Phase 2)</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Up to 500 across tenants</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Dashboard refresh latency</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Under 500ms</w:t>
            </w:r>
          </w:p>
        </w:tc>
      </w:tr>
    </w:tbl>
    <w:p>
      <w:pPr>
        <w:pStyle w:val="Heading1"/>
        <w:spacing w:after="160" w:before="360"/>
      </w:pPr>
      <w:r>
        <w:rPr>
          <w:rFonts w:ascii="Arial" w:cs="Arial" w:eastAsia="Arial" w:hAnsi="Arial"/>
          <w:b/>
          <w:bCs/>
          <w:color w:val="1F1F1F"/>
          <w:sz w:val="36"/>
          <w:szCs w:val="36"/>
        </w:rPr>
        <w:t xml:space="preserve">Part X · Out of Scope (Explicit)</w:t>
      </w:r>
    </w:p>
    <w:p>
      <w:pPr>
        <w:spacing w:after="80" w:before="80"/>
        <w:jc w:val="left"/>
      </w:pPr>
      <w:r>
        <w:rPr>
          <w:rFonts w:ascii="Arial" w:cs="Arial" w:eastAsia="Arial" w:hAnsi="Arial"/>
          <w:b w:val="false"/>
          <w:bCs w:val="false"/>
          <w:i/>
          <w:iCs/>
          <w:color w:val="1F1F1F"/>
          <w:sz w:val="22"/>
          <w:szCs w:val="22"/>
        </w:rPr>
        <w:t xml:space="preserve">The following are deliberately excluded from the engine. They belong elsewhere in the OffPlan platform or to Phase 3 and beyond. Build conversations should not assume these capabilities are present.</w:t>
      </w:r>
    </w:p>
    <w:p>
      <w:pPr>
        <w:pStyle w:val="ListParagraph"/>
        <w:numPr>
          <w:ilvl w:val="0"/>
          <w:numId w:val="2"/>
        </w:numPr>
        <w:spacing w:after="30" w:before="30"/>
      </w:pPr>
      <w:r>
        <w:rPr>
          <w:rFonts w:ascii="Arial" w:cs="Arial" w:eastAsia="Arial" w:hAnsi="Arial"/>
          <w:color w:val="1F1F1F"/>
          <w:sz w:val="22"/>
          <w:szCs w:val="22"/>
        </w:rPr>
        <w:t xml:space="preserve">Carrier file ingestion in non-CSV formats (carrier-specific PDF, custom XML).</w:t>
      </w:r>
    </w:p>
    <w:p>
      <w:pPr>
        <w:pStyle w:val="ListParagraph"/>
        <w:numPr>
          <w:ilvl w:val="0"/>
          <w:numId w:val="2"/>
        </w:numPr>
        <w:spacing w:after="30" w:before="30"/>
      </w:pPr>
      <w:r>
        <w:rPr>
          <w:rFonts w:ascii="Arial" w:cs="Arial" w:eastAsia="Arial" w:hAnsi="Arial"/>
          <w:color w:val="1F1F1F"/>
          <w:sz w:val="22"/>
          <w:szCs w:val="22"/>
        </w:rPr>
        <w:t xml:space="preserve">AI-based claim classification (Phase 3 only; rules engine is sufficient for MVP).</w:t>
      </w:r>
    </w:p>
    <w:p>
      <w:pPr>
        <w:pStyle w:val="ListParagraph"/>
        <w:numPr>
          <w:ilvl w:val="0"/>
          <w:numId w:val="2"/>
        </w:numPr>
        <w:spacing w:after="30" w:before="30"/>
      </w:pPr>
      <w:r>
        <w:rPr>
          <w:rFonts w:ascii="Arial" w:cs="Arial" w:eastAsia="Arial" w:hAnsi="Arial"/>
          <w:color w:val="1F1F1F"/>
          <w:sz w:val="22"/>
          <w:szCs w:val="22"/>
        </w:rPr>
        <w:t xml:space="preserve">Full actuarial projection model with stochastic simulation.</w:t>
      </w:r>
    </w:p>
    <w:p>
      <w:pPr>
        <w:pStyle w:val="ListParagraph"/>
        <w:numPr>
          <w:ilvl w:val="0"/>
          <w:numId w:val="2"/>
        </w:numPr>
        <w:spacing w:after="30" w:before="30"/>
      </w:pPr>
      <w:r>
        <w:rPr>
          <w:rFonts w:ascii="Arial" w:cs="Arial" w:eastAsia="Arial" w:hAnsi="Arial"/>
          <w:color w:val="1F1F1F"/>
          <w:sz w:val="22"/>
          <w:szCs w:val="22"/>
        </w:rPr>
        <w:t xml:space="preserve">Live TPA API integrations for claims feed.</w:t>
      </w:r>
    </w:p>
    <w:p>
      <w:pPr>
        <w:pStyle w:val="ListParagraph"/>
        <w:numPr>
          <w:ilvl w:val="0"/>
          <w:numId w:val="2"/>
        </w:numPr>
        <w:spacing w:after="30" w:before="30"/>
      </w:pPr>
      <w:r>
        <w:rPr>
          <w:rFonts w:ascii="Arial" w:cs="Arial" w:eastAsia="Arial" w:hAnsi="Arial"/>
          <w:color w:val="1F1F1F"/>
          <w:sz w:val="22"/>
          <w:szCs w:val="22"/>
        </w:rPr>
        <w:t xml:space="preserve">Carrier quoting integrations and real-time stop-loss pricing.</w:t>
      </w:r>
    </w:p>
    <w:p>
      <w:pPr>
        <w:pStyle w:val="ListParagraph"/>
        <w:numPr>
          <w:ilvl w:val="0"/>
          <w:numId w:val="2"/>
        </w:numPr>
        <w:spacing w:after="30" w:before="30"/>
      </w:pPr>
      <w:r>
        <w:rPr>
          <w:rFonts w:ascii="Arial" w:cs="Arial" w:eastAsia="Arial" w:hAnsi="Arial"/>
          <w:color w:val="1F1F1F"/>
          <w:sz w:val="22"/>
          <w:szCs w:val="22"/>
        </w:rPr>
        <w:t xml:space="preserve">Member-level clinical risk scoring.</w:t>
      </w:r>
    </w:p>
    <w:p>
      <w:pPr>
        <w:pStyle w:val="ListParagraph"/>
        <w:numPr>
          <w:ilvl w:val="0"/>
          <w:numId w:val="2"/>
        </w:numPr>
        <w:spacing w:after="30" w:before="30"/>
      </w:pPr>
      <w:r>
        <w:rPr>
          <w:rFonts w:ascii="Arial" w:cs="Arial" w:eastAsia="Arial" w:hAnsi="Arial"/>
          <w:color w:val="1F1F1F"/>
          <w:sz w:val="22"/>
          <w:szCs w:val="22"/>
        </w:rPr>
        <w:t xml:space="preserve">Multi-year trend forecasting beyond simple year-over-year comparison.</w:t>
      </w:r>
    </w:p>
    <w:p>
      <w:pPr>
        <w:pStyle w:val="ListParagraph"/>
        <w:numPr>
          <w:ilvl w:val="0"/>
          <w:numId w:val="2"/>
        </w:numPr>
        <w:spacing w:after="30" w:before="30"/>
      </w:pPr>
      <w:r>
        <w:rPr>
          <w:rFonts w:ascii="Arial" w:cs="Arial" w:eastAsia="Arial" w:hAnsi="Arial"/>
          <w:color w:val="1F1F1F"/>
          <w:sz w:val="22"/>
          <w:szCs w:val="22"/>
        </w:rPr>
        <w:t xml:space="preserve">Provider directory or scheduling functionality.</w:t>
      </w:r>
    </w:p>
    <w:p>
      <w:pPr>
        <w:pStyle w:val="ListParagraph"/>
        <w:numPr>
          <w:ilvl w:val="0"/>
          <w:numId w:val="2"/>
        </w:numPr>
        <w:spacing w:after="30" w:before="30"/>
      </w:pPr>
      <w:r>
        <w:rPr>
          <w:rFonts w:ascii="Arial" w:cs="Arial" w:eastAsia="Arial" w:hAnsi="Arial"/>
          <w:color w:val="1F1F1F"/>
          <w:sz w:val="22"/>
          <w:szCs w:val="22"/>
        </w:rPr>
        <w:t xml:space="preserve">Patient-facing experiences (this is an internal/broker tool, not a member tool).</w:t>
      </w:r>
    </w:p>
    <w:p>
      <w:pPr>
        <w:pStyle w:val="Heading1"/>
        <w:spacing w:after="160" w:before="360"/>
      </w:pPr>
      <w:r>
        <w:rPr>
          <w:rFonts w:ascii="Arial" w:cs="Arial" w:eastAsia="Arial" w:hAnsi="Arial"/>
          <w:b/>
          <w:bCs/>
          <w:color w:val="1F1F1F"/>
          <w:sz w:val="36"/>
          <w:szCs w:val="36"/>
        </w:rPr>
        <w:t xml:space="preserve">Part XI · Final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pPr>
              <w:spacing w:after="0" w:before="0" w:line="240"/>
            </w:pPr>
            <w:r>
              <w:rPr>
                <w:rFonts w:ascii="Arial" w:cs="Arial" w:eastAsia="Arial" w:hAnsi="Arial"/>
                <w:b w:val="false"/>
                <w:bCs w:val="false"/>
                <w:i/>
                <w:iCs/>
                <w:color w:val="1F1F1F"/>
                <w:sz w:val="22"/>
                <w:szCs w:val="22"/>
              </w:rPr>
              <w:t xml:space="preserve">Traditional questions:</w:t>
            </w:r>
          </w:p>
          <w:p>
            <w:pPr>
              <w:spacing w:after="0" w:before="0" w:line="240"/>
            </w:pPr>
            <w:r>
              <w:rPr>
                <w:rFonts w:ascii="Arial" w:cs="Arial" w:eastAsia="Arial" w:hAnsi="Arial"/>
                <w:b w:val="false"/>
                <w:bCs w:val="false"/>
                <w:i/>
                <w:iCs/>
                <w:color w:val="1F1F1F"/>
                <w:sz w:val="22"/>
                <w:szCs w:val="22"/>
              </w:rPr>
              <w:t xml:space="preserve">  How do we fund all claims?</w:t>
            </w:r>
          </w:p>
          <w:p>
            <w:pPr>
              <w:spacing w:after="0" w:before="0" w:line="240"/>
            </w:pPr>
            <w:r>
              <w:rPr>
                <w:rFonts w:ascii="Arial" w:cs="Arial" w:eastAsia="Arial" w:hAnsi="Arial"/>
                <w:b w:val="false"/>
                <w:bCs w:val="false"/>
                <w:i/>
                <w:iCs/>
                <w:color w:val="1F1F1F"/>
                <w:sz w:val="22"/>
                <w:szCs w:val="22"/>
              </w:rPr>
              <w:t xml:space="preserve">  How much should we reserve?</w:t>
            </w:r>
          </w:p>
          <w:p>
            <w:pPr>
              <w:spacing w:after="0" w:before="0" w:line="240"/>
            </w:pPr>
            <w:r>
              <w:rPr>
                <w:rFonts w:ascii="Arial" w:cs="Arial" w:eastAsia="Arial" w:hAnsi="Arial"/>
                <w:b w:val="false"/>
                <w:bCs w:val="false"/>
                <w:i/>
                <w:iCs/>
                <w:color w:val="1F1F1F"/>
                <w:sz w:val="22"/>
                <w:szCs w:val="22"/>
              </w:rPr>
              <w:t xml:space="preserve"> </w:t>
            </w:r>
          </w:p>
          <w:p>
            <w:pPr>
              <w:spacing w:after="0" w:before="0" w:line="240"/>
            </w:pPr>
            <w:r>
              <w:rPr>
                <w:rFonts w:ascii="Arial" w:cs="Arial" w:eastAsia="Arial" w:hAnsi="Arial"/>
                <w:b w:val="false"/>
                <w:bCs w:val="false"/>
                <w:i/>
                <w:iCs/>
                <w:color w:val="1F1F1F"/>
                <w:sz w:val="22"/>
                <w:szCs w:val="22"/>
              </w:rPr>
              <w:t xml:space="preserve">OffPlan questions:</w:t>
            </w:r>
          </w:p>
          <w:p>
            <w:pPr>
              <w:spacing w:after="0" w:before="0" w:line="240"/>
            </w:pPr>
            <w:r>
              <w:rPr>
                <w:rFonts w:ascii="Arial" w:cs="Arial" w:eastAsia="Arial" w:hAnsi="Arial"/>
                <w:b w:val="false"/>
                <w:bCs w:val="false"/>
                <w:i/>
                <w:iCs/>
                <w:color w:val="1F1F1F"/>
                <w:sz w:val="22"/>
                <w:szCs w:val="22"/>
              </w:rPr>
              <w:t xml:space="preserve">  Which of these should never have been claims?</w:t>
            </w:r>
          </w:p>
          <w:p>
            <w:pPr>
              <w:spacing w:after="0" w:before="0" w:line="240"/>
            </w:pPr>
            <w:r>
              <w:rPr>
                <w:rFonts w:ascii="Arial" w:cs="Arial" w:eastAsia="Arial" w:hAnsi="Arial"/>
                <w:b w:val="false"/>
                <w:bCs w:val="false"/>
                <w:i/>
                <w:iCs/>
                <w:color w:val="1F1F1F"/>
                <w:sz w:val="22"/>
                <w:szCs w:val="22"/>
              </w:rPr>
              <w:t xml:space="preserve">  How little capital do we actually need to hold?</w:t>
            </w:r>
          </w:p>
        </w:tc>
      </w:tr>
    </w:tbl>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Every screen, every report, every API response must consistently communicate two paired outputs:</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Classification (what changes):</w:t>
      </w:r>
    </w:p>
    <w:p>
      <w:pPr>
        <w:pStyle w:val="ListParagraph"/>
        <w:numPr>
          <w:ilvl w:val="0"/>
          <w:numId w:val="2"/>
        </w:numPr>
        <w:spacing w:after="30" w:before="30"/>
      </w:pPr>
      <w:r>
        <w:rPr>
          <w:rFonts w:ascii="Arial" w:cs="Arial" w:eastAsia="Arial" w:hAnsi="Arial"/>
          <w:color w:val="1F1F1F"/>
          <w:sz w:val="22"/>
          <w:szCs w:val="22"/>
        </w:rPr>
        <w:t xml:space="preserve">What disappears.</w:t>
      </w:r>
    </w:p>
    <w:p>
      <w:pPr>
        <w:pStyle w:val="ListParagraph"/>
        <w:numPr>
          <w:ilvl w:val="0"/>
          <w:numId w:val="2"/>
        </w:numPr>
        <w:spacing w:after="30" w:before="30"/>
      </w:pPr>
      <w:r>
        <w:rPr>
          <w:rFonts w:ascii="Arial" w:cs="Arial" w:eastAsia="Arial" w:hAnsi="Arial"/>
          <w:color w:val="1F1F1F"/>
          <w:sz w:val="22"/>
          <w:szCs w:val="22"/>
        </w:rPr>
        <w:t xml:space="preserve">What gets cheaper.</w:t>
      </w:r>
    </w:p>
    <w:p>
      <w:pPr>
        <w:pStyle w:val="ListParagraph"/>
        <w:numPr>
          <w:ilvl w:val="0"/>
          <w:numId w:val="2"/>
        </w:numPr>
        <w:spacing w:after="30" w:before="30"/>
      </w:pPr>
      <w:r>
        <w:rPr>
          <w:rFonts w:ascii="Arial" w:cs="Arial" w:eastAsia="Arial" w:hAnsi="Arial"/>
          <w:color w:val="1F1F1F"/>
          <w:sz w:val="22"/>
          <w:szCs w:val="22"/>
        </w:rPr>
        <w:t xml:space="preserve">What gets offset.</w:t>
      </w:r>
    </w:p>
    <w:p>
      <w:pPr>
        <w:pStyle w:val="ListParagraph"/>
        <w:numPr>
          <w:ilvl w:val="0"/>
          <w:numId w:val="2"/>
        </w:numPr>
        <w:spacing w:after="30" w:before="30"/>
      </w:pPr>
      <w:r>
        <w:rPr>
          <w:rFonts w:ascii="Arial" w:cs="Arial" w:eastAsia="Arial" w:hAnsi="Arial"/>
          <w:color w:val="1F1F1F"/>
          <w:sz w:val="22"/>
          <w:szCs w:val="22"/>
        </w:rPr>
        <w:t xml:space="preserve">What shifts to insurance.</w:t>
      </w:r>
    </w:p>
    <w:p>
      <w:pPr>
        <w:pStyle w:val="ListParagraph"/>
        <w:numPr>
          <w:ilvl w:val="0"/>
          <w:numId w:val="2"/>
        </w:numPr>
        <w:spacing w:after="30" w:before="30"/>
      </w:pPr>
      <w:r>
        <w:rPr>
          <w:rFonts w:ascii="Arial" w:cs="Arial" w:eastAsia="Arial" w:hAnsi="Arial"/>
          <w:color w:val="1F1F1F"/>
          <w:sz w:val="22"/>
          <w:szCs w:val="22"/>
        </w:rPr>
        <w:t xml:space="preserve">What remains.</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Capital adequacy (how much cash):</w:t>
      </w:r>
    </w:p>
    <w:p>
      <w:pPr>
        <w:pStyle w:val="ListParagraph"/>
        <w:numPr>
          <w:ilvl w:val="0"/>
          <w:numId w:val="2"/>
        </w:numPr>
        <w:spacing w:after="30" w:before="30"/>
      </w:pPr>
      <w:r>
        <w:rPr>
          <w:rFonts w:ascii="Arial" w:cs="Arial" w:eastAsia="Arial" w:hAnsi="Arial"/>
          <w:color w:val="1F1F1F"/>
          <w:sz w:val="22"/>
          <w:szCs w:val="22"/>
        </w:rPr>
        <w:t xml:space="preserve">What an equivalent level-funded employer must pre-fund today (Equivalent Level-Funded Total Cost).</w:t>
      </w:r>
    </w:p>
    <w:p>
      <w:pPr>
        <w:pStyle w:val="ListParagraph"/>
        <w:numPr>
          <w:ilvl w:val="0"/>
          <w:numId w:val="2"/>
        </w:numPr>
        <w:spacing w:after="30" w:before="30"/>
      </w:pPr>
      <w:r>
        <w:rPr>
          <w:rFonts w:ascii="Arial" w:cs="Arial" w:eastAsia="Arial" w:hAnsi="Arial"/>
          <w:color w:val="1F1F1F"/>
          <w:sz w:val="22"/>
          <w:szCs w:val="22"/>
        </w:rPr>
        <w:t xml:space="preserve">What OffPlan-architected employers actually need to hold (Minimum Required Liquidity).</w:t>
      </w:r>
    </w:p>
    <w:p>
      <w:pPr>
        <w:pStyle w:val="ListParagraph"/>
        <w:numPr>
          <w:ilvl w:val="0"/>
          <w:numId w:val="2"/>
        </w:numPr>
        <w:spacing w:after="30" w:before="30"/>
      </w:pPr>
      <w:r>
        <w:rPr>
          <w:rFonts w:ascii="Arial" w:cs="Arial" w:eastAsia="Arial" w:hAnsi="Arial"/>
          <w:color w:val="1F1F1F"/>
          <w:sz w:val="22"/>
          <w:szCs w:val="22"/>
        </w:rPr>
        <w:t xml:space="preserve">How much capital efficiency that represents (Capital Efficiency Ratio).</w:t>
      </w:r>
    </w:p>
    <w:p>
      <w:pPr>
        <w:pStyle w:val="ListParagraph"/>
        <w:numPr>
          <w:ilvl w:val="0"/>
          <w:numId w:val="2"/>
        </w:numPr>
        <w:spacing w:after="30" w:before="30"/>
      </w:pPr>
      <w:r>
        <w:rPr>
          <w:rFonts w:ascii="Arial" w:cs="Arial" w:eastAsia="Arial" w:hAnsi="Arial"/>
          <w:color w:val="1F1F1F"/>
          <w:sz w:val="22"/>
          <w:szCs w:val="22"/>
        </w:rPr>
        <w:t xml:space="preserve">How much liquidity that reduction is, with confidence (Liquidity Reduction percentage).</w:t>
      </w:r>
    </w:p>
    <w:p>
      <w:pPr>
        <w:spacing w:after="80" w:before="80"/>
      </w:pPr>
      <w:r>
        <w:t xml:space="preserve"/>
      </w:r>
    </w:p>
    <w:p>
      <w:pPr>
        <w:spacing w:after="80" w:before="80"/>
        <w:jc w:val="left"/>
      </w:pPr>
      <w:r>
        <w:rPr>
          <w:rFonts w:ascii="Arial" w:cs="Arial" w:eastAsia="Arial" w:hAnsi="Arial"/>
          <w:b/>
          <w:bCs/>
          <w:i w:val="false"/>
          <w:iCs w:val="false"/>
          <w:color w:val="1F1F1F"/>
          <w:sz w:val="22"/>
          <w:szCs w:val="22"/>
        </w:rPr>
        <w:t xml:space="preserve">That is the product. Both halves. Inseparable. CER sells the model. LCR makes it credible.</w:t>
      </w:r>
    </w:p>
    <w:p>
      <w:pPr>
        <w:pBdr>
          <w:bottom w:val="single" w:color="1F1F1F" w:sz="6" w:space="4"/>
        </w:pBdr>
        <w:spacing w:after="200" w:before="80"/>
      </w:pPr>
      <w:r>
        <w:t xml:space="preserve"/>
      </w:r>
    </w:p>
    <w:p>
      <w:pPr>
        <w:spacing w:after="80" w:before="80"/>
        <w:jc w:val="left"/>
      </w:pPr>
      <w:r>
        <w:rPr>
          <w:rFonts w:ascii="Arial" w:cs="Arial" w:eastAsia="Arial" w:hAnsi="Arial"/>
          <w:b w:val="false"/>
          <w:bCs w:val="false"/>
          <w:i/>
          <w:iCs/>
          <w:color w:val="888888"/>
          <w:sz w:val="22"/>
          <w:szCs w:val="22"/>
        </w:rPr>
        <w:t xml:space="preserve">End of Master Specification v3.3. Build-ready. This document supersedes the v1 Build Brief, the CTO Packet, the Executive Summary, the MVP Technical Spec, the v1 Spec Addendum, v3.0, v3.1, and v3.2. Companion documents: Liquidity &amp; Capital Modeling Specification v1.2, Data Dictionary v3.0, Architecture &amp; Security Specification, CSV Templates Package v2.1, Reference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Confidential · OffPlan Holdings · v3.3 · May 2026</w:t>
    </w:r>
    <w:r>
      <w:rPr>
        <w:rFonts w:ascii="Arial" w:cs="Arial" w:eastAsia="Arial" w:hAnsi="Arial"/>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1F1F"/>
        <w:sz w:val="18"/>
        <w:szCs w:val="18"/>
      </w:rPr>
      <w:t xml:space="preserve">OFFPLAN</w:t>
    </w:r>
    <w:r>
      <w:rPr>
        <w:sz w:val="18"/>
        <w:szCs w:val="18"/>
      </w:rPr>
      <w:t xml:space="preserve">    </w:t>
    </w:r>
    <w:r>
      <w:rPr>
        <w:rFonts w:ascii="Arial" w:cs="Arial" w:eastAsia="Arial" w:hAnsi="Arial"/>
        <w:color w:val="888888"/>
        <w:sz w:val="18"/>
        <w:szCs w:val="18"/>
      </w:rPr>
      <w:t xml:space="preserve">Claims Reclassification Engine · Master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Reclassification Engine · Master Specification</dc:title>
  <dc:creator>OffPlan Holdings</dc:creator>
  <dc:description>OffPlan Claims Reclassification Engine · Master Specification</dc:description>
  <cp:lastModifiedBy>Un-named</cp:lastModifiedBy>
  <cp:revision>1</cp:revision>
  <dcterms:created xsi:type="dcterms:W3CDTF">2026-05-02T17:04:25.982Z</dcterms:created>
  <dcterms:modified xsi:type="dcterms:W3CDTF">2026-05-02T17:04:25.982Z</dcterms:modified>
</cp:coreProperties>
</file>

<file path=docProps/custom.xml><?xml version="1.0" encoding="utf-8"?>
<Properties xmlns="http://schemas.openxmlformats.org/officeDocument/2006/custom-properties" xmlns:vt="http://schemas.openxmlformats.org/officeDocument/2006/docPropsVTypes"/>
</file>