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60"/>
      </w:pPr>
      <w:r>
        <w:rPr>
          <w:rFonts w:ascii="Arial" w:cs="Arial" w:eastAsia="Arial" w:hAnsi="Arial"/>
          <w:color w:val="999999"/>
          <w:spacing w:val="20"/>
          <w:sz w:val="14"/>
          <w:szCs w:val="14"/>
        </w:rPr>
        <w:t xml:space="preserve">PART OF OFFPLAN CLAIMS RECLASSIFICATION ENGINE · BUILD PACKAGE v1.0</w:t>
      </w:r>
    </w:p>
    <w:p>
      <w:pPr>
        <w:spacing w:after="80" w:before="200"/>
      </w:pPr>
      <w:r>
        <w:rPr>
          <w:rFonts w:ascii="Arial" w:cs="Arial" w:eastAsia="Arial" w:hAnsi="Arial"/>
          <w:color w:val="888888"/>
          <w:sz w:val="18"/>
          <w:szCs w:val="18"/>
        </w:rPr>
        <w:t xml:space="preserve">ARCHITECTURE &amp; SECURITY SPECIFICATION · v1.0</w:t>
      </w:r>
    </w:p>
    <w:p>
      <w:pPr>
        <w:spacing w:after="80" w:before="0"/>
      </w:pPr>
      <w:r>
        <w:rPr>
          <w:rFonts w:ascii="Arial" w:cs="Arial" w:eastAsia="Arial" w:hAnsi="Arial"/>
          <w:b/>
          <w:bCs/>
          <w:color w:val="1F1F1F"/>
          <w:sz w:val="56"/>
          <w:szCs w:val="56"/>
        </w:rPr>
        <w:t xml:space="preserve">Architecture &amp; Security</w:t>
      </w:r>
    </w:p>
    <w:p>
      <w:pPr>
        <w:spacing w:after="100" w:before="0"/>
      </w:pPr>
      <w:r>
        <w:rPr>
          <w:rFonts w:ascii="Arial" w:cs="Arial" w:eastAsia="Arial" w:hAnsi="Arial"/>
          <w:i/>
          <w:iCs/>
          <w:color w:val="555555"/>
          <w:sz w:val="22"/>
          <w:szCs w:val="22"/>
        </w:rPr>
        <w:t xml:space="preserve">Multi-tenant production architecture, PHI-grade security controls, SOC 2 + HIPAA compliance framework. Companion to the Master Specification v3.0 and Data Dictionary v2.0.</w:t>
      </w:r>
    </w:p>
    <w:p>
      <w:pPr>
        <w:pBdr>
          <w:bottom w:val="single" w:color="1F1F1F" w:sz="6" w:space="4"/>
        </w:pBdr>
        <w:spacing w:after="200" w:before="80"/>
      </w:pPr>
      <w:r>
        <w:t xml:space="preserve"/>
      </w:r>
    </w:p>
    <w:p>
      <w:pPr>
        <w:pStyle w:val="Heading2"/>
        <w:spacing w:after="120" w:before="280"/>
      </w:pPr>
      <w:r>
        <w:rPr>
          <w:rFonts w:ascii="Arial" w:cs="Arial" w:eastAsia="Arial" w:hAnsi="Arial"/>
          <w:b/>
          <w:bCs/>
          <w:color w:val="1F1F1F"/>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Field</w:t>
            </w:r>
          </w:p>
        </w:tc>
        <w:tc>
          <w:tcPr>
            <w:tcW w:type="dxa" w:w="62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Value</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OffPlan Claims Reclassification Engine</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 Version</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Build Package v1.0</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Package Status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Build-ready</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Document</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Architecture &amp; Security Specification</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Version</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Owner</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OffPlan CTO (Pepper)</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Audience</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Engineering team, security auditor, MGU diligence, employer security teams</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Companion Documents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Master Specification v3.0, Data Dictionary v2.0</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Date</w:t>
            </w:r>
          </w:p>
        </w:tc>
        <w:tc>
          <w:tcPr>
            <w:tcW w:type="dxa" w:w="62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May 2026</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Classification</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Confidential · Internal Use Only</w:t>
            </w:r>
          </w:p>
        </w:tc>
      </w:tr>
    </w:tbl>
    <w:p>
      <w:pPr>
        <w:pStyle w:val="Heading1"/>
        <w:spacing w:after="160" w:before="360"/>
      </w:pPr>
      <w:r>
        <w:rPr>
          <w:rFonts w:ascii="Arial" w:cs="Arial" w:eastAsia="Arial" w:hAnsi="Arial"/>
          <w:b/>
          <w:bCs/>
          <w:color w:val="1F1F1F"/>
          <w:sz w:val="36"/>
          <w:szCs w:val="36"/>
        </w:rPr>
        <w:t xml:space="preserve">Part I · Architectural Principles</w:t>
      </w:r>
    </w:p>
    <w:p>
      <w:pPr>
        <w:pStyle w:val="Heading2"/>
        <w:spacing w:after="120" w:before="280"/>
      </w:pPr>
      <w:r>
        <w:rPr>
          <w:rFonts w:ascii="Arial" w:cs="Arial" w:eastAsia="Arial" w:hAnsi="Arial"/>
          <w:b/>
          <w:bCs/>
          <w:color w:val="1F1F1F"/>
          <w:sz w:val="28"/>
          <w:szCs w:val="28"/>
        </w:rPr>
        <w:t xml:space="preserve">1. The Five Non-Negotiables</w:t>
      </w:r>
    </w:p>
    <w:p>
      <w:pPr>
        <w:pStyle w:val="Heading3"/>
        <w:spacing w:after="80" w:before="200"/>
      </w:pPr>
      <w:r>
        <w:rPr>
          <w:rFonts w:ascii="Arial" w:cs="Arial" w:eastAsia="Arial" w:hAnsi="Arial"/>
          <w:b/>
          <w:bCs/>
          <w:color w:val="1F1F1F"/>
          <w:sz w:val="24"/>
          <w:szCs w:val="24"/>
        </w:rPr>
        <w:t xml:space="preserve">1.1 Own the Data Layer</w:t>
      </w:r>
    </w:p>
    <w:p>
      <w:pPr>
        <w:spacing w:after="80" w:before="80"/>
        <w:jc w:val="left"/>
      </w:pPr>
      <w:r>
        <w:rPr>
          <w:rFonts w:ascii="Arial" w:cs="Arial" w:eastAsia="Arial" w:hAnsi="Arial"/>
          <w:b w:val="false"/>
          <w:bCs w:val="false"/>
          <w:i w:val="false"/>
          <w:iCs w:val="false"/>
          <w:color w:val="1F1F1F"/>
          <w:sz w:val="22"/>
          <w:szCs w:val="22"/>
        </w:rPr>
        <w:t xml:space="preserve">Every record must replicate to OffPlan-owned infrastructure. We must be able to exit any vendor relationship quickly without losing access to data or disrupting operations. No vendor holds the only copy of any record OffPlan depends on.</w:t>
      </w:r>
    </w:p>
    <w:p>
      <w:pPr>
        <w:pStyle w:val="Heading3"/>
        <w:spacing w:after="80" w:before="200"/>
      </w:pPr>
      <w:r>
        <w:rPr>
          <w:rFonts w:ascii="Arial" w:cs="Arial" w:eastAsia="Arial" w:hAnsi="Arial"/>
          <w:b/>
          <w:bCs/>
          <w:color w:val="1F1F1F"/>
          <w:sz w:val="24"/>
          <w:szCs w:val="24"/>
        </w:rPr>
        <w:t xml:space="preserve">1.2 API-First Architecture</w:t>
      </w:r>
    </w:p>
    <w:p>
      <w:pPr>
        <w:spacing w:after="80" w:before="80"/>
        <w:jc w:val="left"/>
      </w:pPr>
      <w:r>
        <w:rPr>
          <w:rFonts w:ascii="Arial" w:cs="Arial" w:eastAsia="Arial" w:hAnsi="Arial"/>
          <w:b w:val="false"/>
          <w:bCs w:val="false"/>
          <w:i w:val="false"/>
          <w:iCs w:val="false"/>
          <w:color w:val="1F1F1F"/>
          <w:sz w:val="22"/>
          <w:szCs w:val="22"/>
        </w:rPr>
        <w:t xml:space="preserve">All proprietary applications communicate through OffPlan's internal API layer, not directly with vendor APIs. Vendor changes require updating an adapter, not rewriting dependent applications. This is the foundation of vendor independence.</w:t>
      </w:r>
    </w:p>
    <w:p>
      <w:pPr>
        <w:pStyle w:val="Heading3"/>
        <w:spacing w:after="80" w:before="200"/>
      </w:pPr>
      <w:r>
        <w:rPr>
          <w:rFonts w:ascii="Arial" w:cs="Arial" w:eastAsia="Arial" w:hAnsi="Arial"/>
          <w:b/>
          <w:bCs/>
          <w:color w:val="1F1F1F"/>
          <w:sz w:val="24"/>
          <w:szCs w:val="24"/>
        </w:rPr>
        <w:t xml:space="preserve">1.3 Modular, Replaceable Components</w:t>
      </w:r>
    </w:p>
    <w:p>
      <w:pPr>
        <w:spacing w:after="80" w:before="80"/>
        <w:jc w:val="left"/>
      </w:pPr>
      <w:r>
        <w:rPr>
          <w:rFonts w:ascii="Arial" w:cs="Arial" w:eastAsia="Arial" w:hAnsi="Arial"/>
          <w:b w:val="false"/>
          <w:bCs w:val="false"/>
          <w:i w:val="false"/>
          <w:iCs w:val="false"/>
          <w:color w:val="1F1F1F"/>
          <w:sz w:val="22"/>
          <w:szCs w:val="22"/>
        </w:rPr>
        <w:t xml:space="preserve">Components must be designed so they can be updated or replaced independently. Where appropriate, event-based communication minimizes unnecessary coupling. Pricing, rules, and scenarios are versioned data — not code.</w:t>
      </w:r>
    </w:p>
    <w:p>
      <w:pPr>
        <w:pStyle w:val="Heading3"/>
        <w:spacing w:after="80" w:before="200"/>
      </w:pPr>
      <w:r>
        <w:rPr>
          <w:rFonts w:ascii="Arial" w:cs="Arial" w:eastAsia="Arial" w:hAnsi="Arial"/>
          <w:b/>
          <w:bCs/>
          <w:color w:val="1F1F1F"/>
          <w:sz w:val="24"/>
          <w:szCs w:val="24"/>
        </w:rPr>
        <w:t xml:space="preserve">1.4 Multi-Tenant from Day One</w:t>
      </w:r>
    </w:p>
    <w:p>
      <w:pPr>
        <w:spacing w:after="80" w:before="80"/>
        <w:jc w:val="left"/>
      </w:pPr>
      <w:r>
        <w:rPr>
          <w:rFonts w:ascii="Arial" w:cs="Arial" w:eastAsia="Arial" w:hAnsi="Arial"/>
          <w:b/>
          <w:bCs/>
          <w:i w:val="false"/>
          <w:iCs w:val="false"/>
          <w:color w:val="1F1F1F"/>
          <w:sz w:val="22"/>
          <w:szCs w:val="22"/>
        </w:rPr>
        <w:t xml:space="preserve">Every PHI-touching table carries a tenant_id. Every query filters by tenant_id at the database layer through row-level security policies. There is no application-layer tenancy, ever. A bug in application code must not be capable of leaking data across tenants.</w:t>
      </w:r>
    </w:p>
    <w:p>
      <w:pPr>
        <w:pStyle w:val="Heading3"/>
        <w:spacing w:after="80" w:before="200"/>
      </w:pPr>
      <w:r>
        <w:rPr>
          <w:rFonts w:ascii="Arial" w:cs="Arial" w:eastAsia="Arial" w:hAnsi="Arial"/>
          <w:b/>
          <w:bCs/>
          <w:color w:val="1F1F1F"/>
          <w:sz w:val="24"/>
          <w:szCs w:val="24"/>
        </w:rPr>
        <w:t xml:space="preserve">1.5 Documentation Is Non-Negotiable</w:t>
      </w:r>
    </w:p>
    <w:p>
      <w:pPr>
        <w:spacing w:after="80" w:before="80"/>
        <w:jc w:val="left"/>
      </w:pPr>
      <w:r>
        <w:rPr>
          <w:rFonts w:ascii="Arial" w:cs="Arial" w:eastAsia="Arial" w:hAnsi="Arial"/>
          <w:b w:val="false"/>
          <w:bCs w:val="false"/>
          <w:i w:val="false"/>
          <w:iCs w:val="false"/>
          <w:color w:val="1F1F1F"/>
          <w:sz w:val="22"/>
          <w:szCs w:val="22"/>
        </w:rPr>
        <w:t xml:space="preserve">All integrations, data flows, and core business logic must be documented clearly enough to support handoffs and system replacement. Critical system knowledge must not live only in people's heads.</w:t>
      </w:r>
    </w:p>
    <w:p>
      <w:pPr>
        <w:pStyle w:val="Heading1"/>
        <w:spacing w:after="160" w:before="360"/>
      </w:pPr>
      <w:r>
        <w:rPr>
          <w:rFonts w:ascii="Arial" w:cs="Arial" w:eastAsia="Arial" w:hAnsi="Arial"/>
          <w:b/>
          <w:bCs/>
          <w:color w:val="1F1F1F"/>
          <w:sz w:val="36"/>
          <w:szCs w:val="36"/>
        </w:rPr>
        <w:t xml:space="preserve">Part II · System Architecture</w:t>
      </w:r>
    </w:p>
    <w:p>
      <w:pPr>
        <w:pStyle w:val="Heading2"/>
        <w:spacing w:after="120" w:before="280"/>
      </w:pPr>
      <w:r>
        <w:rPr>
          <w:rFonts w:ascii="Arial" w:cs="Arial" w:eastAsia="Arial" w:hAnsi="Arial"/>
          <w:b/>
          <w:bCs/>
          <w:color w:val="1F1F1F"/>
          <w:sz w:val="28"/>
          <w:szCs w:val="28"/>
        </w:rPr>
        <w:t xml:space="preserve">2. Reference Architecture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8"/>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r>
              <w:rPr>
                <w:rFonts w:ascii="Consolas" w:cs="Consolas" w:eastAsia="Consolas" w:hAnsi="Consolas"/>
                <w:b w:val="false"/>
                <w:bCs w:val="false"/>
                <w:i w:val="false"/>
                <w:iCs w:val="false"/>
                <w:color w:val="1F1F1F"/>
                <w:sz w:val="18"/>
                <w:szCs w:val="18"/>
              </w:rPr>
              <w:t xml:space="preserve">API Gateway  →  Auth Layer  →  Application Services  →  Calculation Engine  →  Data Stores
                                            ↓
                                       Event Bus  →  Audit Log Sink, Analytics Warehouse</w:t>
            </w:r>
          </w:p>
        </w:tc>
      </w:tr>
    </w:tbl>
    <w:p>
      <w:pPr>
        <w:pStyle w:val="Heading3"/>
        <w:spacing w:after="80" w:before="200"/>
      </w:pPr>
      <w:r>
        <w:rPr>
          <w:rFonts w:ascii="Arial" w:cs="Arial" w:eastAsia="Arial" w:hAnsi="Arial"/>
          <w:b/>
          <w:bCs/>
          <w:color w:val="1F1F1F"/>
          <w:sz w:val="24"/>
          <w:szCs w:val="24"/>
        </w:rPr>
        <w:t xml:space="preserve">2.1 Compute</w:t>
      </w:r>
    </w:p>
    <w:p>
      <w:pPr>
        <w:pStyle w:val="ListParagraph"/>
        <w:numPr>
          <w:ilvl w:val="0"/>
          <w:numId w:val="2"/>
        </w:numPr>
        <w:spacing w:after="30" w:before="30"/>
      </w:pPr>
      <w:r>
        <w:rPr>
          <w:rFonts w:ascii="Arial" w:cs="Arial" w:eastAsia="Arial" w:hAnsi="Arial"/>
          <w:color w:val="1F1F1F"/>
          <w:sz w:val="22"/>
          <w:szCs w:val="22"/>
        </w:rPr>
        <w:t xml:space="preserve">Container orchestration: Amazon EKS (Kubernetes) or ECS for application services.</w:t>
      </w:r>
    </w:p>
    <w:p>
      <w:pPr>
        <w:pStyle w:val="ListParagraph"/>
        <w:numPr>
          <w:ilvl w:val="0"/>
          <w:numId w:val="2"/>
        </w:numPr>
        <w:spacing w:after="30" w:before="30"/>
      </w:pPr>
      <w:r>
        <w:rPr>
          <w:rFonts w:ascii="Arial" w:cs="Arial" w:eastAsia="Arial" w:hAnsi="Arial"/>
          <w:color w:val="1F1F1F"/>
          <w:sz w:val="22"/>
          <w:szCs w:val="22"/>
        </w:rPr>
        <w:t xml:space="preserve">Serverless adapters: AWS Lambda for ingestion adapters, scheduled jobs, and event handlers.</w:t>
      </w:r>
    </w:p>
    <w:p>
      <w:pPr>
        <w:pStyle w:val="ListParagraph"/>
        <w:numPr>
          <w:ilvl w:val="0"/>
          <w:numId w:val="2"/>
        </w:numPr>
        <w:spacing w:after="30" w:before="30"/>
      </w:pPr>
      <w:r>
        <w:rPr>
          <w:rFonts w:ascii="Arial" w:cs="Arial" w:eastAsia="Arial" w:hAnsi="Arial"/>
          <w:color w:val="1F1F1F"/>
          <w:sz w:val="22"/>
          <w:szCs w:val="22"/>
        </w:rPr>
        <w:t xml:space="preserve">Step Functions: long-running orchestration (large CSV processing, bulk recalculation).</w:t>
      </w:r>
    </w:p>
    <w:p>
      <w:pPr>
        <w:pStyle w:val="Heading3"/>
        <w:spacing w:after="80" w:before="200"/>
      </w:pPr>
      <w:r>
        <w:rPr>
          <w:rFonts w:ascii="Arial" w:cs="Arial" w:eastAsia="Arial" w:hAnsi="Arial"/>
          <w:b/>
          <w:bCs/>
          <w:color w:val="1F1F1F"/>
          <w:sz w:val="24"/>
          <w:szCs w:val="24"/>
        </w:rPr>
        <w:t xml:space="preserve">2.2 Data</w:t>
      </w:r>
    </w:p>
    <w:p>
      <w:pPr>
        <w:pStyle w:val="ListParagraph"/>
        <w:numPr>
          <w:ilvl w:val="0"/>
          <w:numId w:val="2"/>
        </w:numPr>
        <w:spacing w:after="30" w:before="30"/>
      </w:pPr>
      <w:r>
        <w:rPr>
          <w:rFonts w:ascii="Arial" w:cs="Arial" w:eastAsia="Arial" w:hAnsi="Arial"/>
          <w:color w:val="1F1F1F"/>
          <w:sz w:val="22"/>
          <w:szCs w:val="22"/>
        </w:rPr>
        <w:t xml:space="preserve">Operational database: Amazon RDS for PostgreSQL with row-level security and Multi-AZ deployment.</w:t>
      </w:r>
    </w:p>
    <w:p>
      <w:pPr>
        <w:pStyle w:val="ListParagraph"/>
        <w:numPr>
          <w:ilvl w:val="0"/>
          <w:numId w:val="2"/>
        </w:numPr>
        <w:spacing w:after="30" w:before="30"/>
      </w:pPr>
      <w:r>
        <w:rPr>
          <w:rFonts w:ascii="Arial" w:cs="Arial" w:eastAsia="Arial" w:hAnsi="Arial"/>
          <w:color w:val="1F1F1F"/>
          <w:sz w:val="22"/>
          <w:szCs w:val="22"/>
        </w:rPr>
        <w:t xml:space="preserve">Object storage: S3 with bucket-level encryption, versioning, and lifecycle policies for raw CSV files, generated reports, and archived snapshots.</w:t>
      </w:r>
    </w:p>
    <w:p>
      <w:pPr>
        <w:pStyle w:val="ListParagraph"/>
        <w:numPr>
          <w:ilvl w:val="0"/>
          <w:numId w:val="2"/>
        </w:numPr>
        <w:spacing w:after="30" w:before="30"/>
      </w:pPr>
      <w:r>
        <w:rPr>
          <w:rFonts w:ascii="Arial" w:cs="Arial" w:eastAsia="Arial" w:hAnsi="Arial"/>
          <w:color w:val="1F1F1F"/>
          <w:sz w:val="22"/>
          <w:szCs w:val="22"/>
        </w:rPr>
        <w:t xml:space="preserve">Data lake: S3 with bronze (raw), silver (validated), gold (canonical) layers for replay and audit.</w:t>
      </w:r>
    </w:p>
    <w:p>
      <w:pPr>
        <w:pStyle w:val="ListParagraph"/>
        <w:numPr>
          <w:ilvl w:val="0"/>
          <w:numId w:val="2"/>
        </w:numPr>
        <w:spacing w:after="30" w:before="30"/>
      </w:pPr>
      <w:r>
        <w:rPr>
          <w:rFonts w:ascii="Arial" w:cs="Arial" w:eastAsia="Arial" w:hAnsi="Arial"/>
          <w:color w:val="1F1F1F"/>
          <w:sz w:val="22"/>
          <w:szCs w:val="22"/>
        </w:rPr>
        <w:t xml:space="preserve">Analytics warehouse: Amazon Redshift or Snowflake (Phase 2) for cross-tenant internal analytics.</w:t>
      </w:r>
    </w:p>
    <w:p>
      <w:pPr>
        <w:pStyle w:val="Heading3"/>
        <w:spacing w:after="80" w:before="200"/>
      </w:pPr>
      <w:r>
        <w:rPr>
          <w:rFonts w:ascii="Arial" w:cs="Arial" w:eastAsia="Arial" w:hAnsi="Arial"/>
          <w:b/>
          <w:bCs/>
          <w:color w:val="1F1F1F"/>
          <w:sz w:val="24"/>
          <w:szCs w:val="24"/>
        </w:rPr>
        <w:t xml:space="preserve">2.3 Eventing</w:t>
      </w:r>
    </w:p>
    <w:p>
      <w:pPr>
        <w:pStyle w:val="ListParagraph"/>
        <w:numPr>
          <w:ilvl w:val="0"/>
          <w:numId w:val="2"/>
        </w:numPr>
        <w:spacing w:after="30" w:before="30"/>
      </w:pPr>
      <w:r>
        <w:rPr>
          <w:rFonts w:ascii="Arial" w:cs="Arial" w:eastAsia="Arial" w:hAnsi="Arial"/>
          <w:color w:val="1F1F1F"/>
          <w:sz w:val="22"/>
          <w:szCs w:val="22"/>
        </w:rPr>
        <w:t xml:space="preserve">Amazon MSK (managed Kafka) or SQS+SNS for event publication: scenario_calculated, claim_classified, override_applied, version_activated.</w:t>
      </w:r>
    </w:p>
    <w:p>
      <w:pPr>
        <w:pStyle w:val="ListParagraph"/>
        <w:numPr>
          <w:ilvl w:val="0"/>
          <w:numId w:val="2"/>
        </w:numPr>
        <w:spacing w:after="30" w:before="30"/>
      </w:pPr>
      <w:r>
        <w:rPr>
          <w:rFonts w:ascii="Arial" w:cs="Arial" w:eastAsia="Arial" w:hAnsi="Arial"/>
          <w:color w:val="1F1F1F"/>
          <w:sz w:val="22"/>
          <w:szCs w:val="22"/>
        </w:rPr>
        <w:t xml:space="preserve">Downstream subscribers: audit log writer, analytics ETL, downstream OffPlan platform integrations.</w:t>
      </w:r>
    </w:p>
    <w:p>
      <w:pPr>
        <w:pStyle w:val="Heading3"/>
        <w:spacing w:after="80" w:before="200"/>
      </w:pPr>
      <w:r>
        <w:rPr>
          <w:rFonts w:ascii="Arial" w:cs="Arial" w:eastAsia="Arial" w:hAnsi="Arial"/>
          <w:b/>
          <w:bCs/>
          <w:color w:val="1F1F1F"/>
          <w:sz w:val="24"/>
          <w:szCs w:val="24"/>
        </w:rPr>
        <w:t xml:space="preserve">2.4 Observability</w:t>
      </w:r>
    </w:p>
    <w:p>
      <w:pPr>
        <w:pStyle w:val="ListParagraph"/>
        <w:numPr>
          <w:ilvl w:val="0"/>
          <w:numId w:val="2"/>
        </w:numPr>
        <w:spacing w:after="30" w:before="30"/>
      </w:pPr>
      <w:r>
        <w:rPr>
          <w:rFonts w:ascii="Arial" w:cs="Arial" w:eastAsia="Arial" w:hAnsi="Arial"/>
          <w:color w:val="1F1F1F"/>
          <w:sz w:val="22"/>
          <w:szCs w:val="22"/>
        </w:rPr>
        <w:t xml:space="preserve">CloudWatch (metrics, logs) with structured JSON output.</w:t>
      </w:r>
    </w:p>
    <w:p>
      <w:pPr>
        <w:pStyle w:val="ListParagraph"/>
        <w:numPr>
          <w:ilvl w:val="0"/>
          <w:numId w:val="2"/>
        </w:numPr>
        <w:spacing w:after="30" w:before="30"/>
      </w:pPr>
      <w:r>
        <w:rPr>
          <w:rFonts w:ascii="Arial" w:cs="Arial" w:eastAsia="Arial" w:hAnsi="Arial"/>
          <w:color w:val="1F1F1F"/>
          <w:sz w:val="22"/>
          <w:szCs w:val="22"/>
        </w:rPr>
        <w:t xml:space="preserve">AWS X-Ray for distributed tracing.</w:t>
      </w:r>
    </w:p>
    <w:p>
      <w:pPr>
        <w:pStyle w:val="ListParagraph"/>
        <w:numPr>
          <w:ilvl w:val="0"/>
          <w:numId w:val="2"/>
        </w:numPr>
        <w:spacing w:after="30" w:before="30"/>
      </w:pPr>
      <w:r>
        <w:rPr>
          <w:rFonts w:ascii="Arial" w:cs="Arial" w:eastAsia="Arial" w:hAnsi="Arial"/>
          <w:color w:val="1F1F1F"/>
          <w:sz w:val="22"/>
          <w:szCs w:val="22"/>
        </w:rPr>
        <w:t xml:space="preserve">OpenTelemetry instrumentation across all services.</w:t>
      </w:r>
    </w:p>
    <w:p>
      <w:pPr>
        <w:pStyle w:val="ListParagraph"/>
        <w:numPr>
          <w:ilvl w:val="0"/>
          <w:numId w:val="2"/>
        </w:numPr>
        <w:spacing w:after="30" w:before="30"/>
      </w:pPr>
      <w:r>
        <w:rPr>
          <w:rFonts w:ascii="Arial" w:cs="Arial" w:eastAsia="Arial" w:hAnsi="Arial"/>
          <w:color w:val="1F1F1F"/>
          <w:sz w:val="22"/>
          <w:szCs w:val="22"/>
        </w:rPr>
        <w:t xml:space="preserve">Correlation IDs propagate through every request, log line, and event.</w:t>
      </w:r>
    </w:p>
    <w:p>
      <w:pPr>
        <w:pStyle w:val="Heading3"/>
        <w:spacing w:after="80" w:before="200"/>
      </w:pPr>
      <w:r>
        <w:rPr>
          <w:rFonts w:ascii="Arial" w:cs="Arial" w:eastAsia="Arial" w:hAnsi="Arial"/>
          <w:b/>
          <w:bCs/>
          <w:color w:val="1F1F1F"/>
          <w:sz w:val="24"/>
          <w:szCs w:val="24"/>
        </w:rPr>
        <w:t xml:space="preserve">2.5 Security Infrastructure</w:t>
      </w:r>
    </w:p>
    <w:p>
      <w:pPr>
        <w:pStyle w:val="ListParagraph"/>
        <w:numPr>
          <w:ilvl w:val="0"/>
          <w:numId w:val="2"/>
        </w:numPr>
        <w:spacing w:after="30" w:before="30"/>
      </w:pPr>
      <w:r>
        <w:rPr>
          <w:rFonts w:ascii="Arial" w:cs="Arial" w:eastAsia="Arial" w:hAnsi="Arial"/>
          <w:color w:val="1F1F1F"/>
          <w:sz w:val="22"/>
          <w:szCs w:val="22"/>
        </w:rPr>
        <w:t xml:space="preserve">AWS IAM for service identity (IRSA on EKS, instance profiles on ECS).</w:t>
      </w:r>
    </w:p>
    <w:p>
      <w:pPr>
        <w:pStyle w:val="ListParagraph"/>
        <w:numPr>
          <w:ilvl w:val="0"/>
          <w:numId w:val="2"/>
        </w:numPr>
        <w:spacing w:after="30" w:before="30"/>
      </w:pPr>
      <w:r>
        <w:rPr>
          <w:rFonts w:ascii="Arial" w:cs="Arial" w:eastAsia="Arial" w:hAnsi="Arial"/>
          <w:color w:val="1F1F1F"/>
          <w:sz w:val="22"/>
          <w:szCs w:val="22"/>
        </w:rPr>
        <w:t xml:space="preserve">AWS KMS for key management with annual rotation.</w:t>
      </w:r>
    </w:p>
    <w:p>
      <w:pPr>
        <w:pStyle w:val="ListParagraph"/>
        <w:numPr>
          <w:ilvl w:val="0"/>
          <w:numId w:val="2"/>
        </w:numPr>
        <w:spacing w:after="30" w:before="30"/>
      </w:pPr>
      <w:r>
        <w:rPr>
          <w:rFonts w:ascii="Arial" w:cs="Arial" w:eastAsia="Arial" w:hAnsi="Arial"/>
          <w:color w:val="1F1F1F"/>
          <w:sz w:val="22"/>
          <w:szCs w:val="22"/>
        </w:rPr>
        <w:t xml:space="preserve">AWS Secrets Manager for credentials (no secrets in env vars, source code, or pipelines).</w:t>
      </w:r>
    </w:p>
    <w:p>
      <w:pPr>
        <w:pStyle w:val="ListParagraph"/>
        <w:numPr>
          <w:ilvl w:val="0"/>
          <w:numId w:val="2"/>
        </w:numPr>
        <w:spacing w:after="30" w:before="30"/>
      </w:pPr>
      <w:r>
        <w:rPr>
          <w:rFonts w:ascii="Arial" w:cs="Arial" w:eastAsia="Arial" w:hAnsi="Arial"/>
          <w:color w:val="1F1F1F"/>
          <w:sz w:val="22"/>
          <w:szCs w:val="22"/>
        </w:rPr>
        <w:t xml:space="preserve">AWS WAF and Shield for ingress protection.</w:t>
      </w:r>
    </w:p>
    <w:p>
      <w:pPr>
        <w:pStyle w:val="Heading2"/>
        <w:spacing w:after="120" w:before="280"/>
      </w:pPr>
      <w:r>
        <w:rPr>
          <w:rFonts w:ascii="Arial" w:cs="Arial" w:eastAsia="Arial" w:hAnsi="Arial"/>
          <w:b/>
          <w:bCs/>
          <w:color w:val="1F1F1F"/>
          <w:sz w:val="28"/>
          <w:szCs w:val="28"/>
        </w:rPr>
        <w:t xml:space="preserve">3. Stack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gridCol w:w="4160"/>
      </w:tblGrid>
      <w:tr>
        <w:trPr>
          <w:tblHeader/>
        </w:trPr>
        <w:tc>
          <w:tcPr>
            <w:tcW w:type="dxa" w:w="20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Layer</w:t>
            </w:r>
          </w:p>
        </w:tc>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Choice</w:t>
            </w:r>
          </w:p>
        </w:tc>
        <w:tc>
          <w:tcPr>
            <w:tcW w:type="dxa" w:w="416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Rationale</w:t>
            </w:r>
          </w:p>
        </w:tc>
      </w:tr>
      <w:tr>
        <w:tc>
          <w:tcPr>
            <w:tcW w:type="dxa" w:w="20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Frontend</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React + TypeScript + TanStack Query + Recharts</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Mature ecosystem, strong typing, healthcare dashboard precedent</w:t>
            </w:r>
          </w:p>
        </w:tc>
      </w:tr>
      <w:tr>
        <w:tc>
          <w:tcPr>
            <w:tcW w:type="dxa" w:w="20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Backend (calc)</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Python FastAPI</w:t>
            </w:r>
          </w:p>
        </w:tc>
        <w:tc>
          <w:tcPr>
            <w:tcW w:type="dxa" w:w="41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Auditable actuarial logic, Pandas for bulk CSV, fast to iterate</w:t>
            </w:r>
          </w:p>
        </w:tc>
      </w:tr>
      <w:tr>
        <w:tc>
          <w:tcPr>
            <w:tcW w:type="dxa" w:w="20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Backend (microsvcs)</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Java Spring Boot or Python FastAPI</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Phase 2 microservices; Spring brings stronger typing for security-critical paths</w:t>
            </w:r>
          </w:p>
        </w:tc>
      </w:tr>
      <w:tr>
        <w:tc>
          <w:tcPr>
            <w:tcW w:type="dxa" w:w="20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API Gateway</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Kong or AWS API Gateway + OpenAPI 3.0</w:t>
            </w:r>
          </w:p>
        </w:tc>
        <w:tc>
          <w:tcPr>
            <w:tcW w:type="dxa" w:w="41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Contract-first, rate limiting, schema enforcement at edge</w:t>
            </w:r>
          </w:p>
        </w:tc>
      </w:tr>
      <w:tr>
        <w:tc>
          <w:tcPr>
            <w:tcW w:type="dxa" w:w="20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Auth</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Auth0 or Keycloak (OAuth2 / OIDC)</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Battle-tested, supports federation, BAA available</w:t>
            </w:r>
          </w:p>
        </w:tc>
      </w:tr>
      <w:tr>
        <w:tc>
          <w:tcPr>
            <w:tcW w:type="dxa" w:w="20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Database</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PostgreSQL with row-level security</w:t>
            </w:r>
          </w:p>
        </w:tc>
        <w:tc>
          <w:tcPr>
            <w:tcW w:type="dxa" w:w="41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First-class multi-tenant isolation, ACID for financial calculations</w:t>
            </w:r>
          </w:p>
        </w:tc>
      </w:tr>
      <w:tr>
        <w:tc>
          <w:tcPr>
            <w:tcW w:type="dxa" w:w="20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File processing</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Python / Pandas</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CSV parsing, validation, normalization at scale</w:t>
            </w:r>
          </w:p>
        </w:tc>
      </w:tr>
      <w:tr>
        <w:tc>
          <w:tcPr>
            <w:tcW w:type="dxa" w:w="20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Reporting</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PDFMonkey or Documint</w:t>
            </w:r>
          </w:p>
        </w:tc>
        <w:tc>
          <w:tcPr>
            <w:tcW w:type="dxa" w:w="41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Templated PDF output without engineering for each report variant</w:t>
            </w:r>
          </w:p>
        </w:tc>
      </w:tr>
      <w:tr>
        <w:tc>
          <w:tcPr>
            <w:tcW w:type="dxa" w:w="20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Compliance</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Vanta</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Fastest path to SOC 2; ~85% audit-evidence automation</w:t>
            </w:r>
          </w:p>
        </w:tc>
      </w:tr>
    </w:tbl>
    <w:p>
      <w:pPr>
        <w:pStyle w:val="Heading1"/>
        <w:spacing w:after="160" w:before="360"/>
      </w:pPr>
      <w:r>
        <w:rPr>
          <w:rFonts w:ascii="Arial" w:cs="Arial" w:eastAsia="Arial" w:hAnsi="Arial"/>
          <w:b/>
          <w:bCs/>
          <w:color w:val="1F1F1F"/>
          <w:sz w:val="36"/>
          <w:szCs w:val="36"/>
        </w:rPr>
        <w:t xml:space="preserve">Part III · Multi-Tenant Isolation</w:t>
      </w:r>
    </w:p>
    <w:p>
      <w:pPr>
        <w:spacing w:after="80" w:before="80"/>
        <w:jc w:val="left"/>
      </w:pPr>
      <w:r>
        <w:rPr>
          <w:rFonts w:ascii="Arial" w:cs="Arial" w:eastAsia="Arial" w:hAnsi="Arial"/>
          <w:b/>
          <w:bCs/>
          <w:i w:val="false"/>
          <w:iCs w:val="false"/>
          <w:color w:val="1F1F1F"/>
          <w:sz w:val="22"/>
          <w:szCs w:val="22"/>
        </w:rPr>
        <w:t xml:space="preserve">Multi-tenancy is the single highest-stakes architectural decision in this system. Every other security control depends on it being correct.</w:t>
      </w:r>
    </w:p>
    <w:p>
      <w:pPr>
        <w:pStyle w:val="Heading2"/>
        <w:spacing w:after="120" w:before="280"/>
      </w:pPr>
      <w:r>
        <w:rPr>
          <w:rFonts w:ascii="Arial" w:cs="Arial" w:eastAsia="Arial" w:hAnsi="Arial"/>
          <w:b/>
          <w:bCs/>
          <w:color w:val="1F1F1F"/>
          <w:sz w:val="28"/>
          <w:szCs w:val="28"/>
        </w:rPr>
        <w:t xml:space="preserve">4. Tenant Model</w:t>
      </w:r>
    </w:p>
    <w:p>
      <w:pPr>
        <w:spacing w:after="80" w:before="80"/>
        <w:jc w:val="left"/>
      </w:pPr>
      <w:r>
        <w:rPr>
          <w:rFonts w:ascii="Arial" w:cs="Arial" w:eastAsia="Arial" w:hAnsi="Arial"/>
          <w:b w:val="false"/>
          <w:bCs w:val="false"/>
          <w:i w:val="false"/>
          <w:iCs w:val="false"/>
          <w:color w:val="1F1F1F"/>
          <w:sz w:val="22"/>
          <w:szCs w:val="22"/>
        </w:rPr>
        <w:t xml:space="preserve">A tenant is an OffPlan customer organization (broker firm, MGA, MGU, or direct employer). A tenant owns a set of employer cases, users, scenarios, and admin configurations. Tenants do not see each other's data. Cross-tenant analytics happen only in the warehouse layer with explicit anonymization.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5720"/>
      </w:tblGrid>
      <w:tr>
        <w:trPr>
          <w:tblHeader/>
        </w:trPr>
        <w:tc>
          <w:tcPr>
            <w:tcW w:type="dxa" w:w="36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Entity</w:t>
            </w:r>
          </w:p>
        </w:tc>
        <w:tc>
          <w:tcPr>
            <w:tcW w:type="dxa" w:w="57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Tenant Scope</w:t>
            </w:r>
          </w:p>
        </w:tc>
      </w:tr>
      <w:tr>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tenants</w:t>
            </w:r>
          </w:p>
        </w:tc>
        <w:tc>
          <w:tcPr>
            <w:tcW w:type="dxa" w:w="57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Root entity; one row per customer organization</w:t>
            </w:r>
          </w:p>
        </w:tc>
      </w:tr>
      <w:tr>
        <w:tc>
          <w:tcPr>
            <w:tcW w:type="dxa" w:w="3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users</w:t>
            </w:r>
          </w:p>
        </w:tc>
        <w:tc>
          <w:tcPr>
            <w:tcW w:type="dxa" w:w="57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Belongs to a tenant; cannot access other tenants</w:t>
            </w:r>
          </w:p>
        </w:tc>
      </w:tr>
      <w:tr>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employers</w:t>
            </w:r>
          </w:p>
        </w:tc>
        <w:tc>
          <w:tcPr>
            <w:tcW w:type="dxa" w:w="57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Owned by a tenant</w:t>
            </w:r>
          </w:p>
        </w:tc>
      </w:tr>
      <w:tr>
        <w:tc>
          <w:tcPr>
            <w:tcW w:type="dxa" w:w="3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claims, scenarios, results</w:t>
            </w:r>
          </w:p>
        </w:tc>
        <w:tc>
          <w:tcPr>
            <w:tcW w:type="dxa" w:w="57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Inherit tenant via employer_id</w:t>
            </w:r>
          </w:p>
        </w:tc>
      </w:tr>
      <w:tr>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pricing_versions, rule_versions</w:t>
            </w:r>
          </w:p>
        </w:tc>
        <w:tc>
          <w:tcPr>
            <w:tcW w:type="dxa" w:w="57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Global by default; tenant-overrideable in Phase 2</w:t>
            </w:r>
          </w:p>
        </w:tc>
      </w:tr>
      <w:tr>
        <w:tc>
          <w:tcPr>
            <w:tcW w:type="dxa" w:w="36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admin_audit_log</w:t>
            </w:r>
          </w:p>
        </w:tc>
        <w:tc>
          <w:tcPr>
            <w:tcW w:type="dxa" w:w="57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Partitioned by tenant_id; auditors see only their tenant</w:t>
            </w:r>
          </w:p>
        </w:tc>
      </w:tr>
      <w:tr>
        <w:tc>
          <w:tcPr>
            <w:tcW w:type="dxa" w:w="36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benchmark_versions</w:t>
            </w:r>
          </w:p>
        </w:tc>
        <w:tc>
          <w:tcPr>
            <w:tcW w:type="dxa" w:w="57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Global; reference data shared across all tenants</w:t>
            </w:r>
          </w:p>
        </w:tc>
      </w:tr>
    </w:tbl>
    <w:p>
      <w:pPr>
        <w:pStyle w:val="Heading2"/>
        <w:spacing w:after="120" w:before="280"/>
      </w:pPr>
      <w:r>
        <w:rPr>
          <w:rFonts w:ascii="Arial" w:cs="Arial" w:eastAsia="Arial" w:hAnsi="Arial"/>
          <w:b/>
          <w:bCs/>
          <w:color w:val="1F1F1F"/>
          <w:sz w:val="28"/>
          <w:szCs w:val="28"/>
        </w:rPr>
        <w:t xml:space="preserve">5. Row-Level Security (PostgreSQL)</w:t>
      </w:r>
    </w:p>
    <w:p>
      <w:pPr>
        <w:spacing w:after="80" w:before="80"/>
        <w:jc w:val="left"/>
      </w:pPr>
      <w:r>
        <w:rPr>
          <w:rFonts w:ascii="Arial" w:cs="Arial" w:eastAsia="Arial" w:hAnsi="Arial"/>
          <w:b/>
          <w:bCs/>
          <w:i w:val="false"/>
          <w:iCs w:val="false"/>
          <w:color w:val="1F1F1F"/>
          <w:sz w:val="22"/>
          <w:szCs w:val="22"/>
        </w:rPr>
        <w:t xml:space="preserve">Every PHI-touching table enforces tenant isolation at the database layer through PostgreSQL row-level security policies. The application sets a session-scoped tenant_id at connection time; all queries filter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8"/>
            <w:tcBorders>
              <w:top w:val="none" w:color="FFFFFF" w:sz="0"/>
              <w:left w:val="single" w:color="1F1F1F" w:sz="24"/>
              <w:bottom w:val="none" w:color="FFFFFF" w:sz="0"/>
              <w:right w:val="none" w:color="FFFFFF" w:sz="0"/>
            </w:tcBorders>
            <w:shd w:fill="F7F7F5" w:val="clear"/>
            <w:tcMar>
              <w:top w:type="dxa" w:w="200"/>
              <w:left w:type="dxa" w:w="240"/>
              <w:bottom w:type="dxa" w:w="200"/>
              <w:right w:type="dxa" w:w="200"/>
            </w:tcMar>
          </w:tcPr>
          <w:p>
            <w:r>
              <w:rPr>
                <w:rFonts w:ascii="Consolas" w:cs="Consolas" w:eastAsia="Consolas" w:hAnsi="Consolas"/>
                <w:b w:val="false"/>
                <w:bCs w:val="false"/>
                <w:i w:val="false"/>
                <w:iCs w:val="false"/>
                <w:color w:val="1F1F1F"/>
                <w:sz w:val="18"/>
                <w:szCs w:val="18"/>
              </w:rPr>
              <w:t xml:space="preserve">ALTER TABLE claims ENABLE ROW LEVEL SECURITY;
CREATE POLICY tenant_isolation_claims ON claims
  USING (tenant_id = current_setting('app.tenant_id')::uuid);
-- Application sets at connection or transaction start:
SET LOCAL app.tenant_id = '00000000-0000-0000-0000-000000000001';</w:t>
            </w:r>
          </w:p>
        </w:tc>
      </w:tr>
    </w:tbl>
    <w:p>
      <w:pPr>
        <w:spacing w:after="80" w:before="80"/>
        <w:jc w:val="left"/>
      </w:pPr>
      <w:r>
        <w:rPr>
          <w:rFonts w:ascii="Arial" w:cs="Arial" w:eastAsia="Arial" w:hAnsi="Arial"/>
          <w:b/>
          <w:bCs/>
          <w:i w:val="false"/>
          <w:iCs w:val="false"/>
          <w:color w:val="1F1F1F"/>
          <w:sz w:val="22"/>
          <w:szCs w:val="22"/>
        </w:rPr>
        <w:t xml:space="preserve">Mandatory rules:</w:t>
      </w:r>
    </w:p>
    <w:p>
      <w:pPr>
        <w:pStyle w:val="ListParagraph"/>
        <w:numPr>
          <w:ilvl w:val="0"/>
          <w:numId w:val="3"/>
        </w:numPr>
        <w:spacing w:after="30" w:before="30"/>
      </w:pPr>
      <w:r>
        <w:rPr>
          <w:rFonts w:ascii="Arial" w:cs="Arial" w:eastAsia="Arial" w:hAnsi="Arial"/>
          <w:color w:val="1F1F1F"/>
          <w:sz w:val="22"/>
          <w:szCs w:val="22"/>
        </w:rPr>
        <w:t xml:space="preserve">Every PHI table has a tenant_id column with NOT NULL and FK to tenants(id).</w:t>
      </w:r>
    </w:p>
    <w:p>
      <w:pPr>
        <w:pStyle w:val="ListParagraph"/>
        <w:numPr>
          <w:ilvl w:val="0"/>
          <w:numId w:val="3"/>
        </w:numPr>
        <w:spacing w:after="30" w:before="30"/>
      </w:pPr>
      <w:r>
        <w:rPr>
          <w:rFonts w:ascii="Arial" w:cs="Arial" w:eastAsia="Arial" w:hAnsi="Arial"/>
          <w:color w:val="1F1F1F"/>
          <w:sz w:val="22"/>
          <w:szCs w:val="22"/>
        </w:rPr>
        <w:t xml:space="preserve">Every PHI table has row-level security ENABLED.</w:t>
      </w:r>
    </w:p>
    <w:p>
      <w:pPr>
        <w:pStyle w:val="ListParagraph"/>
        <w:numPr>
          <w:ilvl w:val="0"/>
          <w:numId w:val="3"/>
        </w:numPr>
        <w:spacing w:after="30" w:before="30"/>
      </w:pPr>
      <w:r>
        <w:rPr>
          <w:rFonts w:ascii="Arial" w:cs="Arial" w:eastAsia="Arial" w:hAnsi="Arial"/>
          <w:color w:val="1F1F1F"/>
          <w:sz w:val="22"/>
          <w:szCs w:val="22"/>
        </w:rPr>
        <w:t xml:space="preserve">Every PHI table has at least one policy enforcing tenant_id = current_setting('app.tenant_id')::uuid.</w:t>
      </w:r>
    </w:p>
    <w:p>
      <w:pPr>
        <w:pStyle w:val="ListParagraph"/>
        <w:numPr>
          <w:ilvl w:val="0"/>
          <w:numId w:val="3"/>
        </w:numPr>
        <w:spacing w:after="30" w:before="30"/>
      </w:pPr>
      <w:r>
        <w:rPr>
          <w:rFonts w:ascii="Arial" w:cs="Arial" w:eastAsia="Arial" w:hAnsi="Arial"/>
          <w:color w:val="1F1F1F"/>
          <w:sz w:val="22"/>
          <w:szCs w:val="22"/>
        </w:rPr>
        <w:t xml:space="preserve">Application code never disables RLS. The bypass role exists only for migrations and is never granted to application services.</w:t>
      </w:r>
    </w:p>
    <w:p>
      <w:pPr>
        <w:pStyle w:val="ListParagraph"/>
        <w:numPr>
          <w:ilvl w:val="0"/>
          <w:numId w:val="3"/>
        </w:numPr>
        <w:spacing w:after="30" w:before="30"/>
      </w:pPr>
      <w:r>
        <w:rPr>
          <w:rFonts w:ascii="Arial" w:cs="Arial" w:eastAsia="Arial" w:hAnsi="Arial"/>
          <w:color w:val="1F1F1F"/>
          <w:sz w:val="22"/>
          <w:szCs w:val="22"/>
        </w:rPr>
        <w:t xml:space="preserve">Audit tests run nightly against a known cross-tenant attack vector. Failures page the on-call engineer.</w:t>
      </w:r>
    </w:p>
    <w:p>
      <w:pPr>
        <w:pStyle w:val="Heading2"/>
        <w:spacing w:after="120" w:before="280"/>
      </w:pPr>
      <w:r>
        <w:rPr>
          <w:rFonts w:ascii="Arial" w:cs="Arial" w:eastAsia="Arial" w:hAnsi="Arial"/>
          <w:b/>
          <w:bCs/>
          <w:color w:val="1F1F1F"/>
          <w:sz w:val="28"/>
          <w:szCs w:val="28"/>
        </w:rPr>
        <w:t xml:space="preserve">6. API-Level Tenant Enforcement</w:t>
      </w:r>
    </w:p>
    <w:p>
      <w:pPr>
        <w:spacing w:after="80" w:before="80"/>
        <w:jc w:val="left"/>
      </w:pPr>
      <w:r>
        <w:rPr>
          <w:rFonts w:ascii="Arial" w:cs="Arial" w:eastAsia="Arial" w:hAnsi="Arial"/>
          <w:b w:val="false"/>
          <w:bCs w:val="false"/>
          <w:i w:val="false"/>
          <w:iCs w:val="false"/>
          <w:color w:val="1F1F1F"/>
          <w:sz w:val="22"/>
          <w:szCs w:val="22"/>
        </w:rPr>
        <w:t xml:space="preserve">In addition to RLS, the API gateway and application layer enforce tenant scope:</w:t>
      </w:r>
    </w:p>
    <w:p>
      <w:pPr>
        <w:pStyle w:val="ListParagraph"/>
        <w:numPr>
          <w:ilvl w:val="0"/>
          <w:numId w:val="2"/>
        </w:numPr>
        <w:spacing w:after="30" w:before="30"/>
      </w:pPr>
      <w:r>
        <w:rPr>
          <w:rFonts w:ascii="Arial" w:cs="Arial" w:eastAsia="Arial" w:hAnsi="Arial"/>
          <w:color w:val="1F1F1F"/>
          <w:sz w:val="22"/>
          <w:szCs w:val="22"/>
        </w:rPr>
        <w:t xml:space="preserve">Every authenticated user's JWT includes tenant_id as a signed claim.</w:t>
      </w:r>
    </w:p>
    <w:p>
      <w:pPr>
        <w:pStyle w:val="ListParagraph"/>
        <w:numPr>
          <w:ilvl w:val="0"/>
          <w:numId w:val="2"/>
        </w:numPr>
        <w:spacing w:after="30" w:before="30"/>
      </w:pPr>
      <w:r>
        <w:rPr>
          <w:rFonts w:ascii="Arial" w:cs="Arial" w:eastAsia="Arial" w:hAnsi="Arial"/>
          <w:color w:val="1F1F1F"/>
          <w:sz w:val="22"/>
          <w:szCs w:val="22"/>
        </w:rPr>
        <w:t xml:space="preserve">API gateway rejects requests where the path-level tenant_id does not match the JWT tenant_id.</w:t>
      </w:r>
    </w:p>
    <w:p>
      <w:pPr>
        <w:pStyle w:val="ListParagraph"/>
        <w:numPr>
          <w:ilvl w:val="0"/>
          <w:numId w:val="2"/>
        </w:numPr>
        <w:spacing w:after="30" w:before="30"/>
      </w:pPr>
      <w:r>
        <w:rPr>
          <w:rFonts w:ascii="Arial" w:cs="Arial" w:eastAsia="Arial" w:hAnsi="Arial"/>
          <w:color w:val="1F1F1F"/>
          <w:sz w:val="22"/>
          <w:szCs w:val="22"/>
        </w:rPr>
        <w:t xml:space="preserve">Application services set the database session tenant_id from the JWT, never from request parameters.</w:t>
      </w:r>
    </w:p>
    <w:p>
      <w:pPr>
        <w:pStyle w:val="ListParagraph"/>
        <w:numPr>
          <w:ilvl w:val="0"/>
          <w:numId w:val="2"/>
        </w:numPr>
        <w:spacing w:after="30" w:before="30"/>
      </w:pPr>
      <w:r>
        <w:rPr>
          <w:rFonts w:ascii="Arial" w:cs="Arial" w:eastAsia="Arial" w:hAnsi="Arial"/>
          <w:color w:val="1F1F1F"/>
          <w:sz w:val="22"/>
          <w:szCs w:val="22"/>
        </w:rPr>
        <w:t xml:space="preserve">Cross-tenant requests fail closed: missing tenant context returns 403, never empty results.</w:t>
      </w:r>
    </w:p>
    <w:p>
      <w:pPr>
        <w:pStyle w:val="Heading1"/>
        <w:spacing w:after="160" w:before="360"/>
      </w:pPr>
      <w:r>
        <w:rPr>
          <w:rFonts w:ascii="Arial" w:cs="Arial" w:eastAsia="Arial" w:hAnsi="Arial"/>
          <w:b/>
          <w:bCs/>
          <w:color w:val="1F1F1F"/>
          <w:sz w:val="36"/>
          <w:szCs w:val="36"/>
        </w:rPr>
        <w:t xml:space="preserve">Part IV · PHI Security Controls</w:t>
      </w:r>
    </w:p>
    <w:p>
      <w:pPr>
        <w:pStyle w:val="Heading2"/>
        <w:spacing w:after="120" w:before="280"/>
      </w:pPr>
      <w:r>
        <w:rPr>
          <w:rFonts w:ascii="Arial" w:cs="Arial" w:eastAsia="Arial" w:hAnsi="Arial"/>
          <w:b/>
          <w:bCs/>
          <w:color w:val="1F1F1F"/>
          <w:sz w:val="28"/>
          <w:szCs w:val="28"/>
        </w:rPr>
        <w:t xml:space="preserve">7.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Classification</w:t>
            </w:r>
          </w:p>
        </w:tc>
        <w:tc>
          <w:tcPr>
            <w:tcW w:type="dxa" w:w="4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Examples</w:t>
            </w:r>
          </w:p>
        </w:tc>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Required Controls</w:t>
            </w:r>
          </w:p>
        </w:tc>
      </w:tr>
      <w:tr>
        <w:tc>
          <w:tcPr>
            <w:tcW w:type="dxa" w:w="15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PHI</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member_id, age, gender, ICD-10, CPT, claim amounts, service dates</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Encryption at rest + in transit, field-level encryption, audit logging, RLS</w:t>
            </w:r>
          </w:p>
        </w:tc>
      </w:tr>
      <w:tr>
        <w:tc>
          <w:tcPr>
            <w:tcW w:type="dxa" w:w="15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PII</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User names, emails, NPIs</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Encryption at rest + in transit, audit logging</w:t>
            </w:r>
          </w:p>
        </w:tc>
      </w:tr>
      <w:tr>
        <w:tc>
          <w:tcPr>
            <w:tcW w:type="dxa" w:w="15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Financial</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Allowed amounts, paid amounts, employer spend</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Encryption at rest + in transit, audit logging</w:t>
            </w:r>
          </w:p>
        </w:tc>
      </w:tr>
      <w:tr>
        <w:tc>
          <w:tcPr>
            <w:tcW w:type="dxa" w:w="156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Internal</w:t>
            </w:r>
          </w:p>
        </w:tc>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Pricing tables, rule sets, scenarios</w:t>
            </w:r>
          </w:p>
        </w:tc>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Encryption at rest + in transit, version control</w:t>
            </w:r>
          </w:p>
        </w:tc>
      </w:tr>
      <w:tr>
        <w:tc>
          <w:tcPr>
            <w:tcW w:type="dxa" w:w="156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Public</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Documentation, marketing copy</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No special controls</w:t>
            </w:r>
          </w:p>
        </w:tc>
      </w:tr>
    </w:tbl>
    <w:p>
      <w:pPr>
        <w:pStyle w:val="Heading2"/>
        <w:spacing w:after="120" w:before="280"/>
      </w:pPr>
      <w:r>
        <w:rPr>
          <w:rFonts w:ascii="Arial" w:cs="Arial" w:eastAsia="Arial" w:hAnsi="Arial"/>
          <w:b/>
          <w:bCs/>
          <w:color w:val="1F1F1F"/>
          <w:sz w:val="28"/>
          <w:szCs w:val="28"/>
        </w:rPr>
        <w:t xml:space="preserve">8. Encryption</w:t>
      </w:r>
    </w:p>
    <w:p>
      <w:pPr>
        <w:pStyle w:val="Heading3"/>
        <w:spacing w:after="80" w:before="200"/>
      </w:pPr>
      <w:r>
        <w:rPr>
          <w:rFonts w:ascii="Arial" w:cs="Arial" w:eastAsia="Arial" w:hAnsi="Arial"/>
          <w:b/>
          <w:bCs/>
          <w:color w:val="1F1F1F"/>
          <w:sz w:val="24"/>
          <w:szCs w:val="24"/>
        </w:rPr>
        <w:t xml:space="preserve">8.1 In Transit</w:t>
      </w:r>
    </w:p>
    <w:p>
      <w:pPr>
        <w:pStyle w:val="ListParagraph"/>
        <w:numPr>
          <w:ilvl w:val="0"/>
          <w:numId w:val="2"/>
        </w:numPr>
        <w:spacing w:after="30" w:before="30"/>
      </w:pPr>
      <w:r>
        <w:rPr>
          <w:rFonts w:ascii="Arial" w:cs="Arial" w:eastAsia="Arial" w:hAnsi="Arial"/>
          <w:color w:val="1F1F1F"/>
          <w:sz w:val="22"/>
          <w:szCs w:val="22"/>
        </w:rPr>
        <w:t xml:space="preserve">External traffic: TLS 1.2 minimum, TLS 1.3 preferred. Strong cipher suites only. HSTS enforced.</w:t>
      </w:r>
    </w:p>
    <w:p>
      <w:pPr>
        <w:pStyle w:val="ListParagraph"/>
        <w:numPr>
          <w:ilvl w:val="0"/>
          <w:numId w:val="2"/>
        </w:numPr>
        <w:spacing w:after="30" w:before="30"/>
      </w:pPr>
      <w:r>
        <w:rPr>
          <w:rFonts w:ascii="Arial" w:cs="Arial" w:eastAsia="Arial" w:hAnsi="Arial"/>
          <w:color w:val="1F1F1F"/>
          <w:sz w:val="22"/>
          <w:szCs w:val="22"/>
        </w:rPr>
        <w:t xml:space="preserve">Internal service-to-service: mTLS with per-service identity certificates rotated automatically.</w:t>
      </w:r>
    </w:p>
    <w:p>
      <w:pPr>
        <w:pStyle w:val="ListParagraph"/>
        <w:numPr>
          <w:ilvl w:val="0"/>
          <w:numId w:val="2"/>
        </w:numPr>
        <w:spacing w:after="30" w:before="30"/>
      </w:pPr>
      <w:r>
        <w:rPr>
          <w:rFonts w:ascii="Arial" w:cs="Arial" w:eastAsia="Arial" w:hAnsi="Arial"/>
          <w:color w:val="1F1F1F"/>
          <w:sz w:val="22"/>
          <w:szCs w:val="22"/>
        </w:rPr>
        <w:t xml:space="preserve">Outbound calls to vendor APIs: TLS with certificate pinning where the vendor supports it.</w:t>
      </w:r>
    </w:p>
    <w:p>
      <w:pPr>
        <w:pStyle w:val="Heading3"/>
        <w:spacing w:after="80" w:before="200"/>
      </w:pPr>
      <w:r>
        <w:rPr>
          <w:rFonts w:ascii="Arial" w:cs="Arial" w:eastAsia="Arial" w:hAnsi="Arial"/>
          <w:b/>
          <w:bCs/>
          <w:color w:val="1F1F1F"/>
          <w:sz w:val="24"/>
          <w:szCs w:val="24"/>
        </w:rPr>
        <w:t xml:space="preserve">8.2 At Rest</w:t>
      </w:r>
    </w:p>
    <w:p>
      <w:pPr>
        <w:pStyle w:val="ListParagraph"/>
        <w:numPr>
          <w:ilvl w:val="0"/>
          <w:numId w:val="2"/>
        </w:numPr>
        <w:spacing w:after="30" w:before="30"/>
      </w:pPr>
      <w:r>
        <w:rPr>
          <w:rFonts w:ascii="Arial" w:cs="Arial" w:eastAsia="Arial" w:hAnsi="Arial"/>
          <w:color w:val="1F1F1F"/>
          <w:sz w:val="22"/>
          <w:szCs w:val="22"/>
        </w:rPr>
        <w:t xml:space="preserve">All databases, caches, queues, and S3 buckets: AES-256 via AWS KMS.</w:t>
      </w:r>
    </w:p>
    <w:p>
      <w:pPr>
        <w:pStyle w:val="ListParagraph"/>
        <w:numPr>
          <w:ilvl w:val="0"/>
          <w:numId w:val="2"/>
        </w:numPr>
        <w:spacing w:after="30" w:before="30"/>
      </w:pPr>
      <w:r>
        <w:rPr>
          <w:rFonts w:ascii="Arial" w:cs="Arial" w:eastAsia="Arial" w:hAnsi="Arial"/>
          <w:color w:val="1F1F1F"/>
          <w:sz w:val="22"/>
          <w:szCs w:val="22"/>
        </w:rPr>
        <w:t xml:space="preserve">KMS keys rotated annually with automated rotation enabled.</w:t>
      </w:r>
    </w:p>
    <w:p>
      <w:pPr>
        <w:pStyle w:val="ListParagraph"/>
        <w:numPr>
          <w:ilvl w:val="0"/>
          <w:numId w:val="2"/>
        </w:numPr>
        <w:spacing w:after="30" w:before="30"/>
      </w:pPr>
      <w:r>
        <w:rPr>
          <w:rFonts w:ascii="Arial" w:cs="Arial" w:eastAsia="Arial" w:hAnsi="Arial"/>
          <w:color w:val="1F1F1F"/>
          <w:sz w:val="22"/>
          <w:szCs w:val="22"/>
        </w:rPr>
        <w:t xml:space="preserve">Backup snapshots inherit encryption.</w:t>
      </w:r>
    </w:p>
    <w:p>
      <w:pPr>
        <w:pStyle w:val="ListParagraph"/>
        <w:numPr>
          <w:ilvl w:val="0"/>
          <w:numId w:val="2"/>
        </w:numPr>
        <w:spacing w:after="30" w:before="30"/>
      </w:pPr>
      <w:r>
        <w:rPr>
          <w:rFonts w:ascii="Arial" w:cs="Arial" w:eastAsia="Arial" w:hAnsi="Arial"/>
          <w:color w:val="1F1F1F"/>
          <w:sz w:val="22"/>
          <w:szCs w:val="22"/>
        </w:rPr>
        <w:t xml:space="preserve">Database encryption keys are CMKs (customer-managed), not AWS-managed defaults.</w:t>
      </w:r>
    </w:p>
    <w:p>
      <w:pPr>
        <w:pStyle w:val="Heading3"/>
        <w:spacing w:after="80" w:before="200"/>
      </w:pPr>
      <w:r>
        <w:rPr>
          <w:rFonts w:ascii="Arial" w:cs="Arial" w:eastAsia="Arial" w:hAnsi="Arial"/>
          <w:b/>
          <w:bCs/>
          <w:color w:val="1F1F1F"/>
          <w:sz w:val="24"/>
          <w:szCs w:val="24"/>
        </w:rPr>
        <w:t xml:space="preserve">8.3 Application-Level (PHI Fields)</w:t>
      </w:r>
    </w:p>
    <w:p>
      <w:pPr>
        <w:spacing w:after="80" w:before="80"/>
        <w:jc w:val="left"/>
      </w:pPr>
      <w:r>
        <w:rPr>
          <w:rFonts w:ascii="Arial" w:cs="Arial" w:eastAsia="Arial" w:hAnsi="Arial"/>
          <w:b w:val="false"/>
          <w:bCs w:val="false"/>
          <w:i w:val="false"/>
          <w:iCs w:val="false"/>
          <w:color w:val="1F1F1F"/>
          <w:sz w:val="22"/>
          <w:szCs w:val="22"/>
        </w:rPr>
        <w:t xml:space="preserve">Specific PHI fields receive additional application-level encryption beyond the database's transparent encryption. This protects against a database read by a privileged but improperly scoped user (DBA, backup operator).</w:t>
      </w:r>
    </w:p>
    <w:p>
      <w:pPr>
        <w:pStyle w:val="ListParagraph"/>
        <w:numPr>
          <w:ilvl w:val="0"/>
          <w:numId w:val="2"/>
        </w:numPr>
        <w:spacing w:after="30" w:before="30"/>
      </w:pPr>
      <w:r>
        <w:rPr>
          <w:rFonts w:ascii="Arial" w:cs="Arial" w:eastAsia="Arial" w:hAnsi="Arial"/>
          <w:color w:val="1F1F1F"/>
          <w:sz w:val="22"/>
          <w:szCs w:val="22"/>
        </w:rPr>
        <w:t xml:space="preserve">Encrypted fields: member_id (when stored in plaintext is avoidable), icd10_primary, icd10_secondary, ndc_codes, raw_payload.</w:t>
      </w:r>
    </w:p>
    <w:p>
      <w:pPr>
        <w:pStyle w:val="ListParagraph"/>
        <w:numPr>
          <w:ilvl w:val="0"/>
          <w:numId w:val="2"/>
        </w:numPr>
        <w:spacing w:after="30" w:before="30"/>
      </w:pPr>
      <w:r>
        <w:rPr>
          <w:rFonts w:ascii="Arial" w:cs="Arial" w:eastAsia="Arial" w:hAnsi="Arial"/>
          <w:color w:val="1F1F1F"/>
          <w:sz w:val="22"/>
          <w:szCs w:val="22"/>
        </w:rPr>
        <w:t xml:space="preserve">Decryption requires application context (session tenant + role).</w:t>
      </w:r>
    </w:p>
    <w:p>
      <w:pPr>
        <w:pStyle w:val="ListParagraph"/>
        <w:numPr>
          <w:ilvl w:val="0"/>
          <w:numId w:val="2"/>
        </w:numPr>
        <w:spacing w:after="30" w:before="30"/>
      </w:pPr>
      <w:r>
        <w:rPr>
          <w:rFonts w:ascii="Arial" w:cs="Arial" w:eastAsia="Arial" w:hAnsi="Arial"/>
          <w:color w:val="1F1F1F"/>
          <w:sz w:val="22"/>
          <w:szCs w:val="22"/>
        </w:rPr>
        <w:t xml:space="preserve">Field encryption keys are scoped per-tenant and stored in Secrets Manager.</w:t>
      </w:r>
    </w:p>
    <w:p>
      <w:pPr>
        <w:pStyle w:val="Heading2"/>
        <w:spacing w:after="120" w:before="280"/>
      </w:pPr>
      <w:r>
        <w:rPr>
          <w:rFonts w:ascii="Arial" w:cs="Arial" w:eastAsia="Arial" w:hAnsi="Arial"/>
          <w:b/>
          <w:bCs/>
          <w:color w:val="1F1F1F"/>
          <w:sz w:val="28"/>
          <w:szCs w:val="28"/>
        </w:rPr>
        <w:t xml:space="preserve">9. Authentication &amp; Authorization</w:t>
      </w:r>
    </w:p>
    <w:p>
      <w:pPr>
        <w:pStyle w:val="Heading3"/>
        <w:spacing w:after="80" w:before="200"/>
      </w:pPr>
      <w:r>
        <w:rPr>
          <w:rFonts w:ascii="Arial" w:cs="Arial" w:eastAsia="Arial" w:hAnsi="Arial"/>
          <w:b/>
          <w:bCs/>
          <w:color w:val="1F1F1F"/>
          <w:sz w:val="24"/>
          <w:szCs w:val="24"/>
        </w:rPr>
        <w:t xml:space="preserve">9.1 User Authentication</w:t>
      </w:r>
    </w:p>
    <w:p>
      <w:pPr>
        <w:pStyle w:val="ListParagraph"/>
        <w:numPr>
          <w:ilvl w:val="0"/>
          <w:numId w:val="2"/>
        </w:numPr>
        <w:spacing w:after="30" w:before="30"/>
      </w:pPr>
      <w:r>
        <w:rPr>
          <w:rFonts w:ascii="Arial" w:cs="Arial" w:eastAsia="Arial" w:hAnsi="Arial"/>
          <w:color w:val="1F1F1F"/>
          <w:sz w:val="22"/>
          <w:szCs w:val="22"/>
        </w:rPr>
        <w:t xml:space="preserve">OAuth2 / OpenID Connect via Auth0 or Keycloak.</w:t>
      </w:r>
    </w:p>
    <w:p>
      <w:pPr>
        <w:pStyle w:val="ListParagraph"/>
        <w:numPr>
          <w:ilvl w:val="0"/>
          <w:numId w:val="2"/>
        </w:numPr>
        <w:spacing w:after="30" w:before="30"/>
      </w:pPr>
      <w:r>
        <w:rPr>
          <w:rFonts w:ascii="Arial" w:cs="Arial" w:eastAsia="Arial" w:hAnsi="Arial"/>
          <w:color w:val="1F1F1F"/>
          <w:sz w:val="22"/>
          <w:szCs w:val="22"/>
        </w:rPr>
        <w:t xml:space="preserve">Multi-factor authentication required for all users. No exceptions.</w:t>
      </w:r>
    </w:p>
    <w:p>
      <w:pPr>
        <w:pStyle w:val="ListParagraph"/>
        <w:numPr>
          <w:ilvl w:val="0"/>
          <w:numId w:val="2"/>
        </w:numPr>
        <w:spacing w:after="30" w:before="30"/>
      </w:pPr>
      <w:r>
        <w:rPr>
          <w:rFonts w:ascii="Arial" w:cs="Arial" w:eastAsia="Arial" w:hAnsi="Arial"/>
          <w:color w:val="1F1F1F"/>
          <w:sz w:val="22"/>
          <w:szCs w:val="22"/>
        </w:rPr>
        <w:t xml:space="preserve">No shared accounts. Every action is attributable to a real human user.</w:t>
      </w:r>
    </w:p>
    <w:p>
      <w:pPr>
        <w:pStyle w:val="ListParagraph"/>
        <w:numPr>
          <w:ilvl w:val="0"/>
          <w:numId w:val="2"/>
        </w:numPr>
        <w:spacing w:after="30" w:before="30"/>
      </w:pPr>
      <w:r>
        <w:rPr>
          <w:rFonts w:ascii="Arial" w:cs="Arial" w:eastAsia="Arial" w:hAnsi="Arial"/>
          <w:color w:val="1F1F1F"/>
          <w:sz w:val="22"/>
          <w:szCs w:val="22"/>
        </w:rPr>
        <w:t xml:space="preserve">Session tokens are short-lived (15 minutes) with automatic refresh via OIDC.</w:t>
      </w:r>
    </w:p>
    <w:p>
      <w:pPr>
        <w:pStyle w:val="ListParagraph"/>
        <w:numPr>
          <w:ilvl w:val="0"/>
          <w:numId w:val="2"/>
        </w:numPr>
        <w:spacing w:after="30" w:before="30"/>
      </w:pPr>
      <w:r>
        <w:rPr>
          <w:rFonts w:ascii="Arial" w:cs="Arial" w:eastAsia="Arial" w:hAnsi="Arial"/>
          <w:color w:val="1F1F1F"/>
          <w:sz w:val="22"/>
          <w:szCs w:val="22"/>
        </w:rPr>
        <w:t xml:space="preserve">Tokens are never persisted in client-side storage outside HttpOnly secure cookies.</w:t>
      </w:r>
    </w:p>
    <w:p>
      <w:pPr>
        <w:pStyle w:val="Heading3"/>
        <w:spacing w:after="80" w:before="200"/>
      </w:pPr>
      <w:r>
        <w:rPr>
          <w:rFonts w:ascii="Arial" w:cs="Arial" w:eastAsia="Arial" w:hAnsi="Arial"/>
          <w:b/>
          <w:bCs/>
          <w:color w:val="1F1F1F"/>
          <w:sz w:val="24"/>
          <w:szCs w:val="24"/>
        </w:rPr>
        <w:t xml:space="preserve">9.2 Service-to-Service Authentication</w:t>
      </w:r>
    </w:p>
    <w:p>
      <w:pPr>
        <w:pStyle w:val="ListParagraph"/>
        <w:numPr>
          <w:ilvl w:val="0"/>
          <w:numId w:val="2"/>
        </w:numPr>
        <w:spacing w:after="30" w:before="30"/>
      </w:pPr>
      <w:r>
        <w:rPr>
          <w:rFonts w:ascii="Arial" w:cs="Arial" w:eastAsia="Arial" w:hAnsi="Arial"/>
          <w:color w:val="1F1F1F"/>
          <w:sz w:val="22"/>
          <w:szCs w:val="22"/>
        </w:rPr>
        <w:t xml:space="preserve">OAuth2 client-credentials flow with JWT service tokens issued by the auth provider.</w:t>
      </w:r>
    </w:p>
    <w:p>
      <w:pPr>
        <w:pStyle w:val="ListParagraph"/>
        <w:numPr>
          <w:ilvl w:val="0"/>
          <w:numId w:val="2"/>
        </w:numPr>
        <w:spacing w:after="30" w:before="30"/>
      </w:pPr>
      <w:r>
        <w:rPr>
          <w:rFonts w:ascii="Arial" w:cs="Arial" w:eastAsia="Arial" w:hAnsi="Arial"/>
          <w:color w:val="1F1F1F"/>
          <w:sz w:val="22"/>
          <w:szCs w:val="22"/>
        </w:rPr>
        <w:t xml:space="preserve">mTLS at the service mesh layer with per-service certificates.</w:t>
      </w:r>
    </w:p>
    <w:p>
      <w:pPr>
        <w:pStyle w:val="ListParagraph"/>
        <w:numPr>
          <w:ilvl w:val="0"/>
          <w:numId w:val="2"/>
        </w:numPr>
        <w:spacing w:after="30" w:before="30"/>
      </w:pPr>
      <w:r>
        <w:rPr>
          <w:rFonts w:ascii="Arial" w:cs="Arial" w:eastAsia="Arial" w:hAnsi="Arial"/>
          <w:color w:val="1F1F1F"/>
          <w:sz w:val="22"/>
          <w:szCs w:val="22"/>
        </w:rPr>
        <w:t xml:space="preserve">Scopes are domain-specific (e.g., claims:read, scenarios:write).</w:t>
      </w:r>
    </w:p>
    <w:p>
      <w:pPr>
        <w:pStyle w:val="Heading3"/>
        <w:spacing w:after="80" w:before="200"/>
      </w:pPr>
      <w:r>
        <w:rPr>
          <w:rFonts w:ascii="Arial" w:cs="Arial" w:eastAsia="Arial" w:hAnsi="Arial"/>
          <w:b/>
          <w:bCs/>
          <w:color w:val="1F1F1F"/>
          <w:sz w:val="24"/>
          <w:szCs w:val="24"/>
        </w:rPr>
        <w:t xml:space="preserve">9.3 Authorization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7540"/>
      </w:tblGrid>
      <w:tr>
        <w:trPr>
          <w:tblHeader/>
        </w:trPr>
        <w:tc>
          <w:tcPr>
            <w:tcW w:type="dxa" w:w="18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Role</w:t>
            </w:r>
          </w:p>
        </w:tc>
        <w:tc>
          <w:tcPr>
            <w:tcW w:type="dxa" w:w="75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Permissions</w:t>
            </w:r>
          </w:p>
        </w:tc>
      </w:tr>
      <w:tr>
        <w:tc>
          <w:tcPr>
            <w:tcW w:type="dxa" w:w="18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admin</w:t>
            </w:r>
          </w:p>
        </w:tc>
        <w:tc>
          <w:tcPr>
            <w:tcW w:type="dxa" w:w="75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Full access to all tenant configuration, version management, audit log read</w:t>
            </w:r>
          </w:p>
        </w:tc>
      </w:tr>
      <w:tr>
        <w:tc>
          <w:tcPr>
            <w:tcW w:type="dxa" w:w="18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underwriter</w:t>
            </w:r>
          </w:p>
        </w:tc>
        <w:tc>
          <w:tcPr>
            <w:tcW w:type="dxa" w:w="75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Create employer cases, run scenarios, view all claims and outputs, no admin</w:t>
            </w:r>
          </w:p>
        </w:tc>
      </w:tr>
      <w:tr>
        <w:tc>
          <w:tcPr>
            <w:tcW w:type="dxa" w:w="18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analyst</w:t>
            </w:r>
          </w:p>
        </w:tc>
        <w:tc>
          <w:tcPr>
            <w:tcW w:type="dxa" w:w="75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Create employer cases, run scenarios, manual override claims with reason</w:t>
            </w:r>
          </w:p>
        </w:tc>
      </w:tr>
      <w:tr>
        <w:tc>
          <w:tcPr>
            <w:tcW w:type="dxa" w:w="18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broker</w:t>
            </w:r>
          </w:p>
        </w:tc>
        <w:tc>
          <w:tcPr>
            <w:tcW w:type="dxa" w:w="75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Create employer cases, view scenarios for assigned employers, no override</w:t>
            </w:r>
          </w:p>
        </w:tc>
      </w:tr>
      <w:tr>
        <w:tc>
          <w:tcPr>
            <w:tcW w:type="dxa" w:w="18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bCs/>
                <w:color w:val="1F1F1F"/>
                <w:sz w:val="20"/>
                <w:szCs w:val="20"/>
              </w:rPr>
              <w:t xml:space="preserve">viewer</w:t>
            </w:r>
          </w:p>
        </w:tc>
        <w:tc>
          <w:tcPr>
            <w:tcW w:type="dxa" w:w="75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Read-only access to assigned employers</w:t>
            </w:r>
          </w:p>
        </w:tc>
      </w:tr>
    </w:tbl>
    <w:p>
      <w:pPr>
        <w:spacing w:after="80" w:before="80"/>
      </w:pPr>
      <w:r>
        <w:t xml:space="preserve"/>
      </w:r>
    </w:p>
    <w:p>
      <w:pPr>
        <w:spacing w:after="80" w:before="80"/>
        <w:jc w:val="left"/>
      </w:pPr>
      <w:r>
        <w:rPr>
          <w:rFonts w:ascii="Arial" w:cs="Arial" w:eastAsia="Arial" w:hAnsi="Arial"/>
          <w:b w:val="false"/>
          <w:bCs w:val="false"/>
          <w:i/>
          <w:iCs/>
          <w:color w:val="1F1F1F"/>
          <w:sz w:val="22"/>
          <w:szCs w:val="22"/>
        </w:rPr>
        <w:t xml:space="preserve">Permissions are enforced at the API gateway via JWT claim validation and again at the database via row-level security policies that consider both tenant_id and role.</w:t>
      </w:r>
    </w:p>
    <w:p>
      <w:pPr>
        <w:pStyle w:val="Heading2"/>
        <w:spacing w:after="120" w:before="280"/>
      </w:pPr>
      <w:r>
        <w:rPr>
          <w:rFonts w:ascii="Arial" w:cs="Arial" w:eastAsia="Arial" w:hAnsi="Arial"/>
          <w:b/>
          <w:bCs/>
          <w:color w:val="1F1F1F"/>
          <w:sz w:val="28"/>
          <w:szCs w:val="28"/>
        </w:rPr>
        <w:t xml:space="preserve">10. Audit Logging</w:t>
      </w:r>
    </w:p>
    <w:p>
      <w:pPr>
        <w:spacing w:after="80" w:before="80"/>
        <w:jc w:val="left"/>
      </w:pPr>
      <w:r>
        <w:rPr>
          <w:rFonts w:ascii="Arial" w:cs="Arial" w:eastAsia="Arial" w:hAnsi="Arial"/>
          <w:b/>
          <w:bCs/>
          <w:i w:val="false"/>
          <w:iCs w:val="false"/>
          <w:color w:val="1F1F1F"/>
          <w:sz w:val="22"/>
          <w:szCs w:val="22"/>
        </w:rPr>
        <w:t xml:space="preserve">Every action that touches PHI or modifies system state writes a row to admin_audit_log. The log is append-only. There are no delete or update operations.</w:t>
      </w:r>
    </w:p>
    <w:p>
      <w:pPr>
        <w:spacing w:after="80" w:before="80"/>
      </w:pPr>
      <w:r>
        <w:t xml:space="preserve"/>
      </w:r>
    </w:p>
    <w:p>
      <w:pPr>
        <w:pStyle w:val="ListParagraph"/>
        <w:numPr>
          <w:ilvl w:val="0"/>
          <w:numId w:val="2"/>
        </w:numPr>
        <w:spacing w:after="30" w:before="30"/>
      </w:pPr>
      <w:r>
        <w:rPr>
          <w:rFonts w:ascii="Arial" w:cs="Arial" w:eastAsia="Arial" w:hAnsi="Arial"/>
          <w:color w:val="1F1F1F"/>
          <w:sz w:val="22"/>
          <w:szCs w:val="22"/>
        </w:rPr>
        <w:t xml:space="preserve">Required fields: actor_user_id, actor_role, action, entity_type, entity_id, before_state, after_state, change_reason, ip_address, user_agent, created_at.</w:t>
      </w:r>
    </w:p>
    <w:p>
      <w:pPr>
        <w:pStyle w:val="ListParagraph"/>
        <w:numPr>
          <w:ilvl w:val="0"/>
          <w:numId w:val="2"/>
        </w:numPr>
        <w:spacing w:after="30" w:before="30"/>
      </w:pPr>
      <w:r>
        <w:rPr>
          <w:rFonts w:ascii="Arial" w:cs="Arial" w:eastAsia="Arial" w:hAnsi="Arial"/>
          <w:color w:val="1F1F1F"/>
          <w:sz w:val="22"/>
          <w:szCs w:val="22"/>
        </w:rPr>
        <w:t xml:space="preserve">All audit log writes are tamper-evident: hash chain across consecutive entries with periodic root hash anchored externally.</w:t>
      </w:r>
    </w:p>
    <w:p>
      <w:pPr>
        <w:pStyle w:val="ListParagraph"/>
        <w:numPr>
          <w:ilvl w:val="0"/>
          <w:numId w:val="2"/>
        </w:numPr>
        <w:spacing w:after="30" w:before="30"/>
      </w:pPr>
      <w:r>
        <w:rPr>
          <w:rFonts w:ascii="Arial" w:cs="Arial" w:eastAsia="Arial" w:hAnsi="Arial"/>
          <w:color w:val="1F1F1F"/>
          <w:sz w:val="22"/>
          <w:szCs w:val="22"/>
        </w:rPr>
        <w:t xml:space="preserve">Centralized SIEM integration (CloudWatch Logs Insights, Splunk, or Datadog) for cross-cutting alerting.</w:t>
      </w:r>
    </w:p>
    <w:p>
      <w:pPr>
        <w:pStyle w:val="ListParagraph"/>
        <w:numPr>
          <w:ilvl w:val="0"/>
          <w:numId w:val="2"/>
        </w:numPr>
        <w:spacing w:after="30" w:before="30"/>
      </w:pPr>
      <w:r>
        <w:rPr>
          <w:rFonts w:ascii="Arial" w:cs="Arial" w:eastAsia="Arial" w:hAnsi="Arial"/>
          <w:color w:val="1F1F1F"/>
          <w:sz w:val="22"/>
          <w:szCs w:val="22"/>
        </w:rPr>
        <w:t xml:space="preserve">Minimum log retention: 6 years (HIPAA) or 1 year for non-PHI logs. Whichever is longer.</w:t>
      </w:r>
    </w:p>
    <w:p>
      <w:pPr>
        <w:pStyle w:val="ListParagraph"/>
        <w:numPr>
          <w:ilvl w:val="0"/>
          <w:numId w:val="2"/>
        </w:numPr>
        <w:spacing w:after="30" w:before="30"/>
      </w:pPr>
      <w:r>
        <w:rPr>
          <w:rFonts w:ascii="Arial" w:cs="Arial" w:eastAsia="Arial" w:hAnsi="Arial"/>
          <w:color w:val="1F1F1F"/>
          <w:sz w:val="22"/>
          <w:szCs w:val="22"/>
        </w:rPr>
        <w:t xml:space="preserve">Sensitive fields are redacted in logs (member_id hashed, allowed_amount preserved as range).</w:t>
      </w:r>
    </w:p>
    <w:p>
      <w:pPr>
        <w:pStyle w:val="Heading2"/>
        <w:spacing w:after="120" w:before="280"/>
      </w:pPr>
      <w:r>
        <w:rPr>
          <w:rFonts w:ascii="Arial" w:cs="Arial" w:eastAsia="Arial" w:hAnsi="Arial"/>
          <w:b/>
          <w:bCs/>
          <w:color w:val="1F1F1F"/>
          <w:sz w:val="28"/>
          <w:szCs w:val="28"/>
        </w:rPr>
        <w:t xml:space="preserve">11. Network Security</w:t>
      </w:r>
    </w:p>
    <w:p>
      <w:pPr>
        <w:pStyle w:val="ListParagraph"/>
        <w:numPr>
          <w:ilvl w:val="0"/>
          <w:numId w:val="2"/>
        </w:numPr>
        <w:spacing w:after="30" w:before="30"/>
      </w:pPr>
      <w:r>
        <w:rPr>
          <w:rFonts w:ascii="Arial" w:cs="Arial" w:eastAsia="Arial" w:hAnsi="Arial"/>
          <w:color w:val="1F1F1F"/>
          <w:sz w:val="22"/>
          <w:szCs w:val="22"/>
        </w:rPr>
        <w:t xml:space="preserve">VPC with private subnets for application and data tiers. Public subnets only for load balancers.</w:t>
      </w:r>
    </w:p>
    <w:p>
      <w:pPr>
        <w:pStyle w:val="ListParagraph"/>
        <w:numPr>
          <w:ilvl w:val="0"/>
          <w:numId w:val="2"/>
        </w:numPr>
        <w:spacing w:after="30" w:before="30"/>
      </w:pPr>
      <w:r>
        <w:rPr>
          <w:rFonts w:ascii="Arial" w:cs="Arial" w:eastAsia="Arial" w:hAnsi="Arial"/>
          <w:color w:val="1F1F1F"/>
          <w:sz w:val="22"/>
          <w:szCs w:val="22"/>
        </w:rPr>
        <w:t xml:space="preserve">NAT gateway for outbound traffic from private subnets.</w:t>
      </w:r>
    </w:p>
    <w:p>
      <w:pPr>
        <w:pStyle w:val="ListParagraph"/>
        <w:numPr>
          <w:ilvl w:val="0"/>
          <w:numId w:val="2"/>
        </w:numPr>
        <w:spacing w:after="30" w:before="30"/>
      </w:pPr>
      <w:r>
        <w:rPr>
          <w:rFonts w:ascii="Arial" w:cs="Arial" w:eastAsia="Arial" w:hAnsi="Arial"/>
          <w:color w:val="1F1F1F"/>
          <w:sz w:val="22"/>
          <w:szCs w:val="22"/>
        </w:rPr>
        <w:t xml:space="preserve">Security groups follow least-privilege; no 0.0.0.0/0 ingress except via WAF on port 443.</w:t>
      </w:r>
    </w:p>
    <w:p>
      <w:pPr>
        <w:pStyle w:val="ListParagraph"/>
        <w:numPr>
          <w:ilvl w:val="0"/>
          <w:numId w:val="2"/>
        </w:numPr>
        <w:spacing w:after="30" w:before="30"/>
      </w:pPr>
      <w:r>
        <w:rPr>
          <w:rFonts w:ascii="Arial" w:cs="Arial" w:eastAsia="Arial" w:hAnsi="Arial"/>
          <w:color w:val="1F1F1F"/>
          <w:sz w:val="22"/>
          <w:szCs w:val="22"/>
        </w:rPr>
        <w:t xml:space="preserve">AWS WAF rules for OWASP Top 10 protection: SQL injection, XSS, CSRF, RCE attempts.</w:t>
      </w:r>
    </w:p>
    <w:p>
      <w:pPr>
        <w:pStyle w:val="ListParagraph"/>
        <w:numPr>
          <w:ilvl w:val="0"/>
          <w:numId w:val="2"/>
        </w:numPr>
        <w:spacing w:after="30" w:before="30"/>
      </w:pPr>
      <w:r>
        <w:rPr>
          <w:rFonts w:ascii="Arial" w:cs="Arial" w:eastAsia="Arial" w:hAnsi="Arial"/>
          <w:color w:val="1F1F1F"/>
          <w:sz w:val="22"/>
          <w:szCs w:val="22"/>
        </w:rPr>
        <w:t xml:space="preserve">Geo-based access restrictions where applicable (US-only access to certain admin paths).</w:t>
      </w:r>
    </w:p>
    <w:p>
      <w:pPr>
        <w:pStyle w:val="ListParagraph"/>
        <w:numPr>
          <w:ilvl w:val="0"/>
          <w:numId w:val="2"/>
        </w:numPr>
        <w:spacing w:after="30" w:before="30"/>
      </w:pPr>
      <w:r>
        <w:rPr>
          <w:rFonts w:ascii="Arial" w:cs="Arial" w:eastAsia="Arial" w:hAnsi="Arial"/>
          <w:color w:val="1F1F1F"/>
          <w:sz w:val="22"/>
          <w:szCs w:val="22"/>
        </w:rPr>
        <w:t xml:space="preserve">DDoS protection via AWS Shield Standard; Shield Advanced evaluated at scale.</w:t>
      </w:r>
    </w:p>
    <w:p>
      <w:pPr>
        <w:pStyle w:val="Heading1"/>
        <w:spacing w:after="160" w:before="360"/>
      </w:pPr>
      <w:r>
        <w:rPr>
          <w:rFonts w:ascii="Arial" w:cs="Arial" w:eastAsia="Arial" w:hAnsi="Arial"/>
          <w:b/>
          <w:bCs/>
          <w:color w:val="1F1F1F"/>
          <w:sz w:val="36"/>
          <w:szCs w:val="36"/>
        </w:rPr>
        <w:t xml:space="preserve">Part V · Application Security</w:t>
      </w:r>
    </w:p>
    <w:p>
      <w:pPr>
        <w:pStyle w:val="Heading2"/>
        <w:spacing w:after="120" w:before="280"/>
      </w:pPr>
      <w:r>
        <w:rPr>
          <w:rFonts w:ascii="Arial" w:cs="Arial" w:eastAsia="Arial" w:hAnsi="Arial"/>
          <w:b/>
          <w:bCs/>
          <w:color w:val="1F1F1F"/>
          <w:sz w:val="28"/>
          <w:szCs w:val="28"/>
        </w:rPr>
        <w:t xml:space="preserve">12. Input Validation</w:t>
      </w:r>
    </w:p>
    <w:p>
      <w:pPr>
        <w:pStyle w:val="ListParagraph"/>
        <w:numPr>
          <w:ilvl w:val="0"/>
          <w:numId w:val="2"/>
        </w:numPr>
        <w:spacing w:after="30" w:before="30"/>
      </w:pPr>
      <w:r>
        <w:rPr>
          <w:rFonts w:ascii="Arial" w:cs="Arial" w:eastAsia="Arial" w:hAnsi="Arial"/>
          <w:color w:val="1F1F1F"/>
          <w:sz w:val="22"/>
          <w:szCs w:val="22"/>
        </w:rPr>
        <w:t xml:space="preserve">Every API endpoint validates payloads against an OpenAPI 3.0 schema at the gateway.</w:t>
      </w:r>
    </w:p>
    <w:p>
      <w:pPr>
        <w:pStyle w:val="ListParagraph"/>
        <w:numPr>
          <w:ilvl w:val="0"/>
          <w:numId w:val="2"/>
        </w:numPr>
        <w:spacing w:after="30" w:before="30"/>
      </w:pPr>
      <w:r>
        <w:rPr>
          <w:rFonts w:ascii="Arial" w:cs="Arial" w:eastAsia="Arial" w:hAnsi="Arial"/>
          <w:color w:val="1F1F1F"/>
          <w:sz w:val="22"/>
          <w:szCs w:val="22"/>
        </w:rPr>
        <w:t xml:space="preserve">Server-side validation re-runs on every endpoint regardless of gateway pass-through.</w:t>
      </w:r>
    </w:p>
    <w:p>
      <w:pPr>
        <w:pStyle w:val="ListParagraph"/>
        <w:numPr>
          <w:ilvl w:val="0"/>
          <w:numId w:val="2"/>
        </w:numPr>
        <w:spacing w:after="30" w:before="30"/>
      </w:pPr>
      <w:r>
        <w:rPr>
          <w:rFonts w:ascii="Arial" w:cs="Arial" w:eastAsia="Arial" w:hAnsi="Arial"/>
          <w:color w:val="1F1F1F"/>
          <w:sz w:val="22"/>
          <w:szCs w:val="22"/>
        </w:rPr>
        <w:t xml:space="preserve">CSV uploads parse in a sandboxed worker with row, column, and size limits enforced.</w:t>
      </w:r>
    </w:p>
    <w:p>
      <w:pPr>
        <w:pStyle w:val="ListParagraph"/>
        <w:numPr>
          <w:ilvl w:val="0"/>
          <w:numId w:val="2"/>
        </w:numPr>
        <w:spacing w:after="30" w:before="30"/>
      </w:pPr>
      <w:r>
        <w:rPr>
          <w:rFonts w:ascii="Arial" w:cs="Arial" w:eastAsia="Arial" w:hAnsi="Arial"/>
          <w:color w:val="1F1F1F"/>
          <w:sz w:val="22"/>
          <w:szCs w:val="22"/>
        </w:rPr>
        <w:t xml:space="preserve">Maximum CSV size: 100,000 rows / 100 MB. Larger uploads chunk into multiple files.</w:t>
      </w:r>
    </w:p>
    <w:p>
      <w:pPr>
        <w:pStyle w:val="ListParagraph"/>
        <w:numPr>
          <w:ilvl w:val="0"/>
          <w:numId w:val="2"/>
        </w:numPr>
        <w:spacing w:after="30" w:before="30"/>
      </w:pPr>
      <w:r>
        <w:rPr>
          <w:rFonts w:ascii="Arial" w:cs="Arial" w:eastAsia="Arial" w:hAnsi="Arial"/>
          <w:color w:val="1F1F1F"/>
          <w:sz w:val="22"/>
          <w:szCs w:val="22"/>
        </w:rPr>
        <w:t xml:space="preserve">File type validation includes content-sniff, not just extension.</w:t>
      </w:r>
    </w:p>
    <w:p>
      <w:pPr>
        <w:pStyle w:val="Heading2"/>
        <w:spacing w:after="120" w:before="280"/>
      </w:pPr>
      <w:r>
        <w:rPr>
          <w:rFonts w:ascii="Arial" w:cs="Arial" w:eastAsia="Arial" w:hAnsi="Arial"/>
          <w:b/>
          <w:bCs/>
          <w:color w:val="1F1F1F"/>
          <w:sz w:val="28"/>
          <w:szCs w:val="28"/>
        </w:rPr>
        <w:t xml:space="preserve">13. Output Encoding</w:t>
      </w:r>
    </w:p>
    <w:p>
      <w:pPr>
        <w:pStyle w:val="ListParagraph"/>
        <w:numPr>
          <w:ilvl w:val="0"/>
          <w:numId w:val="2"/>
        </w:numPr>
        <w:spacing w:after="30" w:before="30"/>
      </w:pPr>
      <w:r>
        <w:rPr>
          <w:rFonts w:ascii="Arial" w:cs="Arial" w:eastAsia="Arial" w:hAnsi="Arial"/>
          <w:color w:val="1F1F1F"/>
          <w:sz w:val="22"/>
          <w:szCs w:val="22"/>
        </w:rPr>
        <w:t xml:space="preserve">All HTML output is contextually escaped at the templating layer.</w:t>
      </w:r>
    </w:p>
    <w:p>
      <w:pPr>
        <w:pStyle w:val="ListParagraph"/>
        <w:numPr>
          <w:ilvl w:val="0"/>
          <w:numId w:val="2"/>
        </w:numPr>
        <w:spacing w:after="30" w:before="30"/>
      </w:pPr>
      <w:r>
        <w:rPr>
          <w:rFonts w:ascii="Arial" w:cs="Arial" w:eastAsia="Arial" w:hAnsi="Arial"/>
          <w:color w:val="1F1F1F"/>
          <w:sz w:val="22"/>
          <w:szCs w:val="22"/>
        </w:rPr>
        <w:t xml:space="preserve">All JSON responses set Content-Type: application/json with charset=utf-8.</w:t>
      </w:r>
    </w:p>
    <w:p>
      <w:pPr>
        <w:pStyle w:val="ListParagraph"/>
        <w:numPr>
          <w:ilvl w:val="0"/>
          <w:numId w:val="2"/>
        </w:numPr>
        <w:spacing w:after="30" w:before="30"/>
      </w:pPr>
      <w:r>
        <w:rPr>
          <w:rFonts w:ascii="Arial" w:cs="Arial" w:eastAsia="Arial" w:hAnsi="Arial"/>
          <w:color w:val="1F1F1F"/>
          <w:sz w:val="22"/>
          <w:szCs w:val="22"/>
        </w:rPr>
        <w:t xml:space="preserve">PDF generation runs in an isolated worker with no access to source code or secrets.</w:t>
      </w:r>
    </w:p>
    <w:p>
      <w:pPr>
        <w:pStyle w:val="Heading2"/>
        <w:spacing w:after="120" w:before="280"/>
      </w:pPr>
      <w:r>
        <w:rPr>
          <w:rFonts w:ascii="Arial" w:cs="Arial" w:eastAsia="Arial" w:hAnsi="Arial"/>
          <w:b/>
          <w:bCs/>
          <w:color w:val="1F1F1F"/>
          <w:sz w:val="28"/>
          <w:szCs w:val="28"/>
        </w:rPr>
        <w:t xml:space="preserve">14. Idempotency &amp; Concurrency</w:t>
      </w:r>
    </w:p>
    <w:p>
      <w:pPr>
        <w:pStyle w:val="ListParagraph"/>
        <w:numPr>
          <w:ilvl w:val="0"/>
          <w:numId w:val="2"/>
        </w:numPr>
        <w:spacing w:after="30" w:before="30"/>
      </w:pPr>
      <w:r>
        <w:rPr>
          <w:rFonts w:ascii="Arial" w:cs="Arial" w:eastAsia="Arial" w:hAnsi="Arial"/>
          <w:color w:val="1F1F1F"/>
          <w:sz w:val="22"/>
          <w:szCs w:val="22"/>
        </w:rPr>
        <w:t xml:space="preserve">Mutating endpoints accept Idempotency-Key headers. Same key + same payload returns the original response.</w:t>
      </w:r>
    </w:p>
    <w:p>
      <w:pPr>
        <w:pStyle w:val="ListParagraph"/>
        <w:numPr>
          <w:ilvl w:val="0"/>
          <w:numId w:val="2"/>
        </w:numPr>
        <w:spacing w:after="30" w:before="30"/>
      </w:pPr>
      <w:r>
        <w:rPr>
          <w:rFonts w:ascii="Arial" w:cs="Arial" w:eastAsia="Arial" w:hAnsi="Arial"/>
          <w:color w:val="1F1F1F"/>
          <w:sz w:val="22"/>
          <w:szCs w:val="22"/>
        </w:rPr>
        <w:t xml:space="preserve">Optimistic locking via ETags on entity reads. Concurrent updates fail with 409 Conflict.</w:t>
      </w:r>
    </w:p>
    <w:p>
      <w:pPr>
        <w:pStyle w:val="ListParagraph"/>
        <w:numPr>
          <w:ilvl w:val="0"/>
          <w:numId w:val="2"/>
        </w:numPr>
        <w:spacing w:after="30" w:before="30"/>
      </w:pPr>
      <w:r>
        <w:rPr>
          <w:rFonts w:ascii="Arial" w:cs="Arial" w:eastAsia="Arial" w:hAnsi="Arial"/>
          <w:color w:val="1F1F1F"/>
          <w:sz w:val="22"/>
          <w:szCs w:val="22"/>
        </w:rPr>
        <w:t xml:space="preserve">Long-running calculations expose /jobs/{id} status endpoints. Webhooks fire on completion.</w:t>
      </w:r>
    </w:p>
    <w:p>
      <w:pPr>
        <w:pStyle w:val="Heading2"/>
        <w:spacing w:after="120" w:before="280"/>
      </w:pPr>
      <w:r>
        <w:rPr>
          <w:rFonts w:ascii="Arial" w:cs="Arial" w:eastAsia="Arial" w:hAnsi="Arial"/>
          <w:b/>
          <w:bCs/>
          <w:color w:val="1F1F1F"/>
          <w:sz w:val="28"/>
          <w:szCs w:val="28"/>
        </w:rPr>
        <w:t xml:space="preserve">15. Common Vulnerability Defenses</w:t>
      </w:r>
    </w:p>
    <w:p>
      <w:pPr>
        <w:pStyle w:val="ListParagraph"/>
        <w:numPr>
          <w:ilvl w:val="0"/>
          <w:numId w:val="2"/>
        </w:numPr>
        <w:spacing w:after="30" w:before="30"/>
      </w:pPr>
      <w:r>
        <w:rPr>
          <w:rFonts w:ascii="Arial" w:cs="Arial" w:eastAsia="Arial" w:hAnsi="Arial"/>
          <w:color w:val="1F1F1F"/>
          <w:sz w:val="22"/>
          <w:szCs w:val="22"/>
        </w:rPr>
        <w:t xml:space="preserve">SQL injection: parameterized queries everywhere. ORMs configured to never accept raw SQL from request data.</w:t>
      </w:r>
    </w:p>
    <w:p>
      <w:pPr>
        <w:pStyle w:val="ListParagraph"/>
        <w:numPr>
          <w:ilvl w:val="0"/>
          <w:numId w:val="2"/>
        </w:numPr>
        <w:spacing w:after="30" w:before="30"/>
      </w:pPr>
      <w:r>
        <w:rPr>
          <w:rFonts w:ascii="Arial" w:cs="Arial" w:eastAsia="Arial" w:hAnsi="Arial"/>
          <w:color w:val="1F1F1F"/>
          <w:sz w:val="22"/>
          <w:szCs w:val="22"/>
        </w:rPr>
        <w:t xml:space="preserve">Deserialization: Jackson configured without default typing. No unsafe deserializers.</w:t>
      </w:r>
    </w:p>
    <w:p>
      <w:pPr>
        <w:pStyle w:val="ListParagraph"/>
        <w:numPr>
          <w:ilvl w:val="0"/>
          <w:numId w:val="2"/>
        </w:numPr>
        <w:spacing w:after="30" w:before="30"/>
      </w:pPr>
      <w:r>
        <w:rPr>
          <w:rFonts w:ascii="Arial" w:cs="Arial" w:eastAsia="Arial" w:hAnsi="Arial"/>
          <w:color w:val="1F1F1F"/>
          <w:sz w:val="22"/>
          <w:szCs w:val="22"/>
        </w:rPr>
        <w:t xml:space="preserve">Server-side request forgery: outbound HTTP calls go through an allowlist proxy.</w:t>
      </w:r>
    </w:p>
    <w:p>
      <w:pPr>
        <w:pStyle w:val="ListParagraph"/>
        <w:numPr>
          <w:ilvl w:val="0"/>
          <w:numId w:val="2"/>
        </w:numPr>
        <w:spacing w:after="30" w:before="30"/>
      </w:pPr>
      <w:r>
        <w:rPr>
          <w:rFonts w:ascii="Arial" w:cs="Arial" w:eastAsia="Arial" w:hAnsi="Arial"/>
          <w:color w:val="1F1F1F"/>
          <w:sz w:val="22"/>
          <w:szCs w:val="22"/>
        </w:rPr>
        <w:t xml:space="preserve">Dependency management: pinned versions, automated vulnerability scanning (Snyk, Dependabot, GitHub Advanced Security).</w:t>
      </w:r>
    </w:p>
    <w:p>
      <w:pPr>
        <w:pStyle w:val="ListParagraph"/>
        <w:numPr>
          <w:ilvl w:val="0"/>
          <w:numId w:val="2"/>
        </w:numPr>
        <w:spacing w:after="30" w:before="30"/>
      </w:pPr>
      <w:r>
        <w:rPr>
          <w:rFonts w:ascii="Arial" w:cs="Arial" w:eastAsia="Arial" w:hAnsi="Arial"/>
          <w:color w:val="1F1F1F"/>
          <w:sz w:val="22"/>
          <w:szCs w:val="22"/>
        </w:rPr>
        <w:t xml:space="preserve">Reflection: disabled where the language permits. Audit logs flag reflective access.</w:t>
      </w:r>
    </w:p>
    <w:p>
      <w:pPr>
        <w:pStyle w:val="Heading1"/>
        <w:spacing w:after="160" w:before="360"/>
      </w:pPr>
      <w:r>
        <w:rPr>
          <w:rFonts w:ascii="Arial" w:cs="Arial" w:eastAsia="Arial" w:hAnsi="Arial"/>
          <w:b/>
          <w:bCs/>
          <w:color w:val="1F1F1F"/>
          <w:sz w:val="36"/>
          <w:szCs w:val="36"/>
        </w:rPr>
        <w:t xml:space="preserve">Part VI · Compliance Framework</w:t>
      </w:r>
    </w:p>
    <w:p>
      <w:pPr>
        <w:pStyle w:val="Heading2"/>
        <w:spacing w:after="120" w:before="280"/>
      </w:pPr>
      <w:r>
        <w:rPr>
          <w:rFonts w:ascii="Arial" w:cs="Arial" w:eastAsia="Arial" w:hAnsi="Arial"/>
          <w:b/>
          <w:bCs/>
          <w:color w:val="1F1F1F"/>
          <w:sz w:val="28"/>
          <w:szCs w:val="28"/>
        </w:rPr>
        <w:t xml:space="preserve">16. Required Frameworks</w:t>
      </w:r>
    </w:p>
    <w:p>
      <w:pPr>
        <w:pStyle w:val="Heading3"/>
        <w:spacing w:after="80" w:before="200"/>
      </w:pPr>
      <w:r>
        <w:rPr>
          <w:rFonts w:ascii="Arial" w:cs="Arial" w:eastAsia="Arial" w:hAnsi="Arial"/>
          <w:b/>
          <w:bCs/>
          <w:color w:val="1F1F1F"/>
          <w:sz w:val="24"/>
          <w:szCs w:val="24"/>
        </w:rPr>
        <w:t xml:space="preserve">16.1 HIPAA</w:t>
      </w:r>
    </w:p>
    <w:p>
      <w:pPr>
        <w:spacing w:after="80" w:before="80"/>
        <w:jc w:val="left"/>
      </w:pPr>
      <w:r>
        <w:rPr>
          <w:rFonts w:ascii="Arial" w:cs="Arial" w:eastAsia="Arial" w:hAnsi="Arial"/>
          <w:b w:val="false"/>
          <w:bCs w:val="false"/>
          <w:i w:val="false"/>
          <w:iCs w:val="false"/>
          <w:color w:val="1F1F1F"/>
          <w:sz w:val="22"/>
          <w:szCs w:val="22"/>
        </w:rPr>
        <w:t xml:space="preserve">HIPAA compliance is required by law for any entity handling PHI. The engine is in scope as a Business Associate to every employer using it. Required: Privacy Rule, Security Rule, Breach Notification Rule.</w:t>
      </w:r>
    </w:p>
    <w:p>
      <w:pPr>
        <w:pStyle w:val="Heading3"/>
        <w:spacing w:after="80" w:before="200"/>
      </w:pPr>
      <w:r>
        <w:rPr>
          <w:rFonts w:ascii="Arial" w:cs="Arial" w:eastAsia="Arial" w:hAnsi="Arial"/>
          <w:b/>
          <w:bCs/>
          <w:color w:val="1F1F1F"/>
          <w:sz w:val="24"/>
          <w:szCs w:val="24"/>
        </w:rPr>
        <w:t xml:space="preserve">16.2 SOC 2</w:t>
      </w:r>
    </w:p>
    <w:p>
      <w:pPr>
        <w:spacing w:after="80" w:before="80"/>
        <w:jc w:val="left"/>
      </w:pPr>
      <w:r>
        <w:rPr>
          <w:rFonts w:ascii="Arial" w:cs="Arial" w:eastAsia="Arial" w:hAnsi="Arial"/>
          <w:b w:val="false"/>
          <w:bCs w:val="false"/>
          <w:i w:val="false"/>
          <w:iCs w:val="false"/>
          <w:color w:val="1F1F1F"/>
          <w:sz w:val="22"/>
          <w:szCs w:val="22"/>
        </w:rPr>
        <w:t xml:space="preserve">SOC 2 is the industry standard for security assurance. Required by mid-market and enterprise employers, TPAs, and stop-loss carriers. Type I (point-in-time control design) is achievable in months 6-12. Type II (controls operating effectively over 6-12 months) is the enterprise sales standard.</w:t>
      </w:r>
    </w:p>
    <w:p>
      <w:pPr>
        <w:pStyle w:val="Heading2"/>
        <w:spacing w:after="120" w:before="280"/>
      </w:pPr>
      <w:r>
        <w:rPr>
          <w:rFonts w:ascii="Arial" w:cs="Arial" w:eastAsia="Arial" w:hAnsi="Arial"/>
          <w:b/>
          <w:bCs/>
          <w:color w:val="1F1F1F"/>
          <w:sz w:val="28"/>
          <w:szCs w:val="28"/>
        </w:rPr>
        <w:t xml:space="preserve">17. Module-Level Compliance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300"/>
        <w:gridCol w:w="4940"/>
      </w:tblGrid>
      <w:tr>
        <w:trPr>
          <w:tblHeader/>
        </w:trPr>
        <w:tc>
          <w:tcPr>
            <w:tcW w:type="dxa" w:w="312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Module</w:t>
            </w:r>
          </w:p>
        </w:tc>
        <w:tc>
          <w:tcPr>
            <w:tcW w:type="dxa" w:w="130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Priority</w:t>
            </w:r>
          </w:p>
        </w:tc>
        <w:tc>
          <w:tcPr>
            <w:tcW w:type="dxa" w:w="49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Compliance Considerations</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Calculation Engine (PHI processing)</w:t>
            </w:r>
          </w:p>
        </w:tc>
        <w:tc>
          <w:tcPr>
            <w:tcW w:type="dxa" w:w="13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Critical</w:t>
            </w:r>
          </w:p>
        </w:tc>
        <w:tc>
          <w:tcPr>
            <w:tcW w:type="dxa" w:w="49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Central PHI movement; multi-tenant; highest risk surface</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Admin Control Layer</w:t>
            </w:r>
          </w:p>
        </w:tc>
        <w:tc>
          <w:tcPr>
            <w:tcW w:type="dxa" w:w="13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High</w:t>
            </w:r>
          </w:p>
        </w:tc>
        <w:tc>
          <w:tcPr>
            <w:tcW w:type="dxa" w:w="49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Version management; audit-critical; admin role isolation</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Employer Dashboard</w:t>
            </w:r>
          </w:p>
        </w:tc>
        <w:tc>
          <w:tcPr>
            <w:tcW w:type="dxa" w:w="13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High</w:t>
            </w:r>
          </w:p>
        </w:tc>
        <w:tc>
          <w:tcPr>
            <w:tcW w:type="dxa" w:w="49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Aggregate employee health data; strong access controls critical</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Reporting / PDF Generator</w:t>
            </w:r>
          </w:p>
        </w:tc>
        <w:tc>
          <w:tcPr>
            <w:tcW w:type="dxa" w:w="13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High</w:t>
            </w:r>
          </w:p>
        </w:tc>
        <w:tc>
          <w:tcPr>
            <w:tcW w:type="dxa" w:w="49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PHI exposure in generated artifacts; templated output review</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Audit Log</w:t>
            </w:r>
          </w:p>
        </w:tc>
        <w:tc>
          <w:tcPr>
            <w:tcW w:type="dxa" w:w="130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Critical</w:t>
            </w:r>
          </w:p>
        </w:tc>
        <w:tc>
          <w:tcPr>
            <w:tcW w:type="dxa" w:w="49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Tamper-evidence; long retention; access by auditors only</w:t>
            </w:r>
          </w:p>
        </w:tc>
      </w:tr>
      <w:tr>
        <w:tc>
          <w:tcPr>
            <w:tcW w:type="dxa" w:w="312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Public API</w:t>
            </w:r>
          </w:p>
        </w:tc>
        <w:tc>
          <w:tcPr>
            <w:tcW w:type="dxa" w:w="130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High</w:t>
            </w:r>
          </w:p>
        </w:tc>
        <w:tc>
          <w:tcPr>
            <w:tcW w:type="dxa" w:w="49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Tenant boundary enforcement; rate limiting; abuse detection</w:t>
            </w:r>
          </w:p>
        </w:tc>
      </w:tr>
    </w:tbl>
    <w:p>
      <w:pPr>
        <w:pStyle w:val="Heading2"/>
        <w:spacing w:after="120" w:before="280"/>
      </w:pPr>
      <w:r>
        <w:rPr>
          <w:rFonts w:ascii="Arial" w:cs="Arial" w:eastAsia="Arial" w:hAnsi="Arial"/>
          <w:b/>
          <w:bCs/>
          <w:color w:val="1F1F1F"/>
          <w:sz w:val="28"/>
          <w:szCs w:val="28"/>
        </w:rPr>
        <w:t xml:space="preserve">18. Required Security Controls (HIPAA Mapped)</w:t>
      </w:r>
    </w:p>
    <w:p>
      <w:pPr>
        <w:pStyle w:val="Heading3"/>
        <w:spacing w:after="80" w:before="200"/>
      </w:pPr>
      <w:r>
        <w:rPr>
          <w:rFonts w:ascii="Arial" w:cs="Arial" w:eastAsia="Arial" w:hAnsi="Arial"/>
          <w:b/>
          <w:bCs/>
          <w:color w:val="1F1F1F"/>
          <w:sz w:val="24"/>
          <w:szCs w:val="24"/>
        </w:rPr>
        <w:t xml:space="preserve">18.1 Administrative Safeguards</w:t>
      </w:r>
    </w:p>
    <w:p>
      <w:pPr>
        <w:pStyle w:val="ListParagraph"/>
        <w:numPr>
          <w:ilvl w:val="0"/>
          <w:numId w:val="2"/>
        </w:numPr>
        <w:spacing w:after="30" w:before="30"/>
      </w:pPr>
      <w:r>
        <w:rPr>
          <w:rFonts w:ascii="Arial" w:cs="Arial" w:eastAsia="Arial" w:hAnsi="Arial"/>
          <w:color w:val="1F1F1F"/>
          <w:sz w:val="22"/>
          <w:szCs w:val="22"/>
        </w:rPr>
        <w:t xml:space="preserve">Designated Security Officer and Privacy Officer.</w:t>
      </w:r>
    </w:p>
    <w:p>
      <w:pPr>
        <w:pStyle w:val="ListParagraph"/>
        <w:numPr>
          <w:ilvl w:val="0"/>
          <w:numId w:val="2"/>
        </w:numPr>
        <w:spacing w:after="30" w:before="30"/>
      </w:pPr>
      <w:r>
        <w:rPr>
          <w:rFonts w:ascii="Arial" w:cs="Arial" w:eastAsia="Arial" w:hAnsi="Arial"/>
          <w:color w:val="1F1F1F"/>
          <w:sz w:val="22"/>
          <w:szCs w:val="22"/>
        </w:rPr>
        <w:t xml:space="preserve">Workforce security training on HIPAA, annually, with attestation.</w:t>
      </w:r>
    </w:p>
    <w:p>
      <w:pPr>
        <w:pStyle w:val="ListParagraph"/>
        <w:numPr>
          <w:ilvl w:val="0"/>
          <w:numId w:val="2"/>
        </w:numPr>
        <w:spacing w:after="30" w:before="30"/>
      </w:pPr>
      <w:r>
        <w:rPr>
          <w:rFonts w:ascii="Arial" w:cs="Arial" w:eastAsia="Arial" w:hAnsi="Arial"/>
          <w:color w:val="1F1F1F"/>
          <w:sz w:val="22"/>
          <w:szCs w:val="22"/>
        </w:rPr>
        <w:t xml:space="preserve">Documented sanction policy for workforce members who violate policy.</w:t>
      </w:r>
    </w:p>
    <w:p>
      <w:pPr>
        <w:pStyle w:val="ListParagraph"/>
        <w:numPr>
          <w:ilvl w:val="0"/>
          <w:numId w:val="2"/>
        </w:numPr>
        <w:spacing w:after="30" w:before="30"/>
      </w:pPr>
      <w:r>
        <w:rPr>
          <w:rFonts w:ascii="Arial" w:cs="Arial" w:eastAsia="Arial" w:hAnsi="Arial"/>
          <w:color w:val="1F1F1F"/>
          <w:sz w:val="22"/>
          <w:szCs w:val="22"/>
        </w:rPr>
        <w:t xml:space="preserve">Information access management with role-based access reviews quarterly.</w:t>
      </w:r>
    </w:p>
    <w:p>
      <w:pPr>
        <w:pStyle w:val="Heading3"/>
        <w:spacing w:after="80" w:before="200"/>
      </w:pPr>
      <w:r>
        <w:rPr>
          <w:rFonts w:ascii="Arial" w:cs="Arial" w:eastAsia="Arial" w:hAnsi="Arial"/>
          <w:b/>
          <w:bCs/>
          <w:color w:val="1F1F1F"/>
          <w:sz w:val="24"/>
          <w:szCs w:val="24"/>
        </w:rPr>
        <w:t xml:space="preserve">18.2 Physical Safeguards</w:t>
      </w:r>
    </w:p>
    <w:p>
      <w:pPr>
        <w:pStyle w:val="ListParagraph"/>
        <w:numPr>
          <w:ilvl w:val="0"/>
          <w:numId w:val="2"/>
        </w:numPr>
        <w:spacing w:after="30" w:before="30"/>
      </w:pPr>
      <w:r>
        <w:rPr>
          <w:rFonts w:ascii="Arial" w:cs="Arial" w:eastAsia="Arial" w:hAnsi="Arial"/>
          <w:color w:val="1F1F1F"/>
          <w:sz w:val="22"/>
          <w:szCs w:val="22"/>
        </w:rPr>
        <w:t xml:space="preserve">All infrastructure in AWS data centers (BAA in place with AWS).</w:t>
      </w:r>
    </w:p>
    <w:p>
      <w:pPr>
        <w:pStyle w:val="ListParagraph"/>
        <w:numPr>
          <w:ilvl w:val="0"/>
          <w:numId w:val="2"/>
        </w:numPr>
        <w:spacing w:after="30" w:before="30"/>
      </w:pPr>
      <w:r>
        <w:rPr>
          <w:rFonts w:ascii="Arial" w:cs="Arial" w:eastAsia="Arial" w:hAnsi="Arial"/>
          <w:color w:val="1F1F1F"/>
          <w:sz w:val="22"/>
          <w:szCs w:val="22"/>
        </w:rPr>
        <w:t xml:space="preserve">Workstation use policies including required disk encryption on engineering laptops.</w:t>
      </w:r>
    </w:p>
    <w:p>
      <w:pPr>
        <w:pStyle w:val="ListParagraph"/>
        <w:numPr>
          <w:ilvl w:val="0"/>
          <w:numId w:val="2"/>
        </w:numPr>
        <w:spacing w:after="30" w:before="30"/>
      </w:pPr>
      <w:r>
        <w:rPr>
          <w:rFonts w:ascii="Arial" w:cs="Arial" w:eastAsia="Arial" w:hAnsi="Arial"/>
          <w:color w:val="1F1F1F"/>
          <w:sz w:val="22"/>
          <w:szCs w:val="22"/>
        </w:rPr>
        <w:t xml:space="preserve">Device and media disposal procedures (cryptographic erasure).</w:t>
      </w:r>
    </w:p>
    <w:p>
      <w:pPr>
        <w:pStyle w:val="Heading3"/>
        <w:spacing w:after="80" w:before="200"/>
      </w:pPr>
      <w:r>
        <w:rPr>
          <w:rFonts w:ascii="Arial" w:cs="Arial" w:eastAsia="Arial" w:hAnsi="Arial"/>
          <w:b/>
          <w:bCs/>
          <w:color w:val="1F1F1F"/>
          <w:sz w:val="24"/>
          <w:szCs w:val="24"/>
        </w:rPr>
        <w:t xml:space="preserve">18.3 Technical Safeguards</w:t>
      </w:r>
    </w:p>
    <w:p>
      <w:pPr>
        <w:pStyle w:val="ListParagraph"/>
        <w:numPr>
          <w:ilvl w:val="0"/>
          <w:numId w:val="2"/>
        </w:numPr>
        <w:spacing w:after="30" w:before="30"/>
      </w:pPr>
      <w:r>
        <w:rPr>
          <w:rFonts w:ascii="Arial" w:cs="Arial" w:eastAsia="Arial" w:hAnsi="Arial"/>
          <w:color w:val="1F1F1F"/>
          <w:sz w:val="22"/>
          <w:szCs w:val="22"/>
        </w:rPr>
        <w:t xml:space="preserve">Unique user identification (no shared accounts).</w:t>
      </w:r>
    </w:p>
    <w:p>
      <w:pPr>
        <w:pStyle w:val="ListParagraph"/>
        <w:numPr>
          <w:ilvl w:val="0"/>
          <w:numId w:val="2"/>
        </w:numPr>
        <w:spacing w:after="30" w:before="30"/>
      </w:pPr>
      <w:r>
        <w:rPr>
          <w:rFonts w:ascii="Arial" w:cs="Arial" w:eastAsia="Arial" w:hAnsi="Arial"/>
          <w:color w:val="1F1F1F"/>
          <w:sz w:val="22"/>
          <w:szCs w:val="22"/>
        </w:rPr>
        <w:t xml:space="preserve">Automatic logoff (15-minute idle session timeout for admin roles).</w:t>
      </w:r>
    </w:p>
    <w:p>
      <w:pPr>
        <w:pStyle w:val="ListParagraph"/>
        <w:numPr>
          <w:ilvl w:val="0"/>
          <w:numId w:val="2"/>
        </w:numPr>
        <w:spacing w:after="30" w:before="30"/>
      </w:pPr>
      <w:r>
        <w:rPr>
          <w:rFonts w:ascii="Arial" w:cs="Arial" w:eastAsia="Arial" w:hAnsi="Arial"/>
          <w:color w:val="1F1F1F"/>
          <w:sz w:val="22"/>
          <w:szCs w:val="22"/>
        </w:rPr>
        <w:t xml:space="preserve">Encryption and decryption (covered in Section 8).</w:t>
      </w:r>
    </w:p>
    <w:p>
      <w:pPr>
        <w:pStyle w:val="ListParagraph"/>
        <w:numPr>
          <w:ilvl w:val="0"/>
          <w:numId w:val="2"/>
        </w:numPr>
        <w:spacing w:after="30" w:before="30"/>
      </w:pPr>
      <w:r>
        <w:rPr>
          <w:rFonts w:ascii="Arial" w:cs="Arial" w:eastAsia="Arial" w:hAnsi="Arial"/>
          <w:color w:val="1F1F1F"/>
          <w:sz w:val="22"/>
          <w:szCs w:val="22"/>
        </w:rPr>
        <w:t xml:space="preserve">Audit controls (covered in Section 10).</w:t>
      </w:r>
    </w:p>
    <w:p>
      <w:pPr>
        <w:pStyle w:val="ListParagraph"/>
        <w:numPr>
          <w:ilvl w:val="0"/>
          <w:numId w:val="2"/>
        </w:numPr>
        <w:spacing w:after="30" w:before="30"/>
      </w:pPr>
      <w:r>
        <w:rPr>
          <w:rFonts w:ascii="Arial" w:cs="Arial" w:eastAsia="Arial" w:hAnsi="Arial"/>
          <w:color w:val="1F1F1F"/>
          <w:sz w:val="22"/>
          <w:szCs w:val="22"/>
        </w:rPr>
        <w:t xml:space="preserve">Person or entity authentication (covered in Section 9).</w:t>
      </w:r>
    </w:p>
    <w:p>
      <w:pPr>
        <w:pStyle w:val="ListParagraph"/>
        <w:numPr>
          <w:ilvl w:val="0"/>
          <w:numId w:val="2"/>
        </w:numPr>
        <w:spacing w:after="30" w:before="30"/>
      </w:pPr>
      <w:r>
        <w:rPr>
          <w:rFonts w:ascii="Arial" w:cs="Arial" w:eastAsia="Arial" w:hAnsi="Arial"/>
          <w:color w:val="1F1F1F"/>
          <w:sz w:val="22"/>
          <w:szCs w:val="22"/>
        </w:rPr>
        <w:t xml:space="preserve">Transmission security (covered in Section 8.1).</w:t>
      </w:r>
    </w:p>
    <w:p>
      <w:pPr>
        <w:pStyle w:val="Heading2"/>
        <w:spacing w:after="120" w:before="280"/>
      </w:pPr>
      <w:r>
        <w:rPr>
          <w:rFonts w:ascii="Arial" w:cs="Arial" w:eastAsia="Arial" w:hAnsi="Arial"/>
          <w:b/>
          <w:bCs/>
          <w:color w:val="1F1F1F"/>
          <w:sz w:val="28"/>
          <w:szCs w:val="28"/>
        </w:rPr>
        <w:t xml:space="preserve">19. Vendor &amp; Subprocessor Management</w:t>
      </w:r>
    </w:p>
    <w:p>
      <w:pPr>
        <w:spacing w:after="80" w:before="80"/>
        <w:jc w:val="left"/>
      </w:pPr>
      <w:r>
        <w:rPr>
          <w:rFonts w:ascii="Arial" w:cs="Arial" w:eastAsia="Arial" w:hAnsi="Arial"/>
          <w:b w:val="false"/>
          <w:bCs w:val="false"/>
          <w:i w:val="false"/>
          <w:iCs w:val="false"/>
          <w:color w:val="1F1F1F"/>
          <w:sz w:val="22"/>
          <w:szCs w:val="22"/>
        </w:rPr>
        <w:t xml:space="preserve">Any vendor handling PHI must meet OffPlan's vendor security requirements before any data flows.</w:t>
      </w:r>
    </w:p>
    <w:p>
      <w:pPr>
        <w:pStyle w:val="ListParagraph"/>
        <w:numPr>
          <w:ilvl w:val="0"/>
          <w:numId w:val="2"/>
        </w:numPr>
        <w:spacing w:after="30" w:before="30"/>
      </w:pPr>
      <w:r>
        <w:rPr>
          <w:rFonts w:ascii="Arial" w:cs="Arial" w:eastAsia="Arial" w:hAnsi="Arial"/>
          <w:color w:val="1F1F1F"/>
          <w:sz w:val="22"/>
          <w:szCs w:val="22"/>
        </w:rPr>
        <w:t xml:space="preserve">Executed Business Associate Agreement (BAA) before PHI access.</w:t>
      </w:r>
    </w:p>
    <w:p>
      <w:pPr>
        <w:pStyle w:val="ListParagraph"/>
        <w:numPr>
          <w:ilvl w:val="0"/>
          <w:numId w:val="2"/>
        </w:numPr>
        <w:spacing w:after="30" w:before="30"/>
      </w:pPr>
      <w:r>
        <w:rPr>
          <w:rFonts w:ascii="Arial" w:cs="Arial" w:eastAsia="Arial" w:hAnsi="Arial"/>
          <w:color w:val="1F1F1F"/>
          <w:sz w:val="22"/>
          <w:szCs w:val="22"/>
        </w:rPr>
        <w:t xml:space="preserve">Security review: completed questionnaire or current SOC 2 report.</w:t>
      </w:r>
    </w:p>
    <w:p>
      <w:pPr>
        <w:pStyle w:val="ListParagraph"/>
        <w:numPr>
          <w:ilvl w:val="0"/>
          <w:numId w:val="2"/>
        </w:numPr>
        <w:spacing w:after="30" w:before="30"/>
      </w:pPr>
      <w:r>
        <w:rPr>
          <w:rFonts w:ascii="Arial" w:cs="Arial" w:eastAsia="Arial" w:hAnsi="Arial"/>
          <w:color w:val="1F1F1F"/>
          <w:sz w:val="22"/>
          <w:szCs w:val="22"/>
        </w:rPr>
        <w:t xml:space="preserve">Annual security reassessment.</w:t>
      </w:r>
    </w:p>
    <w:p>
      <w:pPr>
        <w:pStyle w:val="ListParagraph"/>
        <w:numPr>
          <w:ilvl w:val="0"/>
          <w:numId w:val="2"/>
        </w:numPr>
        <w:spacing w:after="30" w:before="30"/>
      </w:pPr>
      <w:r>
        <w:rPr>
          <w:rFonts w:ascii="Arial" w:cs="Arial" w:eastAsia="Arial" w:hAnsi="Arial"/>
          <w:color w:val="1F1F1F"/>
          <w:sz w:val="22"/>
          <w:szCs w:val="22"/>
        </w:rPr>
        <w:t xml:space="preserve">Maintained inventory of all subprocessors with documented data access.</w:t>
      </w:r>
    </w:p>
    <w:p>
      <w:pPr>
        <w:spacing w:after="80" w:before="80"/>
      </w:pPr>
      <w:r>
        <w:t xml:space="preserve"/>
      </w:r>
    </w:p>
    <w:p>
      <w:pPr>
        <w:spacing w:after="80" w:before="80"/>
        <w:jc w:val="left"/>
      </w:pPr>
      <w:r>
        <w:rPr>
          <w:rFonts w:ascii="Arial" w:cs="Arial" w:eastAsia="Arial" w:hAnsi="Arial"/>
          <w:b w:val="false"/>
          <w:bCs w:val="false"/>
          <w:i w:val="false"/>
          <w:iCs w:val="false"/>
          <w:color w:val="1F1F1F"/>
          <w:sz w:val="22"/>
          <w:szCs w:val="22"/>
        </w:rPr>
        <w:t xml:space="preserve">Key vendors requiring BAAs:</w:t>
      </w:r>
    </w:p>
    <w:p>
      <w:pPr>
        <w:pStyle w:val="ListParagraph"/>
        <w:numPr>
          <w:ilvl w:val="0"/>
          <w:numId w:val="2"/>
        </w:numPr>
        <w:spacing w:after="30" w:before="30"/>
      </w:pPr>
      <w:r>
        <w:rPr>
          <w:rFonts w:ascii="Arial" w:cs="Arial" w:eastAsia="Arial" w:hAnsi="Arial"/>
          <w:color w:val="1F1F1F"/>
          <w:sz w:val="22"/>
          <w:szCs w:val="22"/>
        </w:rPr>
        <w:t xml:space="preserve">AWS (cloud infrastructure)</w:t>
      </w:r>
    </w:p>
    <w:p>
      <w:pPr>
        <w:pStyle w:val="ListParagraph"/>
        <w:numPr>
          <w:ilvl w:val="0"/>
          <w:numId w:val="2"/>
        </w:numPr>
        <w:spacing w:after="30" w:before="30"/>
      </w:pPr>
      <w:r>
        <w:rPr>
          <w:rFonts w:ascii="Arial" w:cs="Arial" w:eastAsia="Arial" w:hAnsi="Arial"/>
          <w:color w:val="1F1F1F"/>
          <w:sz w:val="22"/>
          <w:szCs w:val="22"/>
        </w:rPr>
        <w:t xml:space="preserve">Auth0 or Keycloak provider (authentication)</w:t>
      </w:r>
    </w:p>
    <w:p>
      <w:pPr>
        <w:pStyle w:val="ListParagraph"/>
        <w:numPr>
          <w:ilvl w:val="0"/>
          <w:numId w:val="2"/>
        </w:numPr>
        <w:spacing w:after="30" w:before="30"/>
      </w:pPr>
      <w:r>
        <w:rPr>
          <w:rFonts w:ascii="Arial" w:cs="Arial" w:eastAsia="Arial" w:hAnsi="Arial"/>
          <w:color w:val="1F1F1F"/>
          <w:sz w:val="22"/>
          <w:szCs w:val="22"/>
        </w:rPr>
        <w:t xml:space="preserve">PDFMonkey or Documint (report generation; PHI in templates)</w:t>
      </w:r>
    </w:p>
    <w:p>
      <w:pPr>
        <w:pStyle w:val="ListParagraph"/>
        <w:numPr>
          <w:ilvl w:val="0"/>
          <w:numId w:val="2"/>
        </w:numPr>
        <w:spacing w:after="30" w:before="30"/>
      </w:pPr>
      <w:r>
        <w:rPr>
          <w:rFonts w:ascii="Arial" w:cs="Arial" w:eastAsia="Arial" w:hAnsi="Arial"/>
          <w:color w:val="1F1F1F"/>
          <w:sz w:val="22"/>
          <w:szCs w:val="22"/>
        </w:rPr>
        <w:t xml:space="preserve">Vanta (compliance automation; reads infra metadata, not PHI directly)</w:t>
      </w:r>
    </w:p>
    <w:p>
      <w:pPr>
        <w:pStyle w:val="ListParagraph"/>
        <w:numPr>
          <w:ilvl w:val="0"/>
          <w:numId w:val="2"/>
        </w:numPr>
        <w:spacing w:after="30" w:before="30"/>
      </w:pPr>
      <w:r>
        <w:rPr>
          <w:rFonts w:ascii="Arial" w:cs="Arial" w:eastAsia="Arial" w:hAnsi="Arial"/>
          <w:color w:val="1F1F1F"/>
          <w:sz w:val="22"/>
          <w:szCs w:val="22"/>
        </w:rPr>
        <w:t xml:space="preserve">Datadog or Splunk (logging; PHI in logs must be redacted)</w:t>
      </w:r>
    </w:p>
    <w:p>
      <w:pPr>
        <w:pStyle w:val="ListParagraph"/>
        <w:numPr>
          <w:ilvl w:val="0"/>
          <w:numId w:val="2"/>
        </w:numPr>
        <w:spacing w:after="30" w:before="30"/>
      </w:pPr>
      <w:r>
        <w:rPr>
          <w:rFonts w:ascii="Arial" w:cs="Arial" w:eastAsia="Arial" w:hAnsi="Arial"/>
          <w:color w:val="1F1F1F"/>
          <w:sz w:val="22"/>
          <w:szCs w:val="22"/>
        </w:rPr>
        <w:t xml:space="preserve">Email provider for system notifications (no PHI in email content)</w:t>
      </w:r>
    </w:p>
    <w:p>
      <w:pPr>
        <w:pStyle w:val="Heading2"/>
        <w:spacing w:after="120" w:before="280"/>
      </w:pPr>
      <w:r>
        <w:rPr>
          <w:rFonts w:ascii="Arial" w:cs="Arial" w:eastAsia="Arial" w:hAnsi="Arial"/>
          <w:b/>
          <w:bCs/>
          <w:color w:val="1F1F1F"/>
          <w:sz w:val="28"/>
          <w:szCs w:val="28"/>
        </w:rPr>
        <w:t xml:space="preserve">20. Compliance Roadmap</w:t>
      </w:r>
    </w:p>
    <w:p>
      <w:pPr>
        <w:pStyle w:val="Heading3"/>
        <w:spacing w:after="80" w:before="200"/>
      </w:pPr>
      <w:r>
        <w:rPr>
          <w:rFonts w:ascii="Arial" w:cs="Arial" w:eastAsia="Arial" w:hAnsi="Arial"/>
          <w:b/>
          <w:bCs/>
          <w:color w:val="1F1F1F"/>
          <w:sz w:val="24"/>
          <w:szCs w:val="24"/>
        </w:rPr>
        <w:t xml:space="preserve">20.1 Phase 1 — Foundation (Months 1-6)</w:t>
      </w:r>
    </w:p>
    <w:p>
      <w:pPr>
        <w:pStyle w:val="ListParagraph"/>
        <w:numPr>
          <w:ilvl w:val="0"/>
          <w:numId w:val="2"/>
        </w:numPr>
        <w:spacing w:after="30" w:before="30"/>
      </w:pPr>
      <w:r>
        <w:rPr>
          <w:rFonts w:ascii="Arial" w:cs="Arial" w:eastAsia="Arial" w:hAnsi="Arial"/>
          <w:color w:val="1F1F1F"/>
          <w:sz w:val="22"/>
          <w:szCs w:val="22"/>
        </w:rPr>
        <w:t xml:space="preserve">Build security controls into initial development; do not defer.</w:t>
      </w:r>
    </w:p>
    <w:p>
      <w:pPr>
        <w:pStyle w:val="ListParagraph"/>
        <w:numPr>
          <w:ilvl w:val="0"/>
          <w:numId w:val="2"/>
        </w:numPr>
        <w:spacing w:after="30" w:before="30"/>
      </w:pPr>
      <w:r>
        <w:rPr>
          <w:rFonts w:ascii="Arial" w:cs="Arial" w:eastAsia="Arial" w:hAnsi="Arial"/>
          <w:color w:val="1F1F1F"/>
          <w:sz w:val="22"/>
          <w:szCs w:val="22"/>
        </w:rPr>
        <w:t xml:space="preserve">Deploy Vanta and integrate Git, AWS, identity provider, ticketing system.</w:t>
      </w:r>
    </w:p>
    <w:p>
      <w:pPr>
        <w:pStyle w:val="ListParagraph"/>
        <w:numPr>
          <w:ilvl w:val="0"/>
          <w:numId w:val="2"/>
        </w:numPr>
        <w:spacing w:after="30" w:before="30"/>
      </w:pPr>
      <w:r>
        <w:rPr>
          <w:rFonts w:ascii="Arial" w:cs="Arial" w:eastAsia="Arial" w:hAnsi="Arial"/>
          <w:color w:val="1F1F1F"/>
          <w:sz w:val="22"/>
          <w:szCs w:val="22"/>
        </w:rPr>
        <w:t xml:space="preserve">Document all required security policies and procedures.</w:t>
      </w:r>
    </w:p>
    <w:p>
      <w:pPr>
        <w:pStyle w:val="ListParagraph"/>
        <w:numPr>
          <w:ilvl w:val="0"/>
          <w:numId w:val="2"/>
        </w:numPr>
        <w:spacing w:after="30" w:before="30"/>
      </w:pPr>
      <w:r>
        <w:rPr>
          <w:rFonts w:ascii="Arial" w:cs="Arial" w:eastAsia="Arial" w:hAnsi="Arial"/>
          <w:color w:val="1F1F1F"/>
          <w:sz w:val="22"/>
          <w:szCs w:val="22"/>
        </w:rPr>
        <w:t xml:space="preserve">Establish vendor management and BAA process.</w:t>
      </w:r>
    </w:p>
    <w:p>
      <w:pPr>
        <w:pStyle w:val="ListParagraph"/>
        <w:numPr>
          <w:ilvl w:val="0"/>
          <w:numId w:val="2"/>
        </w:numPr>
        <w:spacing w:after="30" w:before="30"/>
      </w:pPr>
      <w:r>
        <w:rPr>
          <w:rFonts w:ascii="Arial" w:cs="Arial" w:eastAsia="Arial" w:hAnsi="Arial"/>
          <w:color w:val="1F1F1F"/>
          <w:sz w:val="22"/>
          <w:szCs w:val="22"/>
        </w:rPr>
        <w:t xml:space="preserve">Conduct initial risk assessment.</w:t>
      </w:r>
    </w:p>
    <w:p>
      <w:pPr>
        <w:pStyle w:val="ListParagraph"/>
        <w:numPr>
          <w:ilvl w:val="0"/>
          <w:numId w:val="2"/>
        </w:numPr>
        <w:spacing w:after="30" w:before="30"/>
      </w:pPr>
      <w:r>
        <w:rPr>
          <w:rFonts w:ascii="Arial" w:cs="Arial" w:eastAsia="Arial" w:hAnsi="Arial"/>
          <w:color w:val="1F1F1F"/>
          <w:sz w:val="22"/>
          <w:szCs w:val="22"/>
        </w:rPr>
        <w:t xml:space="preserve">Penetration test (authenticated and unauthenticated paths).</w:t>
      </w:r>
    </w:p>
    <w:p>
      <w:pPr>
        <w:pStyle w:val="Heading3"/>
        <w:spacing w:after="80" w:before="200"/>
      </w:pPr>
      <w:r>
        <w:rPr>
          <w:rFonts w:ascii="Arial" w:cs="Arial" w:eastAsia="Arial" w:hAnsi="Arial"/>
          <w:b/>
          <w:bCs/>
          <w:color w:val="1F1F1F"/>
          <w:sz w:val="24"/>
          <w:szCs w:val="24"/>
        </w:rPr>
        <w:t xml:space="preserve">20.2 Phase 2 — SOC 2 Type I (Months 6-12)</w:t>
      </w:r>
    </w:p>
    <w:p>
      <w:pPr>
        <w:pStyle w:val="ListParagraph"/>
        <w:numPr>
          <w:ilvl w:val="0"/>
          <w:numId w:val="2"/>
        </w:numPr>
        <w:spacing w:after="30" w:before="30"/>
      </w:pPr>
      <w:r>
        <w:rPr>
          <w:rFonts w:ascii="Arial" w:cs="Arial" w:eastAsia="Arial" w:hAnsi="Arial"/>
          <w:color w:val="1F1F1F"/>
          <w:sz w:val="22"/>
          <w:szCs w:val="22"/>
        </w:rPr>
        <w:t xml:space="preserve">Engage SOC 2 auditor for readiness assessment.</w:t>
      </w:r>
    </w:p>
    <w:p>
      <w:pPr>
        <w:pStyle w:val="ListParagraph"/>
        <w:numPr>
          <w:ilvl w:val="0"/>
          <w:numId w:val="2"/>
        </w:numPr>
        <w:spacing w:after="30" w:before="30"/>
      </w:pPr>
      <w:r>
        <w:rPr>
          <w:rFonts w:ascii="Arial" w:cs="Arial" w:eastAsia="Arial" w:hAnsi="Arial"/>
          <w:color w:val="1F1F1F"/>
          <w:sz w:val="22"/>
          <w:szCs w:val="22"/>
        </w:rPr>
        <w:t xml:space="preserve">Remediate identified gaps.</w:t>
      </w:r>
    </w:p>
    <w:p>
      <w:pPr>
        <w:pStyle w:val="ListParagraph"/>
        <w:numPr>
          <w:ilvl w:val="0"/>
          <w:numId w:val="2"/>
        </w:numPr>
        <w:spacing w:after="30" w:before="30"/>
      </w:pPr>
      <w:r>
        <w:rPr>
          <w:rFonts w:ascii="Arial" w:cs="Arial" w:eastAsia="Arial" w:hAnsi="Arial"/>
          <w:color w:val="1F1F1F"/>
          <w:sz w:val="22"/>
          <w:szCs w:val="22"/>
        </w:rPr>
        <w:t xml:space="preserve">Complete Type I audit (point-in-time assessment of control design).</w:t>
      </w:r>
    </w:p>
    <w:p>
      <w:pPr>
        <w:pStyle w:val="ListParagraph"/>
        <w:numPr>
          <w:ilvl w:val="0"/>
          <w:numId w:val="2"/>
        </w:numPr>
        <w:spacing w:after="30" w:before="30"/>
      </w:pPr>
      <w:r>
        <w:rPr>
          <w:rFonts w:ascii="Arial" w:cs="Arial" w:eastAsia="Arial" w:hAnsi="Arial"/>
          <w:color w:val="1F1F1F"/>
          <w:sz w:val="22"/>
          <w:szCs w:val="22"/>
        </w:rPr>
        <w:t xml:space="preserve">Obtain Type I report for customer and partner assurance.</w:t>
      </w:r>
    </w:p>
    <w:p>
      <w:pPr>
        <w:pStyle w:val="Heading3"/>
        <w:spacing w:after="80" w:before="200"/>
      </w:pPr>
      <w:r>
        <w:rPr>
          <w:rFonts w:ascii="Arial" w:cs="Arial" w:eastAsia="Arial" w:hAnsi="Arial"/>
          <w:b/>
          <w:bCs/>
          <w:color w:val="1F1F1F"/>
          <w:sz w:val="24"/>
          <w:szCs w:val="24"/>
        </w:rPr>
        <w:t xml:space="preserve">20.3 Phase 3 — SOC 2 Type II (Months 12-24)</w:t>
      </w:r>
    </w:p>
    <w:p>
      <w:pPr>
        <w:pStyle w:val="ListParagraph"/>
        <w:numPr>
          <w:ilvl w:val="0"/>
          <w:numId w:val="2"/>
        </w:numPr>
        <w:spacing w:after="30" w:before="30"/>
      </w:pPr>
      <w:r>
        <w:rPr>
          <w:rFonts w:ascii="Arial" w:cs="Arial" w:eastAsia="Arial" w:hAnsi="Arial"/>
          <w:color w:val="1F1F1F"/>
          <w:sz w:val="22"/>
          <w:szCs w:val="22"/>
        </w:rPr>
        <w:t xml:space="preserve">Begin Type II observation period (typically 6-12 months).</w:t>
      </w:r>
    </w:p>
    <w:p>
      <w:pPr>
        <w:pStyle w:val="ListParagraph"/>
        <w:numPr>
          <w:ilvl w:val="0"/>
          <w:numId w:val="2"/>
        </w:numPr>
        <w:spacing w:after="30" w:before="30"/>
      </w:pPr>
      <w:r>
        <w:rPr>
          <w:rFonts w:ascii="Arial" w:cs="Arial" w:eastAsia="Arial" w:hAnsi="Arial"/>
          <w:color w:val="1F1F1F"/>
          <w:sz w:val="22"/>
          <w:szCs w:val="22"/>
        </w:rPr>
        <w:t xml:space="preserve">Maintain continuous compliance monitoring via Vanta.</w:t>
      </w:r>
    </w:p>
    <w:p>
      <w:pPr>
        <w:pStyle w:val="ListParagraph"/>
        <w:numPr>
          <w:ilvl w:val="0"/>
          <w:numId w:val="2"/>
        </w:numPr>
        <w:spacing w:after="30" w:before="30"/>
      </w:pPr>
      <w:r>
        <w:rPr>
          <w:rFonts w:ascii="Arial" w:cs="Arial" w:eastAsia="Arial" w:hAnsi="Arial"/>
          <w:color w:val="1F1F1F"/>
          <w:sz w:val="22"/>
          <w:szCs w:val="22"/>
        </w:rPr>
        <w:t xml:space="preserve">Complete Type II audit (demonstrates controls operating effectively over time).</w:t>
      </w:r>
    </w:p>
    <w:p>
      <w:pPr>
        <w:pStyle w:val="ListParagraph"/>
        <w:numPr>
          <w:ilvl w:val="0"/>
          <w:numId w:val="2"/>
        </w:numPr>
        <w:spacing w:after="30" w:before="30"/>
      </w:pPr>
      <w:r>
        <w:rPr>
          <w:rFonts w:ascii="Arial" w:cs="Arial" w:eastAsia="Arial" w:hAnsi="Arial"/>
          <w:color w:val="1F1F1F"/>
          <w:sz w:val="22"/>
          <w:szCs w:val="22"/>
        </w:rPr>
        <w:t xml:space="preserve">Obtain Type II report (enterprise sales standard).</w:t>
      </w:r>
    </w:p>
    <w:p>
      <w:pPr>
        <w:pStyle w:val="Heading2"/>
        <w:spacing w:after="120" w:before="280"/>
      </w:pPr>
      <w:r>
        <w:rPr>
          <w:rFonts w:ascii="Arial" w:cs="Arial" w:eastAsia="Arial" w:hAnsi="Arial"/>
          <w:b/>
          <w:bCs/>
          <w:color w:val="1F1F1F"/>
          <w:sz w:val="28"/>
          <w:szCs w:val="28"/>
        </w:rPr>
        <w:t xml:space="preserve">21. Compliance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Item</w:t>
            </w:r>
          </w:p>
        </w:tc>
        <w:tc>
          <w:tcPr>
            <w:tcW w:type="dxa" w:w="23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Year 1</w:t>
            </w:r>
          </w:p>
        </w:tc>
        <w:tc>
          <w:tcPr>
            <w:tcW w:type="dxa" w:w="2340"/>
            <w:tcBorders>
              <w:top w:val="single" w:color="DDDDDD" w:sz="4"/>
              <w:left w:val="single" w:color="DDDDDD" w:sz="4"/>
              <w:bottom w:val="single" w:color="DDDDDD" w:sz="4"/>
              <w:right w:val="single" w:color="DDDDDD" w:sz="4"/>
            </w:tcBorders>
            <w:shd w:fill="1F1F1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Annual Recurring</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Compliance automation platform (Vanta)</w:t>
            </w:r>
          </w:p>
        </w:tc>
        <w:tc>
          <w:tcPr>
            <w:tcW w:type="dxa" w:w="23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$15,000–$30,000</w:t>
            </w:r>
          </w:p>
        </w:tc>
        <w:tc>
          <w:tcPr>
            <w:tcW w:type="dxa" w:w="23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$15,000–$30,000</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SOC 2 Type I audit</w:t>
            </w:r>
          </w:p>
        </w:tc>
        <w:tc>
          <w:tcPr>
            <w:tcW w:type="dxa" w:w="23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$30,000–$50,000</w:t>
            </w:r>
          </w:p>
        </w:tc>
        <w:tc>
          <w:tcPr>
            <w:tcW w:type="dxa" w:w="23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val="false"/>
                <w:bCs w:val="false"/>
                <w:color w:val="1F1F1F"/>
                <w:sz w:val="20"/>
                <w:szCs w:val="20"/>
              </w:rPr>
              <w:t xml:space="preserve">—</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SOC 2 Type II audit</w:t>
            </w:r>
          </w:p>
        </w:tc>
        <w:tc>
          <w:tcPr>
            <w:tcW w:type="dxa" w:w="23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$40,000–$75,000</w:t>
            </w:r>
          </w:p>
        </w:tc>
        <w:tc>
          <w:tcPr>
            <w:tcW w:type="dxa" w:w="23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$40,000–$75,000</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Penetration testing (annual)</w:t>
            </w:r>
          </w:p>
        </w:tc>
        <w:tc>
          <w:tcPr>
            <w:tcW w:type="dxa" w:w="23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$10,000–$25,000</w:t>
            </w:r>
          </w:p>
        </w:tc>
        <w:tc>
          <w:tcPr>
            <w:tcW w:type="dxa" w:w="23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$10,000–$25,000</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Arial" w:cs="Arial" w:eastAsia="Arial" w:hAnsi="Arial"/>
                <w:b/>
                <w:bCs/>
                <w:color w:val="1F1F1F"/>
                <w:sz w:val="20"/>
                <w:szCs w:val="20"/>
              </w:rPr>
              <w:t xml:space="preserve">Security tooling (SIEM, vulnerability scan)</w:t>
            </w:r>
          </w:p>
        </w:tc>
        <w:tc>
          <w:tcPr>
            <w:tcW w:type="dxa" w:w="23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$5,000–$15,000</w:t>
            </w:r>
          </w:p>
        </w:tc>
        <w:tc>
          <w:tcPr>
            <w:tcW w:type="dxa" w:w="2340"/>
            <w:tcBorders>
              <w:top w:val="single" w:color="DDDDDD" w:sz="4"/>
              <w:left w:val="single" w:color="DDDDDD" w:sz="4"/>
              <w:bottom w:val="single" w:color="DDDDDD" w:sz="4"/>
              <w:right w:val="single" w:color="DDDDDD" w:sz="4"/>
            </w:tcBorders>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$5,000–$15,000</w:t>
            </w:r>
          </w:p>
        </w:tc>
      </w:tr>
      <w:tr>
        <w:tc>
          <w:tcPr>
            <w:tcW w:type="dxa" w:w="468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Arial" w:cs="Arial" w:eastAsia="Arial" w:hAnsi="Arial"/>
                <w:b/>
                <w:bCs/>
                <w:color w:val="1F1F1F"/>
                <w:sz w:val="20"/>
                <w:szCs w:val="20"/>
              </w:rPr>
              <w:t xml:space="preserve">Estimated total</w:t>
            </w:r>
          </w:p>
        </w:tc>
        <w:tc>
          <w:tcPr>
            <w:tcW w:type="dxa" w:w="23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$100,000–$195,000</w:t>
            </w:r>
          </w:p>
        </w:tc>
        <w:tc>
          <w:tcPr>
            <w:tcW w:type="dxa" w:w="2340"/>
            <w:tcBorders>
              <w:top w:val="single" w:color="DDDDDD" w:sz="4"/>
              <w:left w:val="single" w:color="DDDDDD" w:sz="4"/>
              <w:bottom w:val="single" w:color="DDDDDD" w:sz="4"/>
              <w:right w:val="single" w:color="DDDDDD" w:sz="4"/>
            </w:tcBorders>
            <w:shd w:fill="F7F7F5" w:val="clear"/>
            <w:tcMar>
              <w:top w:type="dxa" w:w="100"/>
              <w:left w:type="dxa" w:w="140"/>
              <w:bottom w:type="dxa" w:w="100"/>
              <w:right w:type="dxa" w:w="140"/>
            </w:tcMar>
          </w:tcPr>
          <w:p>
            <w:pPr>
              <w:jc w:val="left"/>
            </w:pPr>
            <w:r>
              <w:rPr>
                <w:rFonts w:ascii="Consolas" w:cs="Consolas" w:eastAsia="Consolas" w:hAnsi="Consolas"/>
                <w:b w:val="false"/>
                <w:bCs w:val="false"/>
                <w:color w:val="1F1F1F"/>
                <w:sz w:val="20"/>
                <w:szCs w:val="20"/>
              </w:rPr>
              <w:t xml:space="preserve">$70,000–$145,000</w:t>
            </w:r>
          </w:p>
        </w:tc>
      </w:tr>
    </w:tbl>
    <w:p>
      <w:pPr>
        <w:pStyle w:val="Heading1"/>
        <w:spacing w:after="160" w:before="360"/>
      </w:pPr>
      <w:r>
        <w:rPr>
          <w:rFonts w:ascii="Arial" w:cs="Arial" w:eastAsia="Arial" w:hAnsi="Arial"/>
          <w:b/>
          <w:bCs/>
          <w:color w:val="1F1F1F"/>
          <w:sz w:val="36"/>
          <w:szCs w:val="36"/>
        </w:rPr>
        <w:t xml:space="preserve">Part VII · Operational Excellence</w:t>
      </w:r>
    </w:p>
    <w:p>
      <w:pPr>
        <w:pStyle w:val="Heading2"/>
        <w:spacing w:after="120" w:before="280"/>
      </w:pPr>
      <w:r>
        <w:rPr>
          <w:rFonts w:ascii="Arial" w:cs="Arial" w:eastAsia="Arial" w:hAnsi="Arial"/>
          <w:b/>
          <w:bCs/>
          <w:color w:val="1F1F1F"/>
          <w:sz w:val="28"/>
          <w:szCs w:val="28"/>
        </w:rPr>
        <w:t xml:space="preserve">22. Availability &amp; Resilience</w:t>
      </w:r>
    </w:p>
    <w:p>
      <w:pPr>
        <w:pStyle w:val="ListParagraph"/>
        <w:numPr>
          <w:ilvl w:val="0"/>
          <w:numId w:val="2"/>
        </w:numPr>
        <w:spacing w:after="30" w:before="30"/>
      </w:pPr>
      <w:r>
        <w:rPr>
          <w:rFonts w:ascii="Arial" w:cs="Arial" w:eastAsia="Arial" w:hAnsi="Arial"/>
          <w:color w:val="1F1F1F"/>
          <w:sz w:val="22"/>
          <w:szCs w:val="22"/>
        </w:rPr>
        <w:t xml:space="preserve">Uptime SLA target: 99.9% (8.76 hours downtime per year) for Phase 1; 99.95% for Phase 2.</w:t>
      </w:r>
    </w:p>
    <w:p>
      <w:pPr>
        <w:pStyle w:val="ListParagraph"/>
        <w:numPr>
          <w:ilvl w:val="0"/>
          <w:numId w:val="2"/>
        </w:numPr>
        <w:spacing w:after="30" w:before="30"/>
      </w:pPr>
      <w:r>
        <w:rPr>
          <w:rFonts w:ascii="Arial" w:cs="Arial" w:eastAsia="Arial" w:hAnsi="Arial"/>
          <w:color w:val="1F1F1F"/>
          <w:sz w:val="22"/>
          <w:szCs w:val="22"/>
        </w:rPr>
        <w:t xml:space="preserve">Multi-AZ deployment for all data tier components.</w:t>
      </w:r>
    </w:p>
    <w:p>
      <w:pPr>
        <w:pStyle w:val="ListParagraph"/>
        <w:numPr>
          <w:ilvl w:val="0"/>
          <w:numId w:val="2"/>
        </w:numPr>
        <w:spacing w:after="30" w:before="30"/>
      </w:pPr>
      <w:r>
        <w:rPr>
          <w:rFonts w:ascii="Arial" w:cs="Arial" w:eastAsia="Arial" w:hAnsi="Arial"/>
          <w:color w:val="1F1F1F"/>
          <w:sz w:val="22"/>
          <w:szCs w:val="22"/>
        </w:rPr>
        <w:t xml:space="preserve">Recovery Time Objective (RTO): 4 hours for full restore from backup.</w:t>
      </w:r>
    </w:p>
    <w:p>
      <w:pPr>
        <w:pStyle w:val="ListParagraph"/>
        <w:numPr>
          <w:ilvl w:val="0"/>
          <w:numId w:val="2"/>
        </w:numPr>
        <w:spacing w:after="30" w:before="30"/>
      </w:pPr>
      <w:r>
        <w:rPr>
          <w:rFonts w:ascii="Arial" w:cs="Arial" w:eastAsia="Arial" w:hAnsi="Arial"/>
          <w:color w:val="1F1F1F"/>
          <w:sz w:val="22"/>
          <w:szCs w:val="22"/>
        </w:rPr>
        <w:t xml:space="preserve">Recovery Point Objective (RPO): 1 hour for OLTP data.</w:t>
      </w:r>
    </w:p>
    <w:p>
      <w:pPr>
        <w:pStyle w:val="ListParagraph"/>
        <w:numPr>
          <w:ilvl w:val="0"/>
          <w:numId w:val="2"/>
        </w:numPr>
        <w:spacing w:after="30" w:before="30"/>
      </w:pPr>
      <w:r>
        <w:rPr>
          <w:rFonts w:ascii="Arial" w:cs="Arial" w:eastAsia="Arial" w:hAnsi="Arial"/>
          <w:color w:val="1F1F1F"/>
          <w:sz w:val="22"/>
          <w:szCs w:val="22"/>
        </w:rPr>
        <w:t xml:space="preserve">Backup tests run monthly; full restore tested quarterly.</w:t>
      </w:r>
    </w:p>
    <w:p>
      <w:pPr>
        <w:pStyle w:val="ListParagraph"/>
        <w:numPr>
          <w:ilvl w:val="0"/>
          <w:numId w:val="2"/>
        </w:numPr>
        <w:spacing w:after="30" w:before="30"/>
      </w:pPr>
      <w:r>
        <w:rPr>
          <w:rFonts w:ascii="Arial" w:cs="Arial" w:eastAsia="Arial" w:hAnsi="Arial"/>
          <w:color w:val="1F1F1F"/>
          <w:sz w:val="22"/>
          <w:szCs w:val="22"/>
        </w:rPr>
        <w:t xml:space="preserve">Disaster recovery runbook reviewed and updated annually.</w:t>
      </w:r>
    </w:p>
    <w:p>
      <w:pPr>
        <w:pStyle w:val="Heading2"/>
        <w:spacing w:after="120" w:before="280"/>
      </w:pPr>
      <w:r>
        <w:rPr>
          <w:rFonts w:ascii="Arial" w:cs="Arial" w:eastAsia="Arial" w:hAnsi="Arial"/>
          <w:b/>
          <w:bCs/>
          <w:color w:val="1F1F1F"/>
          <w:sz w:val="28"/>
          <w:szCs w:val="28"/>
        </w:rPr>
        <w:t xml:space="preserve">23. Change Management</w:t>
      </w:r>
    </w:p>
    <w:p>
      <w:pPr>
        <w:pStyle w:val="ListParagraph"/>
        <w:numPr>
          <w:ilvl w:val="0"/>
          <w:numId w:val="2"/>
        </w:numPr>
        <w:spacing w:after="30" w:before="30"/>
      </w:pPr>
      <w:r>
        <w:rPr>
          <w:rFonts w:ascii="Arial" w:cs="Arial" w:eastAsia="Arial" w:hAnsi="Arial"/>
          <w:color w:val="1F1F1F"/>
          <w:sz w:val="22"/>
          <w:szCs w:val="22"/>
        </w:rPr>
        <w:t xml:space="preserve">Version control for all code (Git, single source of truth).</w:t>
      </w:r>
    </w:p>
    <w:p>
      <w:pPr>
        <w:pStyle w:val="ListParagraph"/>
        <w:numPr>
          <w:ilvl w:val="0"/>
          <w:numId w:val="2"/>
        </w:numPr>
        <w:spacing w:after="30" w:before="30"/>
      </w:pPr>
      <w:r>
        <w:rPr>
          <w:rFonts w:ascii="Arial" w:cs="Arial" w:eastAsia="Arial" w:hAnsi="Arial"/>
          <w:color w:val="1F1F1F"/>
          <w:sz w:val="22"/>
          <w:szCs w:val="22"/>
        </w:rPr>
        <w:t xml:space="preserve">Required peer review before merge to main. Two approvals for security-critical paths.</w:t>
      </w:r>
    </w:p>
    <w:p>
      <w:pPr>
        <w:pStyle w:val="ListParagraph"/>
        <w:numPr>
          <w:ilvl w:val="0"/>
          <w:numId w:val="2"/>
        </w:numPr>
        <w:spacing w:after="30" w:before="30"/>
      </w:pPr>
      <w:r>
        <w:rPr>
          <w:rFonts w:ascii="Arial" w:cs="Arial" w:eastAsia="Arial" w:hAnsi="Arial"/>
          <w:color w:val="1F1F1F"/>
          <w:sz w:val="22"/>
          <w:szCs w:val="22"/>
        </w:rPr>
        <w:t xml:space="preserve">Automated test gates: unit, integration, security, license compliance.</w:t>
      </w:r>
    </w:p>
    <w:p>
      <w:pPr>
        <w:pStyle w:val="ListParagraph"/>
        <w:numPr>
          <w:ilvl w:val="0"/>
          <w:numId w:val="2"/>
        </w:numPr>
        <w:spacing w:after="30" w:before="30"/>
      </w:pPr>
      <w:r>
        <w:rPr>
          <w:rFonts w:ascii="Arial" w:cs="Arial" w:eastAsia="Arial" w:hAnsi="Arial"/>
          <w:color w:val="1F1F1F"/>
          <w:sz w:val="22"/>
          <w:szCs w:val="22"/>
        </w:rPr>
        <w:t xml:space="preserve">Separate dev, staging, and production environments. No direct prod access for engineers.</w:t>
      </w:r>
    </w:p>
    <w:p>
      <w:pPr>
        <w:pStyle w:val="ListParagraph"/>
        <w:numPr>
          <w:ilvl w:val="0"/>
          <w:numId w:val="2"/>
        </w:numPr>
        <w:spacing w:after="30" w:before="30"/>
      </w:pPr>
      <w:r>
        <w:rPr>
          <w:rFonts w:ascii="Arial" w:cs="Arial" w:eastAsia="Arial" w:hAnsi="Arial"/>
          <w:color w:val="1F1F1F"/>
          <w:sz w:val="22"/>
          <w:szCs w:val="22"/>
        </w:rPr>
        <w:t xml:space="preserve">CI/CD pipelines run vulnerability scanning and SCA on every build.</w:t>
      </w:r>
    </w:p>
    <w:p>
      <w:pPr>
        <w:pStyle w:val="ListParagraph"/>
        <w:numPr>
          <w:ilvl w:val="0"/>
          <w:numId w:val="2"/>
        </w:numPr>
        <w:spacing w:after="30" w:before="30"/>
      </w:pPr>
      <w:r>
        <w:rPr>
          <w:rFonts w:ascii="Arial" w:cs="Arial" w:eastAsia="Arial" w:hAnsi="Arial"/>
          <w:color w:val="1F1F1F"/>
          <w:sz w:val="22"/>
          <w:szCs w:val="22"/>
        </w:rPr>
        <w:t xml:space="preserve">Documented rollback procedures with one-click revert capability.</w:t>
      </w:r>
    </w:p>
    <w:p>
      <w:pPr>
        <w:pStyle w:val="Heading2"/>
        <w:spacing w:after="120" w:before="280"/>
      </w:pPr>
      <w:r>
        <w:rPr>
          <w:rFonts w:ascii="Arial" w:cs="Arial" w:eastAsia="Arial" w:hAnsi="Arial"/>
          <w:b/>
          <w:bCs/>
          <w:color w:val="1F1F1F"/>
          <w:sz w:val="28"/>
          <w:szCs w:val="28"/>
        </w:rPr>
        <w:t xml:space="preserve">24. Incident Response</w:t>
      </w:r>
    </w:p>
    <w:p>
      <w:pPr>
        <w:pStyle w:val="ListParagraph"/>
        <w:numPr>
          <w:ilvl w:val="0"/>
          <w:numId w:val="2"/>
        </w:numPr>
        <w:spacing w:after="30" w:before="30"/>
      </w:pPr>
      <w:r>
        <w:rPr>
          <w:rFonts w:ascii="Arial" w:cs="Arial" w:eastAsia="Arial" w:hAnsi="Arial"/>
          <w:color w:val="1F1F1F"/>
          <w:sz w:val="22"/>
          <w:szCs w:val="22"/>
        </w:rPr>
        <w:t xml:space="preserve">Incident response plan with defined roles (incident commander, communications lead, technical lead).</w:t>
      </w:r>
    </w:p>
    <w:p>
      <w:pPr>
        <w:pStyle w:val="ListParagraph"/>
        <w:numPr>
          <w:ilvl w:val="0"/>
          <w:numId w:val="2"/>
        </w:numPr>
        <w:spacing w:after="30" w:before="30"/>
      </w:pPr>
      <w:r>
        <w:rPr>
          <w:rFonts w:ascii="Arial" w:cs="Arial" w:eastAsia="Arial" w:hAnsi="Arial"/>
          <w:color w:val="1F1F1F"/>
          <w:sz w:val="22"/>
          <w:szCs w:val="22"/>
        </w:rPr>
        <w:t xml:space="preserve">On-call rotation with documented escalation paths.</w:t>
      </w:r>
    </w:p>
    <w:p>
      <w:pPr>
        <w:pStyle w:val="ListParagraph"/>
        <w:numPr>
          <w:ilvl w:val="0"/>
          <w:numId w:val="2"/>
        </w:numPr>
        <w:spacing w:after="30" w:before="30"/>
      </w:pPr>
      <w:r>
        <w:rPr>
          <w:rFonts w:ascii="Arial" w:cs="Arial" w:eastAsia="Arial" w:hAnsi="Arial"/>
          <w:color w:val="1F1F1F"/>
          <w:sz w:val="22"/>
          <w:szCs w:val="22"/>
        </w:rPr>
        <w:t xml:space="preserve">Severity classification: P0 (data breach or production down), P1 (major degradation), P2 (minor degradation), P3 (cosmetic).</w:t>
      </w:r>
    </w:p>
    <w:p>
      <w:pPr>
        <w:pStyle w:val="ListParagraph"/>
        <w:numPr>
          <w:ilvl w:val="0"/>
          <w:numId w:val="2"/>
        </w:numPr>
        <w:spacing w:after="30" w:before="30"/>
      </w:pPr>
      <w:r>
        <w:rPr>
          <w:rFonts w:ascii="Arial" w:cs="Arial" w:eastAsia="Arial" w:hAnsi="Arial"/>
          <w:color w:val="1F1F1F"/>
          <w:sz w:val="22"/>
          <w:szCs w:val="22"/>
        </w:rPr>
        <w:t xml:space="preserve">Annual tabletop exercises covering: PHI breach, credential compromise, ransomware, data corruption.</w:t>
      </w:r>
    </w:p>
    <w:p>
      <w:pPr>
        <w:pStyle w:val="ListParagraph"/>
        <w:numPr>
          <w:ilvl w:val="0"/>
          <w:numId w:val="2"/>
        </w:numPr>
        <w:spacing w:after="30" w:before="30"/>
      </w:pPr>
      <w:r>
        <w:rPr>
          <w:rFonts w:ascii="Arial" w:cs="Arial" w:eastAsia="Arial" w:hAnsi="Arial"/>
          <w:color w:val="1F1F1F"/>
          <w:sz w:val="22"/>
          <w:szCs w:val="22"/>
        </w:rPr>
        <w:t xml:space="preserve">Post-incident retrospective within 5 business days. Action items tracked to completion.</w:t>
      </w:r>
    </w:p>
    <w:p>
      <w:pPr>
        <w:pStyle w:val="Heading2"/>
        <w:spacing w:after="120" w:before="280"/>
      </w:pPr>
      <w:r>
        <w:rPr>
          <w:rFonts w:ascii="Arial" w:cs="Arial" w:eastAsia="Arial" w:hAnsi="Arial"/>
          <w:b/>
          <w:bCs/>
          <w:color w:val="1F1F1F"/>
          <w:sz w:val="28"/>
          <w:szCs w:val="28"/>
        </w:rPr>
        <w:t xml:space="preserve">25. Monitoring &amp; Alerting</w:t>
      </w:r>
    </w:p>
    <w:p>
      <w:pPr>
        <w:pStyle w:val="ListParagraph"/>
        <w:numPr>
          <w:ilvl w:val="0"/>
          <w:numId w:val="2"/>
        </w:numPr>
        <w:spacing w:after="30" w:before="30"/>
      </w:pPr>
      <w:r>
        <w:rPr>
          <w:rFonts w:ascii="Arial" w:cs="Arial" w:eastAsia="Arial" w:hAnsi="Arial"/>
          <w:color w:val="1F1F1F"/>
          <w:sz w:val="22"/>
          <w:szCs w:val="22"/>
        </w:rPr>
        <w:t xml:space="preserve">Application metrics: request rate, p95 latency, error rate, success rate per endpoint.</w:t>
      </w:r>
    </w:p>
    <w:p>
      <w:pPr>
        <w:pStyle w:val="ListParagraph"/>
        <w:numPr>
          <w:ilvl w:val="0"/>
          <w:numId w:val="2"/>
        </w:numPr>
        <w:spacing w:after="30" w:before="30"/>
      </w:pPr>
      <w:r>
        <w:rPr>
          <w:rFonts w:ascii="Arial" w:cs="Arial" w:eastAsia="Arial" w:hAnsi="Arial"/>
          <w:color w:val="1F1F1F"/>
          <w:sz w:val="22"/>
          <w:szCs w:val="22"/>
        </w:rPr>
        <w:t xml:space="preserve">Infrastructure metrics: CPU, memory, disk, connection count, queue depth.</w:t>
      </w:r>
    </w:p>
    <w:p>
      <w:pPr>
        <w:pStyle w:val="ListParagraph"/>
        <w:numPr>
          <w:ilvl w:val="0"/>
          <w:numId w:val="2"/>
        </w:numPr>
        <w:spacing w:after="30" w:before="30"/>
      </w:pPr>
      <w:r>
        <w:rPr>
          <w:rFonts w:ascii="Arial" w:cs="Arial" w:eastAsia="Arial" w:hAnsi="Arial"/>
          <w:color w:val="1F1F1F"/>
          <w:sz w:val="22"/>
          <w:szCs w:val="22"/>
        </w:rPr>
        <w:t xml:space="preserve">Security metrics: failed authentication rate, mTLS handshake failures, JWT validation failures, suspicious access patterns, excessive retries.</w:t>
      </w:r>
    </w:p>
    <w:p>
      <w:pPr>
        <w:pStyle w:val="ListParagraph"/>
        <w:numPr>
          <w:ilvl w:val="0"/>
          <w:numId w:val="2"/>
        </w:numPr>
        <w:spacing w:after="30" w:before="30"/>
      </w:pPr>
      <w:r>
        <w:rPr>
          <w:rFonts w:ascii="Arial" w:cs="Arial" w:eastAsia="Arial" w:hAnsi="Arial"/>
          <w:color w:val="1F1F1F"/>
          <w:sz w:val="22"/>
          <w:szCs w:val="22"/>
        </w:rPr>
        <w:t xml:space="preserve">Business metrics: scenarios calculated, claims processed, override rate, version activations.</w:t>
      </w:r>
    </w:p>
    <w:p>
      <w:pPr>
        <w:pStyle w:val="ListParagraph"/>
        <w:numPr>
          <w:ilvl w:val="0"/>
          <w:numId w:val="2"/>
        </w:numPr>
        <w:spacing w:after="30" w:before="30"/>
      </w:pPr>
      <w:r>
        <w:rPr>
          <w:rFonts w:ascii="Arial" w:cs="Arial" w:eastAsia="Arial" w:hAnsi="Arial"/>
          <w:color w:val="1F1F1F"/>
          <w:sz w:val="22"/>
          <w:szCs w:val="22"/>
        </w:rPr>
        <w:t xml:space="preserve">Alert routing: PagerDuty for P0/P1, Slack for P2, dashboard for P3.</w:t>
      </w:r>
    </w:p>
    <w:p>
      <w:pPr>
        <w:pStyle w:val="Heading1"/>
        <w:spacing w:after="160" w:before="360"/>
      </w:pPr>
      <w:r>
        <w:rPr>
          <w:rFonts w:ascii="Arial" w:cs="Arial" w:eastAsia="Arial" w:hAnsi="Arial"/>
          <w:b/>
          <w:bCs/>
          <w:color w:val="1F1F1F"/>
          <w:sz w:val="36"/>
          <w:szCs w:val="36"/>
        </w:rPr>
        <w:t xml:space="preserve">Part VIII · Engineering Standards</w:t>
      </w:r>
    </w:p>
    <w:p>
      <w:pPr>
        <w:pStyle w:val="Heading2"/>
        <w:spacing w:after="120" w:before="280"/>
      </w:pPr>
      <w:r>
        <w:rPr>
          <w:rFonts w:ascii="Arial" w:cs="Arial" w:eastAsia="Arial" w:hAnsi="Arial"/>
          <w:b/>
          <w:bCs/>
          <w:color w:val="1F1F1F"/>
          <w:sz w:val="28"/>
          <w:szCs w:val="28"/>
        </w:rPr>
        <w:t xml:space="preserve">26. API Design</w:t>
      </w:r>
    </w:p>
    <w:p>
      <w:pPr>
        <w:pStyle w:val="ListParagraph"/>
        <w:numPr>
          <w:ilvl w:val="0"/>
          <w:numId w:val="2"/>
        </w:numPr>
        <w:spacing w:after="30" w:before="30"/>
      </w:pPr>
      <w:r>
        <w:rPr>
          <w:rFonts w:ascii="Arial" w:cs="Arial" w:eastAsia="Arial" w:hAnsi="Arial"/>
          <w:color w:val="1F1F1F"/>
          <w:sz w:val="22"/>
          <w:szCs w:val="22"/>
        </w:rPr>
        <w:t xml:space="preserve">Contract-first with OpenAPI 3.0. Spec is reviewed and merged before implementation.</w:t>
      </w:r>
    </w:p>
    <w:p>
      <w:pPr>
        <w:pStyle w:val="ListParagraph"/>
        <w:numPr>
          <w:ilvl w:val="0"/>
          <w:numId w:val="2"/>
        </w:numPr>
        <w:spacing w:after="30" w:before="30"/>
      </w:pPr>
      <w:r>
        <w:rPr>
          <w:rFonts w:ascii="Arial" w:cs="Arial" w:eastAsia="Arial" w:hAnsi="Arial"/>
          <w:color w:val="1F1F1F"/>
          <w:sz w:val="22"/>
          <w:szCs w:val="22"/>
        </w:rPr>
        <w:t xml:space="preserve">Code generation for clients and servers from the spec.</w:t>
      </w:r>
    </w:p>
    <w:p>
      <w:pPr>
        <w:pStyle w:val="ListParagraph"/>
        <w:numPr>
          <w:ilvl w:val="0"/>
          <w:numId w:val="2"/>
        </w:numPr>
        <w:spacing w:after="30" w:before="30"/>
      </w:pPr>
      <w:r>
        <w:rPr>
          <w:rFonts w:ascii="Arial" w:cs="Arial" w:eastAsia="Arial" w:hAnsi="Arial"/>
          <w:color w:val="1F1F1F"/>
          <w:sz w:val="22"/>
          <w:szCs w:val="22"/>
        </w:rPr>
        <w:t xml:space="preserve">URI versioning (/v1, /v2). Deprecation headers and changelogs.</w:t>
      </w:r>
    </w:p>
    <w:p>
      <w:pPr>
        <w:pStyle w:val="ListParagraph"/>
        <w:numPr>
          <w:ilvl w:val="0"/>
          <w:numId w:val="2"/>
        </w:numPr>
        <w:spacing w:after="30" w:before="30"/>
      </w:pPr>
      <w:r>
        <w:rPr>
          <w:rFonts w:ascii="Arial" w:cs="Arial" w:eastAsia="Arial" w:hAnsi="Arial"/>
          <w:color w:val="1F1F1F"/>
          <w:sz w:val="22"/>
          <w:szCs w:val="22"/>
        </w:rPr>
        <w:t xml:space="preserve">Errors follow RFC 7807 (Problem+JSON) with correlation ID.</w:t>
      </w:r>
    </w:p>
    <w:p>
      <w:pPr>
        <w:pStyle w:val="ListParagraph"/>
        <w:numPr>
          <w:ilvl w:val="0"/>
          <w:numId w:val="2"/>
        </w:numPr>
        <w:spacing w:after="30" w:before="30"/>
      </w:pPr>
      <w:r>
        <w:rPr>
          <w:rFonts w:ascii="Arial" w:cs="Arial" w:eastAsia="Arial" w:hAnsi="Arial"/>
          <w:color w:val="1F1F1F"/>
          <w:sz w:val="22"/>
          <w:szCs w:val="22"/>
        </w:rPr>
        <w:t xml:space="preserve">Pagination uses cursor-based paging with limit, cursor, updated_since, sort, fields.</w:t>
      </w:r>
    </w:p>
    <w:p>
      <w:pPr>
        <w:pStyle w:val="ListParagraph"/>
        <w:numPr>
          <w:ilvl w:val="0"/>
          <w:numId w:val="2"/>
        </w:numPr>
        <w:spacing w:after="30" w:before="30"/>
      </w:pPr>
      <w:r>
        <w:rPr>
          <w:rFonts w:ascii="Arial" w:cs="Arial" w:eastAsia="Arial" w:hAnsi="Arial"/>
          <w:color w:val="1F1F1F"/>
          <w:sz w:val="22"/>
          <w:szCs w:val="22"/>
        </w:rPr>
        <w:t xml:space="preserve">Rate limiting per client with adaptive throttling.</w:t>
      </w:r>
    </w:p>
    <w:p>
      <w:pPr>
        <w:pStyle w:val="Heading2"/>
        <w:spacing w:after="120" w:before="280"/>
      </w:pPr>
      <w:r>
        <w:rPr>
          <w:rFonts w:ascii="Arial" w:cs="Arial" w:eastAsia="Arial" w:hAnsi="Arial"/>
          <w:b/>
          <w:bCs/>
          <w:color w:val="1F1F1F"/>
          <w:sz w:val="28"/>
          <w:szCs w:val="28"/>
        </w:rPr>
        <w:t xml:space="preserve">27. Code Quality</w:t>
      </w:r>
    </w:p>
    <w:p>
      <w:pPr>
        <w:pStyle w:val="ListParagraph"/>
        <w:numPr>
          <w:ilvl w:val="0"/>
          <w:numId w:val="2"/>
        </w:numPr>
        <w:spacing w:after="30" w:before="30"/>
      </w:pPr>
      <w:r>
        <w:rPr>
          <w:rFonts w:ascii="Arial" w:cs="Arial" w:eastAsia="Arial" w:hAnsi="Arial"/>
          <w:color w:val="1F1F1F"/>
          <w:sz w:val="22"/>
          <w:szCs w:val="22"/>
        </w:rPr>
        <w:t xml:space="preserve">Style guides enforced via linter on every commit.</w:t>
      </w:r>
    </w:p>
    <w:p>
      <w:pPr>
        <w:pStyle w:val="ListParagraph"/>
        <w:numPr>
          <w:ilvl w:val="0"/>
          <w:numId w:val="2"/>
        </w:numPr>
        <w:spacing w:after="30" w:before="30"/>
      </w:pPr>
      <w:r>
        <w:rPr>
          <w:rFonts w:ascii="Arial" w:cs="Arial" w:eastAsia="Arial" w:hAnsi="Arial"/>
          <w:color w:val="1F1F1F"/>
          <w:sz w:val="22"/>
          <w:szCs w:val="22"/>
        </w:rPr>
        <w:t xml:space="preserve">Type checking enforced (TypeScript on frontend, Python type hints with mypy or pyright, Java strict mode).</w:t>
      </w:r>
    </w:p>
    <w:p>
      <w:pPr>
        <w:pStyle w:val="ListParagraph"/>
        <w:numPr>
          <w:ilvl w:val="0"/>
          <w:numId w:val="2"/>
        </w:numPr>
        <w:spacing w:after="30" w:before="30"/>
      </w:pPr>
      <w:r>
        <w:rPr>
          <w:rFonts w:ascii="Arial" w:cs="Arial" w:eastAsia="Arial" w:hAnsi="Arial"/>
          <w:color w:val="1F1F1F"/>
          <w:sz w:val="22"/>
          <w:szCs w:val="22"/>
        </w:rPr>
        <w:t xml:space="preserve">Code coverage minimum: 80% line, 70% branch on calculation engine paths.</w:t>
      </w:r>
    </w:p>
    <w:p>
      <w:pPr>
        <w:pStyle w:val="ListParagraph"/>
        <w:numPr>
          <w:ilvl w:val="0"/>
          <w:numId w:val="2"/>
        </w:numPr>
        <w:spacing w:after="30" w:before="30"/>
      </w:pPr>
      <w:r>
        <w:rPr>
          <w:rFonts w:ascii="Arial" w:cs="Arial" w:eastAsia="Arial" w:hAnsi="Arial"/>
          <w:color w:val="1F1F1F"/>
          <w:sz w:val="22"/>
          <w:szCs w:val="22"/>
        </w:rPr>
        <w:t xml:space="preserve">Calculation engine has property-based tests verifying invariants (sum of components equals historical claims, residual ≥ 0, etc.).</w:t>
      </w:r>
    </w:p>
    <w:p>
      <w:pPr>
        <w:pStyle w:val="ListParagraph"/>
        <w:numPr>
          <w:ilvl w:val="0"/>
          <w:numId w:val="2"/>
        </w:numPr>
        <w:spacing w:after="30" w:before="30"/>
      </w:pPr>
      <w:r>
        <w:rPr>
          <w:rFonts w:ascii="Arial" w:cs="Arial" w:eastAsia="Arial" w:hAnsi="Arial"/>
          <w:color w:val="1F1F1F"/>
          <w:sz w:val="22"/>
          <w:szCs w:val="22"/>
        </w:rPr>
        <w:t xml:space="preserve">All public APIs have integration tests against a containerized test environment.</w:t>
      </w:r>
    </w:p>
    <w:p>
      <w:pPr>
        <w:pStyle w:val="Heading2"/>
        <w:spacing w:after="120" w:before="280"/>
      </w:pPr>
      <w:r>
        <w:rPr>
          <w:rFonts w:ascii="Arial" w:cs="Arial" w:eastAsia="Arial" w:hAnsi="Arial"/>
          <w:b/>
          <w:bCs/>
          <w:color w:val="1F1F1F"/>
          <w:sz w:val="28"/>
          <w:szCs w:val="28"/>
        </w:rPr>
        <w:t xml:space="preserve">28. Documentation Standards</w:t>
      </w:r>
    </w:p>
    <w:p>
      <w:pPr>
        <w:pStyle w:val="ListParagraph"/>
        <w:numPr>
          <w:ilvl w:val="0"/>
          <w:numId w:val="2"/>
        </w:numPr>
        <w:spacing w:after="30" w:before="30"/>
      </w:pPr>
      <w:r>
        <w:rPr>
          <w:rFonts w:ascii="Arial" w:cs="Arial" w:eastAsia="Arial" w:hAnsi="Arial"/>
          <w:color w:val="1F1F1F"/>
          <w:sz w:val="22"/>
          <w:szCs w:val="22"/>
        </w:rPr>
        <w:t xml:space="preserve">Every service has a README with: purpose, architecture diagram, local development setup, deployment, runbook links.</w:t>
      </w:r>
    </w:p>
    <w:p>
      <w:pPr>
        <w:pStyle w:val="ListParagraph"/>
        <w:numPr>
          <w:ilvl w:val="0"/>
          <w:numId w:val="2"/>
        </w:numPr>
        <w:spacing w:after="30" w:before="30"/>
      </w:pPr>
      <w:r>
        <w:rPr>
          <w:rFonts w:ascii="Arial" w:cs="Arial" w:eastAsia="Arial" w:hAnsi="Arial"/>
          <w:color w:val="1F1F1F"/>
          <w:sz w:val="22"/>
          <w:szCs w:val="22"/>
        </w:rPr>
        <w:t xml:space="preserve">Every API endpoint is documented in the OpenAPI spec with examples.</w:t>
      </w:r>
    </w:p>
    <w:p>
      <w:pPr>
        <w:pStyle w:val="ListParagraph"/>
        <w:numPr>
          <w:ilvl w:val="0"/>
          <w:numId w:val="2"/>
        </w:numPr>
        <w:spacing w:after="30" w:before="30"/>
      </w:pPr>
      <w:r>
        <w:rPr>
          <w:rFonts w:ascii="Arial" w:cs="Arial" w:eastAsia="Arial" w:hAnsi="Arial"/>
          <w:color w:val="1F1F1F"/>
          <w:sz w:val="22"/>
          <w:szCs w:val="22"/>
        </w:rPr>
        <w:t xml:space="preserve">Every database table has a description, owner, and retention policy.</w:t>
      </w:r>
    </w:p>
    <w:p>
      <w:pPr>
        <w:pStyle w:val="ListParagraph"/>
        <w:numPr>
          <w:ilvl w:val="0"/>
          <w:numId w:val="2"/>
        </w:numPr>
        <w:spacing w:after="30" w:before="30"/>
      </w:pPr>
      <w:r>
        <w:rPr>
          <w:rFonts w:ascii="Arial" w:cs="Arial" w:eastAsia="Arial" w:hAnsi="Arial"/>
          <w:color w:val="1F1F1F"/>
          <w:sz w:val="22"/>
          <w:szCs w:val="22"/>
        </w:rPr>
        <w:t xml:space="preserve">Architectural decision records (ADRs) for every significant choice.</w:t>
      </w:r>
    </w:p>
    <w:p>
      <w:pPr>
        <w:pStyle w:val="ListParagraph"/>
        <w:numPr>
          <w:ilvl w:val="0"/>
          <w:numId w:val="2"/>
        </w:numPr>
        <w:spacing w:after="30" w:before="30"/>
      </w:pPr>
      <w:r>
        <w:rPr>
          <w:rFonts w:ascii="Arial" w:cs="Arial" w:eastAsia="Arial" w:hAnsi="Arial"/>
          <w:color w:val="1F1F1F"/>
          <w:sz w:val="22"/>
          <w:szCs w:val="22"/>
        </w:rPr>
        <w:t xml:space="preserve">Onboarding doc allows a new engineer to make a meaningful PR within 5 business days.</w:t>
      </w:r>
    </w:p>
    <w:p>
      <w:pPr>
        <w:pBdr>
          <w:bottom w:val="single" w:color="1F1F1F" w:sz="6" w:space="4"/>
        </w:pBdr>
        <w:spacing w:after="200" w:before="80"/>
      </w:pPr>
      <w:r>
        <w:t xml:space="preserve"/>
      </w:r>
    </w:p>
    <w:p>
      <w:pPr>
        <w:spacing w:after="80" w:before="80"/>
        <w:jc w:val="left"/>
      </w:pPr>
      <w:r>
        <w:rPr>
          <w:rFonts w:ascii="Arial" w:cs="Arial" w:eastAsia="Arial" w:hAnsi="Arial"/>
          <w:b w:val="false"/>
          <w:bCs w:val="false"/>
          <w:i/>
          <w:iCs/>
          <w:color w:val="888888"/>
          <w:sz w:val="22"/>
          <w:szCs w:val="22"/>
        </w:rPr>
        <w:t xml:space="preserve">End of Architecture &amp; Security Specification. This document is companion to the Master Specification v3.0 and Data Dictionary v2.0. Read together, the three documents describe everything Pepper needs to build the multi-tenant, PHI-grade Claims Reclassification Engine.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888888"/>
        <w:sz w:val="16"/>
        <w:szCs w:val="16"/>
      </w:rPr>
      <w:t xml:space="preserve">Confidential · OffPlan Holdings · v1.0 · May 2026</w:t>
    </w:r>
    <w:r>
      <w:rPr>
        <w:rFonts w:ascii="Arial" w:cs="Arial" w:eastAsia="Arial" w:hAnsi="Arial"/>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1F1F1F"/>
        <w:sz w:val="18"/>
        <w:szCs w:val="18"/>
      </w:rPr>
      <w:t xml:space="preserve">OFFPLAN</w:t>
    </w:r>
    <w:r>
      <w:rPr>
        <w:sz w:val="18"/>
        <w:szCs w:val="18"/>
      </w:rPr>
      <w:t xml:space="preserve">    </w:t>
    </w:r>
    <w:r>
      <w:rPr>
        <w:rFonts w:ascii="Arial" w:cs="Arial" w:eastAsia="Arial" w:hAnsi="Arial"/>
        <w:color w:val="888888"/>
        <w:sz w:val="18"/>
        <w:szCs w:val="18"/>
      </w:rPr>
      <w:t xml:space="preserve">Claims Reclassification Engine · Architecture &amp; Security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1F1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 Reclassification Engine · Architecture &amp; Security Specification</dc:title>
  <dc:creator>OffPlan Holdings</dc:creator>
  <dc:description>OffPlan Claims Reclassification Engine · Architecture &amp; Security Specification</dc:description>
  <cp:lastModifiedBy>Un-named</cp:lastModifiedBy>
  <cp:revision>1</cp:revision>
  <dcterms:created xsi:type="dcterms:W3CDTF">2026-05-01T22:26:50.800Z</dcterms:created>
  <dcterms:modified xsi:type="dcterms:W3CDTF">2026-05-01T22:26:50.802Z</dcterms:modified>
</cp:coreProperties>
</file>

<file path=docProps/custom.xml><?xml version="1.0" encoding="utf-8"?>
<Properties xmlns="http://schemas.openxmlformats.org/officeDocument/2006/custom-properties" xmlns:vt="http://schemas.openxmlformats.org/officeDocument/2006/docPropsVTypes"/>
</file>