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60"/>
      </w:pPr>
      <w:r>
        <w:rPr>
          <w:rFonts w:ascii="Arial" w:cs="Arial" w:eastAsia="Arial" w:hAnsi="Arial"/>
          <w:color w:val="999999"/>
          <w:spacing w:val="20"/>
          <w:sz w:val="14"/>
          <w:szCs w:val="14"/>
        </w:rPr>
        <w:t xml:space="preserve">PART OF OFFPLAN CLAIMS RECLASSIFICATION ENGINE · BUILD PACKAGE v1.0</w:t>
      </w:r>
    </w:p>
    <w:p>
      <w:pPr>
        <w:spacing w:after="80" w:before="200"/>
      </w:pPr>
      <w:r>
        <w:rPr>
          <w:rFonts w:ascii="Arial" w:cs="Arial" w:eastAsia="Arial" w:hAnsi="Arial"/>
          <w:color w:val="888888"/>
          <w:sz w:val="18"/>
          <w:szCs w:val="18"/>
        </w:rPr>
        <w:t xml:space="preserve">CSV TEMPLATES PACKAGE · v2.1</w:t>
      </w:r>
    </w:p>
    <w:p>
      <w:pPr>
        <w:spacing w:after="80" w:before="0"/>
      </w:pPr>
      <w:r>
        <w:rPr>
          <w:rFonts w:ascii="Arial" w:cs="Arial" w:eastAsia="Arial" w:hAnsi="Arial"/>
          <w:b/>
          <w:bCs/>
          <w:color w:val="1F1F1F"/>
          <w:sz w:val="56"/>
          <w:szCs w:val="56"/>
        </w:rPr>
        <w:t xml:space="preserve">CSV Templates</w:t>
      </w:r>
    </w:p>
    <w:p>
      <w:pPr>
        <w:spacing w:after="100" w:before="0"/>
      </w:pPr>
      <w:r>
        <w:rPr>
          <w:rFonts w:ascii="Arial" w:cs="Arial" w:eastAsia="Arial" w:hAnsi="Arial"/>
          <w:i/>
          <w:iCs/>
          <w:color w:val="555555"/>
          <w:sz w:val="22"/>
          <w:szCs w:val="22"/>
        </w:rPr>
        <w:t xml:space="preserve">Three input templates corresponding to the three engine input modes. v2.1 adds chronic_flag and chronic_conditions to Template 1 and chronic_prevalence_pct to Template 2 to support the chronic correlation modeling specified in Liquidity Spec v1.2 §16.5. The CSV files themselves accompany this document.</w:t>
      </w:r>
    </w:p>
    <w:p>
      <w:pPr>
        <w:pBdr>
          <w:bottom w:val="single" w:color="1F1F1F" w:sz="6" w:space="4"/>
        </w:pBdr>
        <w:spacing w:after="200" w:before="80"/>
      </w:pPr>
      <w:r>
        <w:t xml:space="preserve"/>
      </w:r>
    </w:p>
    <w:p>
      <w:pPr>
        <w:pStyle w:val="Heading2"/>
        <w:spacing w:after="120" w:before="280"/>
      </w:pPr>
      <w:r>
        <w:rPr>
          <w:rFonts w:ascii="Arial" w:cs="Arial" w:eastAsia="Arial" w:hAnsi="Arial"/>
          <w:b/>
          <w:bCs/>
          <w:color w:val="1F1F1F"/>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62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Value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OffPlan Claims Reclassification Engine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Version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 Package v1.0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Build-ready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Document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CSV Templates Package</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Version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2.1</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Owner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Engineering team</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Audience</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Engineers building ingestion, brokers preparing employer files, operations onboarding clients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Companion Files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04a_template_1_full_claims_v21.csv, 04b_template_2_partial_summary_v21.csv, 04c_template_3_employer_profile.csv</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Companion Documents</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Master Specification v3.3, Liquidity &amp; Capital Modeling Spec v1.2, Data Dictionary v3.0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Date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May 2026</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Classification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Confidential · Internal Use Only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v2.0 → v2.1 changes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Added chronic_flag (bool) and chronic_conditions (string) to Template 1; added chronic_prevalence_pct to Template 2; added ICD-10 to chronic condition mapping table; v1 files remain backward-compatible.</w:t>
            </w:r>
          </w:p>
        </w:tc>
      </w:tr>
    </w:tbl>
    <w:p>
      <w:pPr>
        <w:pStyle w:val="Heading1"/>
        <w:spacing w:after="160" w:before="360"/>
      </w:pPr>
      <w:r>
        <w:rPr>
          <w:rFonts w:ascii="Arial" w:cs="Arial" w:eastAsia="Arial" w:hAnsi="Arial"/>
          <w:b/>
          <w:bCs/>
          <w:color w:val="1F1F1F"/>
          <w:sz w:val="36"/>
          <w:szCs w:val="36"/>
        </w:rPr>
        <w:t xml:space="preserve">1. Overview</w:t>
      </w:r>
    </w:p>
    <w:p>
      <w:pPr>
        <w:spacing w:after="80" w:before="80"/>
        <w:jc w:val="left"/>
      </w:pPr>
      <w:r>
        <w:rPr>
          <w:rFonts w:ascii="Arial" w:cs="Arial" w:eastAsia="Arial" w:hAnsi="Arial"/>
          <w:b w:val="false"/>
          <w:bCs w:val="false"/>
          <w:i w:val="false"/>
          <w:iCs w:val="false"/>
          <w:color w:val="1F1F1F"/>
          <w:sz w:val="22"/>
          <w:szCs w:val="22"/>
        </w:rPr>
        <w:t xml:space="preserve">The Claims Reclassification Engine accepts three CSV templates, each corresponding to a different engine input mode. The template chosen determines the default confidence level of every output produced from that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840"/>
        <w:gridCol w:w="1880"/>
        <w:gridCol w:w="300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Template</w:t>
            </w:r>
          </w:p>
        </w:tc>
        <w:tc>
          <w:tcPr>
            <w:tcW w:type="dxa" w:w="18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Mode</w:t>
            </w:r>
          </w:p>
        </w:tc>
        <w:tc>
          <w:tcPr>
            <w:tcW w:type="dxa" w:w="18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Default Confidence</w:t>
            </w:r>
          </w:p>
        </w:tc>
        <w:tc>
          <w:tcPr>
            <w:tcW w:type="dxa" w:w="30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Use Case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Template 1 · Full Claims</w:t>
            </w:r>
          </w:p>
        </w:tc>
        <w:tc>
          <w:tcPr>
            <w:tcW w:type="dxa" w:w="18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Mode 1 · Full</w:t>
            </w:r>
          </w:p>
        </w:tc>
        <w:tc>
          <w:tcPr>
            <w:tcW w:type="dxa" w:w="18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High</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Self-funded employer with TPA-extracted claims data</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Template 2 · Partial Summary</w:t>
            </w:r>
          </w:p>
        </w:tc>
        <w:tc>
          <w:tcPr>
            <w:tcW w:type="dxa" w:w="18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Mode 2 · Partial</w:t>
            </w:r>
          </w:p>
        </w:tc>
        <w:tc>
          <w:tcPr>
            <w:tcW w:type="dxa" w:w="18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Medium</w:t>
            </w:r>
          </w:p>
        </w:tc>
        <w:tc>
          <w:tcPr>
            <w:tcW w:type="dxa" w:w="3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Level-funded with broker, carrier, or PBM summaries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Template 3 · Employer Profile</w:t>
            </w:r>
          </w:p>
        </w:tc>
        <w:tc>
          <w:tcPr>
            <w:tcW w:type="dxa" w:w="18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Mode 3 · Modeled</w:t>
            </w:r>
          </w:p>
        </w:tc>
        <w:tc>
          <w:tcPr>
            <w:tcW w:type="dxa" w:w="18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Low</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Fully insured prospect; no claims data available</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Mixed input is permitted. An employer may submit Template 1 for medical claims and Template 2 for pharmacy data. Each row carries its own input_mode flag through the pipeline.</w:t>
      </w:r>
    </w:p>
    <w:p>
      <w:pPr>
        <w:pStyle w:val="Heading2"/>
        <w:spacing w:after="120" w:before="280"/>
      </w:pPr>
      <w:r>
        <w:rPr>
          <w:rFonts w:ascii="Arial" w:cs="Arial" w:eastAsia="Arial" w:hAnsi="Arial"/>
          <w:b/>
          <w:bCs/>
          <w:color w:val="1F1F1F"/>
          <w:sz w:val="28"/>
          <w:szCs w:val="28"/>
        </w:rPr>
        <w:t xml:space="preserve">2. File Format Requirements (All Templates)</w:t>
      </w:r>
    </w:p>
    <w:p>
      <w:pPr>
        <w:pStyle w:val="ListParagraph"/>
        <w:numPr>
          <w:ilvl w:val="0"/>
          <w:numId w:val="2"/>
        </w:numPr>
        <w:spacing w:after="30" w:before="30"/>
      </w:pPr>
      <w:r>
        <w:rPr>
          <w:rFonts w:ascii="Arial" w:cs="Arial" w:eastAsia="Arial" w:hAnsi="Arial"/>
          <w:color w:val="1F1F1F"/>
          <w:sz w:val="22"/>
          <w:szCs w:val="22"/>
        </w:rPr>
        <w:t xml:space="preserve">Encoding: UTF-8.</w:t>
      </w:r>
    </w:p>
    <w:p>
      <w:pPr>
        <w:pStyle w:val="ListParagraph"/>
        <w:numPr>
          <w:ilvl w:val="0"/>
          <w:numId w:val="2"/>
        </w:numPr>
        <w:spacing w:after="30" w:before="30"/>
      </w:pPr>
      <w:r>
        <w:rPr>
          <w:rFonts w:ascii="Arial" w:cs="Arial" w:eastAsia="Arial" w:hAnsi="Arial"/>
          <w:color w:val="1F1F1F"/>
          <w:sz w:val="22"/>
          <w:szCs w:val="22"/>
        </w:rPr>
        <w:t xml:space="preserve">Line endings: LF or CRLF (parser handles both).</w:t>
      </w:r>
    </w:p>
    <w:p>
      <w:pPr>
        <w:pStyle w:val="ListParagraph"/>
        <w:numPr>
          <w:ilvl w:val="0"/>
          <w:numId w:val="2"/>
        </w:numPr>
        <w:spacing w:after="30" w:before="30"/>
      </w:pPr>
      <w:r>
        <w:rPr>
          <w:rFonts w:ascii="Arial" w:cs="Arial" w:eastAsia="Arial" w:hAnsi="Arial"/>
          <w:color w:val="1F1F1F"/>
          <w:sz w:val="22"/>
          <w:szCs w:val="22"/>
        </w:rPr>
        <w:t xml:space="preserve">Header row required. Header names are case-insensitive and whitespace is trimmed.</w:t>
      </w:r>
    </w:p>
    <w:p>
      <w:pPr>
        <w:pStyle w:val="ListParagraph"/>
        <w:numPr>
          <w:ilvl w:val="0"/>
          <w:numId w:val="2"/>
        </w:numPr>
        <w:spacing w:after="30" w:before="30"/>
      </w:pPr>
      <w:r>
        <w:rPr>
          <w:rFonts w:ascii="Arial" w:cs="Arial" w:eastAsia="Arial" w:hAnsi="Arial"/>
          <w:color w:val="1F1F1F"/>
          <w:sz w:val="22"/>
          <w:szCs w:val="22"/>
        </w:rPr>
        <w:t xml:space="preserve">Field separator: comma.</w:t>
      </w:r>
    </w:p>
    <w:p>
      <w:pPr>
        <w:pStyle w:val="ListParagraph"/>
        <w:numPr>
          <w:ilvl w:val="0"/>
          <w:numId w:val="2"/>
        </w:numPr>
        <w:spacing w:after="30" w:before="30"/>
      </w:pPr>
      <w:r>
        <w:rPr>
          <w:rFonts w:ascii="Arial" w:cs="Arial" w:eastAsia="Arial" w:hAnsi="Arial"/>
          <w:color w:val="1F1F1F"/>
          <w:sz w:val="22"/>
          <w:szCs w:val="22"/>
        </w:rPr>
        <w:t xml:space="preserve">Quoted fields supported for values containing commas. Use double quotes.</w:t>
      </w:r>
    </w:p>
    <w:p>
      <w:pPr>
        <w:pStyle w:val="ListParagraph"/>
        <w:numPr>
          <w:ilvl w:val="0"/>
          <w:numId w:val="2"/>
        </w:numPr>
        <w:spacing w:after="30" w:before="30"/>
      </w:pPr>
      <w:r>
        <w:rPr>
          <w:rFonts w:ascii="Arial" w:cs="Arial" w:eastAsia="Arial" w:hAnsi="Arial"/>
          <w:color w:val="1F1F1F"/>
          <w:sz w:val="22"/>
          <w:szCs w:val="22"/>
        </w:rPr>
        <w:t xml:space="preserve">Maximum file size: 100,000 rows or 100 MB, whichever comes first.</w:t>
      </w:r>
    </w:p>
    <w:p>
      <w:pPr>
        <w:pStyle w:val="ListParagraph"/>
        <w:numPr>
          <w:ilvl w:val="0"/>
          <w:numId w:val="2"/>
        </w:numPr>
        <w:spacing w:after="30" w:before="30"/>
      </w:pPr>
      <w:r>
        <w:rPr>
          <w:rFonts w:ascii="Arial" w:cs="Arial" w:eastAsia="Arial" w:hAnsi="Arial"/>
          <w:color w:val="1F1F1F"/>
          <w:sz w:val="22"/>
          <w:szCs w:val="22"/>
        </w:rPr>
        <w:t xml:space="preserve">Date format: ISO 8601 (YYYY-MM-DD). Other common formats are accepted but normalized on import.</w:t>
      </w:r>
    </w:p>
    <w:p>
      <w:pPr>
        <w:pStyle w:val="ListParagraph"/>
        <w:numPr>
          <w:ilvl w:val="0"/>
          <w:numId w:val="2"/>
        </w:numPr>
        <w:spacing w:after="30" w:before="30"/>
      </w:pPr>
      <w:r>
        <w:rPr>
          <w:rFonts w:ascii="Arial" w:cs="Arial" w:eastAsia="Arial" w:hAnsi="Arial"/>
          <w:color w:val="1F1F1F"/>
          <w:sz w:val="22"/>
          <w:szCs w:val="22"/>
        </w:rPr>
        <w:t xml:space="preserve">Decimal separator: period. Currency values do not include $, commas, or thousand separators.</w:t>
      </w:r>
    </w:p>
    <w:p>
      <w:pPr>
        <w:pStyle w:val="Heading1"/>
        <w:spacing w:after="160" w:before="360"/>
      </w:pPr>
      <w:r>
        <w:rPr>
          <w:rFonts w:ascii="Arial" w:cs="Arial" w:eastAsia="Arial" w:hAnsi="Arial"/>
          <w:b/>
          <w:bCs/>
          <w:color w:val="1F1F1F"/>
          <w:sz w:val="36"/>
          <w:szCs w:val="36"/>
        </w:rPr>
        <w:t xml:space="preserve">3. Template 1 · Full Claims (Mode 1)</w:t>
      </w:r>
    </w:p>
    <w:p>
      <w:pPr>
        <w:spacing w:after="80" w:before="80"/>
        <w:jc w:val="left"/>
      </w:pPr>
      <w:r>
        <w:rPr>
          <w:rFonts w:ascii="Arial" w:cs="Arial" w:eastAsia="Arial" w:hAnsi="Arial"/>
          <w:b w:val="false"/>
          <w:bCs w:val="false"/>
          <w:i w:val="false"/>
          <w:iCs w:val="false"/>
          <w:color w:val="1F1F1F"/>
          <w:sz w:val="22"/>
          <w:szCs w:val="22"/>
        </w:rPr>
        <w:t xml:space="preserve">One row per claim line. This is the most precise input and produces high-confidence output suitable for underwriting conversations.</w:t>
      </w:r>
    </w:p>
    <w:p>
      <w:pPr>
        <w:pStyle w:val="Heading3"/>
        <w:spacing w:after="80" w:before="200"/>
      </w:pPr>
      <w:r>
        <w:rPr>
          <w:rFonts w:ascii="Arial" w:cs="Arial" w:eastAsia="Arial" w:hAnsi="Arial"/>
          <w:b/>
          <w:bCs/>
          <w:color w:val="1F1F1F"/>
          <w:sz w:val="24"/>
          <w:szCs w:val="24"/>
        </w:rPr>
        <w:t xml:space="preserve">3.1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5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claim_id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Unique within the file. Used for deduplication and audit traceability.</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employer_id</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Foreign key to employers table.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member_id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De-identified member key. Stable across the file.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service_date</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date</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ISO 8601 (YYYY-MM-DD).</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place_of_service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CMS Place of Service code or label. Drives bucket assignment for non-CPT-mapped claims.</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allowed_amount</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decimal</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Allowed dollars. Primary input to all engine math.</w:t>
            </w:r>
          </w:p>
        </w:tc>
      </w:tr>
    </w:tbl>
    <w:p>
      <w:pPr>
        <w:pStyle w:val="Heading3"/>
        <w:spacing w:after="80" w:before="200"/>
      </w:pPr>
      <w:r>
        <w:rPr>
          <w:rFonts w:ascii="Arial" w:cs="Arial" w:eastAsia="Arial" w:hAnsi="Arial"/>
          <w:b/>
          <w:bCs/>
          <w:color w:val="1F1F1F"/>
          <w:sz w:val="24"/>
          <w:szCs w:val="24"/>
        </w:rPr>
        <w:t xml:space="preserve">3.2 Recommended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5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employee_id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Subscriber identifier. Drives member-level stop-loss aggregation.</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member_relationship</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enum</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employee | spouse | child | dependent</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member_age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Age at service date.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member_gender</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enum</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 | F | U</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chronic_flag</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boolean</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 in v2.1. Authoritative flag if available from source system. See Section 3.6.</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chronic_conditions</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 in v2.1. Comma-separated condition codes from canonical list. See Section 3.6.</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paid_date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date</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Used for paid-basis reporting.</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claim_type</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enum</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medical | rx | dental | vision | other</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provider_specialty</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Used for primary-care detection in CPT 99201–99215 range.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facility_type</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Inpatient | Outpatient | Hospital | etc.</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cpt_code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CPT or HCPCS. Required for procedure-level repricing.</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icd10_primary</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Primary diagnosis. Used for chronic flag derivation when explicit flags are absent.</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paid_amount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decimal</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Plan-paid portion.</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member_oop_amount</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decimal</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Member out-of-pocket.</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state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Two-letter state code.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provider_zip3</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First three digits of provider ZIP.</w:t>
            </w:r>
          </w:p>
        </w:tc>
      </w:tr>
    </w:tbl>
    <w:p>
      <w:pPr>
        <w:pStyle w:val="Heading3"/>
        <w:spacing w:after="80" w:before="200"/>
      </w:pPr>
      <w:r>
        <w:rPr>
          <w:rFonts w:ascii="Arial" w:cs="Arial" w:eastAsia="Arial" w:hAnsi="Arial"/>
          <w:b/>
          <w:bCs/>
          <w:color w:val="1F1F1F"/>
          <w:sz w:val="24"/>
          <w:szCs w:val="24"/>
        </w:rPr>
        <w:t xml:space="preserve">3.3 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5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hcpcs_code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Alternate to cpt_code for HCPCS-only services.</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icd10_secondary</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Secondary diagnoses, comma-separated.</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revenue_code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Facility revenue code.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drg_code</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DRG. Used for inpatient cost benchmarking.</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units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Service units.</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provider_npi</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National Provider Identifier.</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notes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Free text. Source citation, caveats, etc.</w:t>
            </w:r>
          </w:p>
        </w:tc>
      </w:tr>
    </w:tbl>
    <w:p>
      <w:pPr>
        <w:pStyle w:val="Heading3"/>
        <w:spacing w:after="80" w:before="200"/>
      </w:pPr>
      <w:r>
        <w:rPr>
          <w:rFonts w:ascii="Arial" w:cs="Arial" w:eastAsia="Arial" w:hAnsi="Arial"/>
          <w:b/>
          <w:bCs/>
          <w:color w:val="1F1F1F"/>
          <w:sz w:val="24"/>
          <w:szCs w:val="24"/>
        </w:rPr>
        <w:t xml:space="preserve">3.4 Validation Rules</w:t>
      </w:r>
    </w:p>
    <w:p>
      <w:pPr>
        <w:pStyle w:val="ListParagraph"/>
        <w:numPr>
          <w:ilvl w:val="0"/>
          <w:numId w:val="3"/>
        </w:numPr>
        <w:spacing w:after="30" w:before="30"/>
      </w:pPr>
      <w:r>
        <w:rPr>
          <w:rFonts w:ascii="Arial" w:cs="Arial" w:eastAsia="Arial" w:hAnsi="Arial"/>
          <w:color w:val="1F1F1F"/>
          <w:sz w:val="22"/>
          <w:szCs w:val="22"/>
        </w:rPr>
        <w:t xml:space="preserve">claim_id is required and unique within the file.</w:t>
      </w:r>
    </w:p>
    <w:p>
      <w:pPr>
        <w:pStyle w:val="ListParagraph"/>
        <w:numPr>
          <w:ilvl w:val="0"/>
          <w:numId w:val="3"/>
        </w:numPr>
        <w:spacing w:after="30" w:before="30"/>
      </w:pPr>
      <w:r>
        <w:rPr>
          <w:rFonts w:ascii="Arial" w:cs="Arial" w:eastAsia="Arial" w:hAnsi="Arial"/>
          <w:color w:val="1F1F1F"/>
          <w:sz w:val="22"/>
          <w:szCs w:val="22"/>
        </w:rPr>
        <w:t xml:space="preserve">member_id is required.</w:t>
      </w:r>
    </w:p>
    <w:p>
      <w:pPr>
        <w:pStyle w:val="ListParagraph"/>
        <w:numPr>
          <w:ilvl w:val="0"/>
          <w:numId w:val="3"/>
        </w:numPr>
        <w:spacing w:after="30" w:before="30"/>
      </w:pPr>
      <w:r>
        <w:rPr>
          <w:rFonts w:ascii="Arial" w:cs="Arial" w:eastAsia="Arial" w:hAnsi="Arial"/>
          <w:color w:val="1F1F1F"/>
          <w:sz w:val="22"/>
          <w:szCs w:val="22"/>
        </w:rPr>
        <w:t xml:space="preserve">service_date is required and must be a valid date.</w:t>
      </w:r>
    </w:p>
    <w:p>
      <w:pPr>
        <w:pStyle w:val="ListParagraph"/>
        <w:numPr>
          <w:ilvl w:val="0"/>
          <w:numId w:val="3"/>
        </w:numPr>
        <w:spacing w:after="30" w:before="30"/>
      </w:pPr>
      <w:r>
        <w:rPr>
          <w:rFonts w:ascii="Arial" w:cs="Arial" w:eastAsia="Arial" w:hAnsi="Arial"/>
          <w:color w:val="1F1F1F"/>
          <w:sz w:val="22"/>
          <w:szCs w:val="22"/>
        </w:rPr>
        <w:t xml:space="preserve">allowed_amount is required, numeric, and non-negative.</w:t>
      </w:r>
    </w:p>
    <w:p>
      <w:pPr>
        <w:pStyle w:val="ListParagraph"/>
        <w:numPr>
          <w:ilvl w:val="0"/>
          <w:numId w:val="3"/>
        </w:numPr>
        <w:spacing w:after="30" w:before="30"/>
      </w:pPr>
      <w:r>
        <w:rPr>
          <w:rFonts w:ascii="Arial" w:cs="Arial" w:eastAsia="Arial" w:hAnsi="Arial"/>
          <w:color w:val="1F1F1F"/>
          <w:sz w:val="22"/>
          <w:szCs w:val="22"/>
        </w:rPr>
        <w:t xml:space="preserve">place_of_service is required.</w:t>
      </w:r>
    </w:p>
    <w:p>
      <w:pPr>
        <w:pStyle w:val="ListParagraph"/>
        <w:numPr>
          <w:ilvl w:val="0"/>
          <w:numId w:val="3"/>
        </w:numPr>
        <w:spacing w:after="30" w:before="30"/>
      </w:pPr>
      <w:r>
        <w:rPr>
          <w:rFonts w:ascii="Arial" w:cs="Arial" w:eastAsia="Arial" w:hAnsi="Arial"/>
          <w:color w:val="1F1F1F"/>
          <w:sz w:val="22"/>
          <w:szCs w:val="22"/>
        </w:rPr>
        <w:t xml:space="preserve">cpt_code is required UNLESS claim_type is 'inpatient' or drg_code is present.</w:t>
      </w:r>
    </w:p>
    <w:p>
      <w:pPr>
        <w:pStyle w:val="ListParagraph"/>
        <w:numPr>
          <w:ilvl w:val="0"/>
          <w:numId w:val="3"/>
        </w:numPr>
        <w:spacing w:after="30" w:before="30"/>
      </w:pPr>
      <w:r>
        <w:rPr>
          <w:rFonts w:ascii="Arial" w:cs="Arial" w:eastAsia="Arial" w:hAnsi="Arial"/>
          <w:color w:val="1F1F1F"/>
          <w:sz w:val="22"/>
          <w:szCs w:val="22"/>
        </w:rPr>
        <w:t xml:space="preserve">chronic_flag (when present) must be 'true', 'false', '1', '0', or empty.</w:t>
      </w:r>
    </w:p>
    <w:p>
      <w:pPr>
        <w:pStyle w:val="ListParagraph"/>
        <w:numPr>
          <w:ilvl w:val="0"/>
          <w:numId w:val="3"/>
        </w:numPr>
        <w:spacing w:after="30" w:before="30"/>
      </w:pPr>
      <w:r>
        <w:rPr>
          <w:rFonts w:ascii="Arial" w:cs="Arial" w:eastAsia="Arial" w:hAnsi="Arial"/>
          <w:color w:val="1F1F1F"/>
          <w:sz w:val="22"/>
          <w:szCs w:val="22"/>
        </w:rPr>
        <w:t xml:space="preserve">chronic_conditions (when present) must contain only canonical condition codes from the locked list: diabetes, chf, copd, ckd, oncology. Multiple conditions are comma-separated.</w:t>
      </w:r>
    </w:p>
    <w:p>
      <w:pPr>
        <w:pStyle w:val="ListParagraph"/>
        <w:numPr>
          <w:ilvl w:val="0"/>
          <w:numId w:val="3"/>
        </w:numPr>
        <w:spacing w:after="30" w:before="30"/>
      </w:pPr>
      <w:r>
        <w:rPr>
          <w:rFonts w:ascii="Arial" w:cs="Arial" w:eastAsia="Arial" w:hAnsi="Arial"/>
          <w:color w:val="1F1F1F"/>
          <w:sz w:val="22"/>
          <w:szCs w:val="22"/>
        </w:rPr>
        <w:t xml:space="preserve">Rows that fail validation are reported with row number and reason. Valid rows still ingest.</w:t>
      </w:r>
    </w:p>
    <w:p>
      <w:pPr>
        <w:pStyle w:val="Heading3"/>
        <w:spacing w:after="80" w:before="200"/>
      </w:pPr>
      <w:r>
        <w:rPr>
          <w:rFonts w:ascii="Arial" w:cs="Arial" w:eastAsia="Arial" w:hAnsi="Arial"/>
          <w:b/>
          <w:bCs/>
          <w:color w:val="1F1F1F"/>
          <w:sz w:val="24"/>
          <w:szCs w:val="24"/>
        </w:rPr>
        <w:t xml:space="preserve">3.5 Example Rows</w:t>
      </w:r>
    </w:p>
    <w:p>
      <w:pPr>
        <w:spacing w:after="80" w:before="80"/>
        <w:jc w:val="left"/>
      </w:pPr>
      <w:r>
        <w:rPr>
          <w:rFonts w:ascii="Arial" w:cs="Arial" w:eastAsia="Arial" w:hAnsi="Arial"/>
          <w:b w:val="false"/>
          <w:bCs w:val="false"/>
          <w:i w:val="false"/>
          <w:iCs w:val="false"/>
          <w:color w:val="1F1F1F"/>
          <w:sz w:val="22"/>
          <w:szCs w:val="22"/>
        </w:rPr>
        <w:t xml:space="preserve">Three example rows showing the chronic flag resolution paths: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 Member with no chronic condition (chronic_flag = false):</w:t>
            </w:r>
          </w:p>
          <w:p>
            <w:pPr>
              <w:spacing w:after="0" w:before="0" w:line="240"/>
            </w:pPr>
            <w:r>
              <w:rPr>
                <w:rFonts w:ascii="Consolas" w:cs="Consolas" w:eastAsia="Consolas" w:hAnsi="Consolas"/>
                <w:b w:val="false"/>
                <w:bCs w:val="false"/>
                <w:i w:val="false"/>
                <w:iCs w:val="false"/>
                <w:color w:val="1F1F1F"/>
                <w:sz w:val="14"/>
                <w:szCs w:val="14"/>
              </w:rPr>
              <w:t xml:space="preserve">CLM00001,ABC123,M00045,E00012,employee,42,M,false,,2025-03-14,...,99213,,Z00.00,...</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 Member with explicit chronic flag and conditions (Path 1+2):</w:t>
            </w:r>
          </w:p>
          <w:p>
            <w:pPr>
              <w:spacing w:after="0" w:before="0" w:line="240"/>
            </w:pPr>
            <w:r>
              <w:rPr>
                <w:rFonts w:ascii="Consolas" w:cs="Consolas" w:eastAsia="Consolas" w:hAnsi="Consolas"/>
                <w:b w:val="false"/>
                <w:bCs w:val="false"/>
                <w:i w:val="false"/>
                <w:iCs w:val="false"/>
                <w:color w:val="1F1F1F"/>
                <w:sz w:val="14"/>
                <w:szCs w:val="14"/>
              </w:rPr>
              <w:t xml:space="preserve">CLM00004,ABC123,M00091,E00057,employee,58,F,true,"diabetes,ckd",2025-02-15,...,99214,,E11.65,N18.3,...</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 Member with chronic status derivable from ICD-10 only (Path 3 — derivation):</w:t>
            </w:r>
          </w:p>
          <w:p>
            <w:pPr>
              <w:spacing w:after="0" w:before="0" w:line="240"/>
            </w:pPr>
            <w:r>
              <w:rPr>
                <w:rFonts w:ascii="Consolas" w:cs="Consolas" w:eastAsia="Consolas" w:hAnsi="Consolas"/>
                <w:b w:val="false"/>
                <w:bCs w:val="false"/>
                <w:i w:val="false"/>
                <w:iCs w:val="false"/>
                <w:color w:val="1F1F1F"/>
                <w:sz w:val="14"/>
                <w:szCs w:val="14"/>
              </w:rPr>
              <w:t xml:space="preserve">// chronic_flag and chronic_conditions are both blank.</w:t>
            </w:r>
          </w:p>
          <w:p>
            <w:pPr>
              <w:spacing w:after="0" w:before="0" w:line="240"/>
            </w:pPr>
            <w:r>
              <w:rPr>
                <w:rFonts w:ascii="Consolas" w:cs="Consolas" w:eastAsia="Consolas" w:hAnsi="Consolas"/>
                <w:b w:val="false"/>
                <w:bCs w:val="false"/>
                <w:i w:val="false"/>
                <w:iCs w:val="false"/>
                <w:color w:val="1F1F1F"/>
                <w:sz w:val="14"/>
                <w:szCs w:val="14"/>
              </w:rPr>
              <w:t xml:space="preserve">// Engine resolves to chronic = true via E11.65 → diabetes.</w:t>
            </w:r>
          </w:p>
          <w:p>
            <w:pPr>
              <w:spacing w:after="0" w:before="0" w:line="240"/>
            </w:pPr>
            <w:r>
              <w:rPr>
                <w:rFonts w:ascii="Consolas" w:cs="Consolas" w:eastAsia="Consolas" w:hAnsi="Consolas"/>
                <w:b w:val="false"/>
                <w:bCs w:val="false"/>
                <w:i w:val="false"/>
                <w:iCs w:val="false"/>
                <w:color w:val="1F1F1F"/>
                <w:sz w:val="14"/>
                <w:szCs w:val="14"/>
              </w:rPr>
              <w:t xml:space="preserve">CLM00099,ABC123,M00200,E00150,employee,55,M,,,2025-04-10,...,99213,,E11.65,,...</w:t>
            </w:r>
          </w:p>
        </w:tc>
      </w:tr>
    </w:tbl>
    <w:p>
      <w:pPr>
        <w:pStyle w:val="Heading3"/>
        <w:spacing w:after="80" w:before="200"/>
      </w:pPr>
      <w:r>
        <w:rPr>
          <w:rFonts w:ascii="Arial" w:cs="Arial" w:eastAsia="Arial" w:hAnsi="Arial"/>
          <w:b/>
          <w:bCs/>
          <w:color w:val="1F1F1F"/>
          <w:sz w:val="24"/>
          <w:szCs w:val="24"/>
        </w:rPr>
        <w:t xml:space="preserve">3.6 Chronic Flag Resolution (NEW in v2.1)</w:t>
      </w:r>
    </w:p>
    <w:p>
      <w:pPr>
        <w:spacing w:after="80" w:before="80"/>
        <w:jc w:val="left"/>
      </w:pPr>
      <w:r>
        <w:rPr>
          <w:rFonts w:ascii="Arial" w:cs="Arial" w:eastAsia="Arial" w:hAnsi="Arial"/>
          <w:b/>
          <w:bCs/>
          <w:i w:val="false"/>
          <w:iCs w:val="false"/>
          <w:color w:val="1F1F1F"/>
          <w:sz w:val="22"/>
          <w:szCs w:val="22"/>
        </w:rPr>
        <w:t xml:space="preserve">The engine supports three paths for chronic flag resolution. The chosen path depends on what the source system provides. Resolution priority is enforced per claim, then rolled up to per member.</w:t>
      </w:r>
    </w:p>
    <w:p>
      <w:pPr>
        <w:spacing w:after="80" w:before="80"/>
      </w:pPr>
      <w:r>
        <w:t xml:space="preserve"/>
      </w:r>
    </w:p>
    <w:p>
      <w:pPr>
        <w:spacing w:after="60" w:before="160"/>
      </w:pPr>
      <w:r>
        <w:rPr>
          <w:rFonts w:ascii="Arial" w:cs="Arial" w:eastAsia="Arial" w:hAnsi="Arial"/>
          <w:b/>
          <w:bCs/>
          <w:color w:val="1F1F1F"/>
          <w:sz w:val="22"/>
          <w:szCs w:val="22"/>
        </w:rPr>
        <w:t xml:space="preserve">Resolution Priority (per claim)</w:t>
      </w:r>
    </w:p>
    <w:p>
      <w:pPr>
        <w:pStyle w:val="ListParagraph"/>
        <w:numPr>
          <w:ilvl w:val="0"/>
          <w:numId w:val="3"/>
        </w:numPr>
        <w:spacing w:after="30" w:before="30"/>
      </w:pPr>
      <w:r>
        <w:rPr>
          <w:rFonts w:ascii="Arial" w:cs="Arial" w:eastAsia="Arial" w:hAnsi="Arial"/>
          <w:color w:val="1F1F1F"/>
          <w:sz w:val="22"/>
          <w:szCs w:val="22"/>
        </w:rPr>
        <w:t xml:space="preserve">If chronic_flag is non-null, use it as authoritative.</w:t>
      </w:r>
    </w:p>
    <w:p>
      <w:pPr>
        <w:pStyle w:val="ListParagraph"/>
        <w:numPr>
          <w:ilvl w:val="0"/>
          <w:numId w:val="3"/>
        </w:numPr>
        <w:spacing w:after="30" w:before="30"/>
      </w:pPr>
      <w:r>
        <w:rPr>
          <w:rFonts w:ascii="Arial" w:cs="Arial" w:eastAsia="Arial" w:hAnsi="Arial"/>
          <w:color w:val="1F1F1F"/>
          <w:sz w:val="22"/>
          <w:szCs w:val="22"/>
        </w:rPr>
        <w:t xml:space="preserve">Else if chronic_conditions is non-empty, derive chronic_flag = true and store conditions.</w:t>
      </w:r>
    </w:p>
    <w:p>
      <w:pPr>
        <w:pStyle w:val="ListParagraph"/>
        <w:numPr>
          <w:ilvl w:val="0"/>
          <w:numId w:val="3"/>
        </w:numPr>
        <w:spacing w:after="30" w:before="30"/>
      </w:pPr>
      <w:r>
        <w:rPr>
          <w:rFonts w:ascii="Arial" w:cs="Arial" w:eastAsia="Arial" w:hAnsi="Arial"/>
          <w:color w:val="1F1F1F"/>
          <w:sz w:val="22"/>
          <w:szCs w:val="22"/>
        </w:rPr>
        <w:t xml:space="preserve">Else apply ICD-10 mapping (Section 3.6.2).</w:t>
      </w:r>
    </w:p>
    <w:p>
      <w:pPr>
        <w:pStyle w:val="ListParagraph"/>
        <w:numPr>
          <w:ilvl w:val="0"/>
          <w:numId w:val="3"/>
        </w:numPr>
        <w:spacing w:after="30" w:before="30"/>
      </w:pPr>
      <w:r>
        <w:rPr>
          <w:rFonts w:ascii="Arial" w:cs="Arial" w:eastAsia="Arial" w:hAnsi="Arial"/>
          <w:color w:val="1F1F1F"/>
          <w:sz w:val="22"/>
          <w:szCs w:val="22"/>
        </w:rPr>
        <w:t xml:space="preserve">Else chronic_flag = false.</w:t>
      </w:r>
    </w:p>
    <w:p>
      <w:pPr>
        <w:spacing w:after="60" w:before="160"/>
      </w:pPr>
      <w:r>
        <w:rPr>
          <w:rFonts w:ascii="Arial" w:cs="Arial" w:eastAsia="Arial" w:hAnsi="Arial"/>
          <w:b/>
          <w:bCs/>
          <w:color w:val="1F1F1F"/>
          <w:sz w:val="22"/>
          <w:szCs w:val="22"/>
        </w:rPr>
        <w:t xml:space="preserve">Member-Level Rollup</w:t>
      </w:r>
    </w:p>
    <w:p>
      <w:pPr>
        <w:spacing w:after="80" w:before="80"/>
        <w:jc w:val="left"/>
      </w:pPr>
      <w:r>
        <w:rPr>
          <w:rFonts w:ascii="Arial" w:cs="Arial" w:eastAsia="Arial" w:hAnsi="Arial"/>
          <w:b w:val="false"/>
          <w:bCs w:val="false"/>
          <w:i/>
          <w:iCs/>
          <w:color w:val="1F1F1F"/>
          <w:sz w:val="22"/>
          <w:szCs w:val="22"/>
        </w:rPr>
        <w:t xml:space="preserve">A member is chronic-flagged at the member level if any claim for that member resolves to chronic = true under the rules above. The conditions list is unioned across the member's claims.</w:t>
      </w:r>
    </w:p>
    <w:p>
      <w:pPr>
        <w:spacing w:after="60" w:before="160"/>
      </w:pPr>
      <w:r>
        <w:rPr>
          <w:rFonts w:ascii="Arial" w:cs="Arial" w:eastAsia="Arial" w:hAnsi="Arial"/>
          <w:b/>
          <w:bCs/>
          <w:color w:val="1F1F1F"/>
          <w:sz w:val="22"/>
          <w:szCs w:val="22"/>
        </w:rPr>
        <w:t xml:space="preserve">3.6.2 ICD-10 to Chronic Condition Mapping</w:t>
      </w:r>
    </w:p>
    <w:p>
      <w:pPr>
        <w:spacing w:after="80" w:before="80"/>
        <w:jc w:val="left"/>
      </w:pPr>
      <w:r>
        <w:rPr>
          <w:rFonts w:ascii="Arial" w:cs="Arial" w:eastAsia="Arial" w:hAnsi="Arial"/>
          <w:b w:val="false"/>
          <w:bCs w:val="false"/>
          <w:i w:val="false"/>
          <w:iCs w:val="false"/>
          <w:color w:val="1F1F1F"/>
          <w:sz w:val="22"/>
          <w:szCs w:val="22"/>
        </w:rPr>
        <w:t xml:space="preserve">This is the locked mapping per Liquidity Spec v1.2 §16.5.3. The engine uses left-to-right longest-prefix matching against the configured ranges. Mapping is version-controlled per the standard versioning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400"/>
        <w:gridCol w:w="4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ICD-10 Code Range</w:t>
            </w:r>
          </w:p>
        </w:tc>
        <w:tc>
          <w:tcPr>
            <w:tcW w:type="dxa" w:w="2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Resolves to chronic_conditions value</w:t>
            </w:r>
          </w:p>
        </w:tc>
        <w:tc>
          <w:tcPr>
            <w:tcW w:type="dxa" w:w="4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Notes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E10 – E13</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diabetes</w:t>
            </w:r>
          </w:p>
        </w:tc>
        <w:tc>
          <w:tcPr>
            <w:tcW w:type="dxa" w:w="4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Includes type 1 (E10), type 2 (E11), other (E13)</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I50.0 – I50.9</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chf</w:t>
            </w:r>
          </w:p>
        </w:tc>
        <w:tc>
          <w:tcPr>
            <w:tcW w:type="dxa" w:w="4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Heart failure, all classifications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J44.0 – J44.9</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copd</w:t>
            </w:r>
          </w:p>
        </w:tc>
        <w:tc>
          <w:tcPr>
            <w:tcW w:type="dxa" w:w="4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Chronic obstructive pulmonary disease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N18.3 – N18.6</w:t>
            </w:r>
          </w:p>
        </w:tc>
        <w:tc>
          <w:tcPr>
            <w:tcW w:type="dxa" w:w="2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ckd</w:t>
            </w:r>
          </w:p>
        </w:tc>
        <w:tc>
          <w:tcPr>
            <w:tcW w:type="dxa" w:w="4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Stage 3 through 5 chronic kidney disease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C00 – C97</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oncology</w:t>
            </w:r>
          </w:p>
        </w:tc>
        <w:tc>
          <w:tcPr>
            <w:tcW w:type="dxa" w:w="4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All malignant neoplasms; active treatment and surveillance</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Example: ICD-10 'E11.65' (type 2 diabetes with hyperglycemia) matches the E10-E13 range and resolves to chronic_conditions = 'diabetes'. ICD-10 'I50.32' matches I50.0-I50.9 and resolves to 'chf'. Multiple conditions per member are unioned: a member with both E11.65 and N18.4 resolves to chronic_conditions = 'diabetes,ckd'.</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This is a deliberately small mapping (five conditions). Additional condition mappings (autoimmune, mental health, substance use disorder) are Phase 2 additions; their incremental impact on capital sizing is below the noise floor for typical SMB populations.</w:t>
      </w:r>
    </w:p>
    <w:p>
      <w:pPr>
        <w:spacing w:after="60" w:before="160"/>
      </w:pPr>
      <w:r>
        <w:rPr>
          <w:rFonts w:ascii="Arial" w:cs="Arial" w:eastAsia="Arial" w:hAnsi="Arial"/>
          <w:b/>
          <w:bCs/>
          <w:color w:val="1F1F1F"/>
          <w:sz w:val="22"/>
          <w:szCs w:val="22"/>
        </w:rPr>
        <w:t xml:space="preserve">3.6.3 Backward Compatibility</w:t>
      </w:r>
    </w:p>
    <w:p>
      <w:pPr>
        <w:spacing w:after="80" w:before="80"/>
        <w:jc w:val="left"/>
      </w:pPr>
      <w:r>
        <w:rPr>
          <w:rFonts w:ascii="Arial" w:cs="Arial" w:eastAsia="Arial" w:hAnsi="Arial"/>
          <w:b w:val="false"/>
          <w:bCs w:val="false"/>
          <w:i/>
          <w:iCs/>
          <w:color w:val="1F1F1F"/>
          <w:sz w:val="22"/>
          <w:szCs w:val="22"/>
        </w:rPr>
        <w:t xml:space="preserve">Files prepared under Template 1 v2.0 (without chronic_flag and chronic_conditions columns) remain valid. The engine resolves chronic status entirely via Path 3 (ICD-10 derivation) for v2.0 files. Customers may upgrade to v2.1 to provide explicit chronic flags but are not required to.</w:t>
      </w:r>
    </w:p>
    <w:p>
      <w:pPr>
        <w:pStyle w:val="Heading1"/>
        <w:spacing w:after="160" w:before="360"/>
      </w:pPr>
      <w:r>
        <w:rPr>
          <w:rFonts w:ascii="Arial" w:cs="Arial" w:eastAsia="Arial" w:hAnsi="Arial"/>
          <w:b/>
          <w:bCs/>
          <w:color w:val="1F1F1F"/>
          <w:sz w:val="36"/>
          <w:szCs w:val="36"/>
        </w:rPr>
        <w:t xml:space="preserve">4. Template 2 · Partial Summary (Mode 2)</w:t>
      </w:r>
    </w:p>
    <w:p>
      <w:pPr>
        <w:spacing w:after="80" w:before="80"/>
        <w:jc w:val="left"/>
      </w:pPr>
      <w:r>
        <w:rPr>
          <w:rFonts w:ascii="Arial" w:cs="Arial" w:eastAsia="Arial" w:hAnsi="Arial"/>
          <w:b w:val="false"/>
          <w:bCs w:val="false"/>
          <w:i w:val="false"/>
          <w:iCs w:val="false"/>
          <w:color w:val="1F1F1F"/>
          <w:sz w:val="22"/>
          <w:szCs w:val="22"/>
        </w:rPr>
        <w:t xml:space="preserve">One row per category. Used when line-level claims are unavailable but a broker, carrier, or PBM has provided category-level totals. Member-level stop-loss aggregation is not possible at this granularity; the engine applies an actuarial loading factor instead.</w:t>
      </w:r>
    </w:p>
    <w:p>
      <w:pPr>
        <w:pStyle w:val="Heading3"/>
        <w:spacing w:after="80" w:before="200"/>
      </w:pPr>
      <w:r>
        <w:rPr>
          <w:rFonts w:ascii="Arial" w:cs="Arial" w:eastAsia="Arial" w:hAnsi="Arial"/>
          <w:b/>
          <w:bCs/>
          <w:color w:val="1F1F1F"/>
          <w:sz w:val="24"/>
          <w:szCs w:val="24"/>
        </w:rPr>
        <w:t xml:space="preserve">4.1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5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employer_id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Foreign key.</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claims_category</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enum</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One of: Primary Care | Specialty Care | Imaging | Lab | Procedures | ER | Inpatient | Pharmacy | Other</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annual_spend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decimal</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Total allowed dollars in the category for the period.</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covered_lives</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Member-months / 12 or stated census.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data_source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enum</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broker_report | carrier_summary | pbm_report | self_reported | other</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confidence_level</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enum</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high | medium | low. Drives output disclaimer language.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period_start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date</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Start of the period the figure covers.</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period_end</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date</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End of the period the figure covers.</w:t>
            </w:r>
          </w:p>
        </w:tc>
      </w:tr>
    </w:tbl>
    <w:p>
      <w:pPr>
        <w:pStyle w:val="Heading3"/>
        <w:spacing w:after="80" w:before="200"/>
      </w:pPr>
      <w:r>
        <w:rPr>
          <w:rFonts w:ascii="Arial" w:cs="Arial" w:eastAsia="Arial" w:hAnsi="Arial"/>
          <w:b/>
          <w:bCs/>
          <w:color w:val="1F1F1F"/>
          <w:sz w:val="24"/>
          <w:szCs w:val="24"/>
        </w:rPr>
        <w:t xml:space="preserve">4.2 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5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chronic_prevalence_pct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 (0–100)</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 in v2.1. Stated chronic condition prevalence as a percentage. Engine scales synthesized member roster to match. When absent, default benchmark prevalence (typically 18 to 22%) is used.</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claim_count</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Number of claim lines in the category. Drives utilization metrics.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notes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Source citation, caveats.</w:t>
            </w:r>
          </w:p>
        </w:tc>
      </w:tr>
    </w:tbl>
    <w:p>
      <w:pPr>
        <w:pStyle w:val="Heading3"/>
        <w:spacing w:after="80" w:before="200"/>
      </w:pPr>
      <w:r>
        <w:rPr>
          <w:rFonts w:ascii="Arial" w:cs="Arial" w:eastAsia="Arial" w:hAnsi="Arial"/>
          <w:b/>
          <w:bCs/>
          <w:color w:val="1F1F1F"/>
          <w:sz w:val="24"/>
          <w:szCs w:val="24"/>
        </w:rPr>
        <w:t xml:space="preserve">4.3 Validation Rules</w:t>
      </w:r>
    </w:p>
    <w:p>
      <w:pPr>
        <w:pStyle w:val="ListParagraph"/>
        <w:numPr>
          <w:ilvl w:val="0"/>
          <w:numId w:val="3"/>
        </w:numPr>
        <w:spacing w:after="30" w:before="30"/>
      </w:pPr>
      <w:r>
        <w:rPr>
          <w:rFonts w:ascii="Arial" w:cs="Arial" w:eastAsia="Arial" w:hAnsi="Arial"/>
          <w:color w:val="1F1F1F"/>
          <w:sz w:val="22"/>
          <w:szCs w:val="22"/>
        </w:rPr>
        <w:t xml:space="preserve">All required fields present and non-empty.</w:t>
      </w:r>
    </w:p>
    <w:p>
      <w:pPr>
        <w:pStyle w:val="ListParagraph"/>
        <w:numPr>
          <w:ilvl w:val="0"/>
          <w:numId w:val="3"/>
        </w:numPr>
        <w:spacing w:after="30" w:before="30"/>
      </w:pPr>
      <w:r>
        <w:rPr>
          <w:rFonts w:ascii="Arial" w:cs="Arial" w:eastAsia="Arial" w:hAnsi="Arial"/>
          <w:color w:val="1F1F1F"/>
          <w:sz w:val="22"/>
          <w:szCs w:val="22"/>
        </w:rPr>
        <w:t xml:space="preserve">claims_category matches one of the nine canonical values (case-insensitive).</w:t>
      </w:r>
    </w:p>
    <w:p>
      <w:pPr>
        <w:pStyle w:val="ListParagraph"/>
        <w:numPr>
          <w:ilvl w:val="0"/>
          <w:numId w:val="3"/>
        </w:numPr>
        <w:spacing w:after="30" w:before="30"/>
      </w:pPr>
      <w:r>
        <w:rPr>
          <w:rFonts w:ascii="Arial" w:cs="Arial" w:eastAsia="Arial" w:hAnsi="Arial"/>
          <w:color w:val="1F1F1F"/>
          <w:sz w:val="22"/>
          <w:szCs w:val="22"/>
        </w:rPr>
        <w:t xml:space="preserve">annual_spend is numeric and non-negative.</w:t>
      </w:r>
    </w:p>
    <w:p>
      <w:pPr>
        <w:pStyle w:val="ListParagraph"/>
        <w:numPr>
          <w:ilvl w:val="0"/>
          <w:numId w:val="3"/>
        </w:numPr>
        <w:spacing w:after="30" w:before="30"/>
      </w:pPr>
      <w:r>
        <w:rPr>
          <w:rFonts w:ascii="Arial" w:cs="Arial" w:eastAsia="Arial" w:hAnsi="Arial"/>
          <w:color w:val="1F1F1F"/>
          <w:sz w:val="22"/>
          <w:szCs w:val="22"/>
        </w:rPr>
        <w:t xml:space="preserve">data_source matches one of the five canonical values.</w:t>
      </w:r>
    </w:p>
    <w:p>
      <w:pPr>
        <w:pStyle w:val="ListParagraph"/>
        <w:numPr>
          <w:ilvl w:val="0"/>
          <w:numId w:val="3"/>
        </w:numPr>
        <w:spacing w:after="30" w:before="30"/>
      </w:pPr>
      <w:r>
        <w:rPr>
          <w:rFonts w:ascii="Arial" w:cs="Arial" w:eastAsia="Arial" w:hAnsi="Arial"/>
          <w:color w:val="1F1F1F"/>
          <w:sz w:val="22"/>
          <w:szCs w:val="22"/>
        </w:rPr>
        <w:t xml:space="preserve">confidence_level is high, medium, or low.</w:t>
      </w:r>
    </w:p>
    <w:p>
      <w:pPr>
        <w:pStyle w:val="ListParagraph"/>
        <w:numPr>
          <w:ilvl w:val="0"/>
          <w:numId w:val="3"/>
        </w:numPr>
        <w:spacing w:after="30" w:before="30"/>
      </w:pPr>
      <w:r>
        <w:rPr>
          <w:rFonts w:ascii="Arial" w:cs="Arial" w:eastAsia="Arial" w:hAnsi="Arial"/>
          <w:color w:val="1F1F1F"/>
          <w:sz w:val="22"/>
          <w:szCs w:val="22"/>
        </w:rPr>
        <w:t xml:space="preserve">chronic_prevalence_pct (when present) is an integer between 0 and 100.</w:t>
      </w:r>
    </w:p>
    <w:p>
      <w:pPr>
        <w:pStyle w:val="ListParagraph"/>
        <w:numPr>
          <w:ilvl w:val="0"/>
          <w:numId w:val="3"/>
        </w:numPr>
        <w:spacing w:after="30" w:before="30"/>
      </w:pPr>
      <w:r>
        <w:rPr>
          <w:rFonts w:ascii="Arial" w:cs="Arial" w:eastAsia="Arial" w:hAnsi="Arial"/>
          <w:color w:val="1F1F1F"/>
          <w:sz w:val="22"/>
          <w:szCs w:val="22"/>
        </w:rPr>
        <w:t xml:space="preserve">period_end is on or after period_start.</w:t>
      </w:r>
    </w:p>
    <w:p>
      <w:pPr>
        <w:pStyle w:val="Heading3"/>
        <w:spacing w:after="80" w:before="200"/>
      </w:pPr>
      <w:r>
        <w:rPr>
          <w:rFonts w:ascii="Arial" w:cs="Arial" w:eastAsia="Arial" w:hAnsi="Arial"/>
          <w:b/>
          <w:bCs/>
          <w:color w:val="1F1F1F"/>
          <w:sz w:val="24"/>
          <w:szCs w:val="24"/>
        </w:rPr>
        <w:t xml:space="preserve">4.4 Example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ABC123,Primary Care,82000,612,162,broker_report,medium,2025-01-01,2025-12-31,From 2025 broker renewal packet</w:t>
            </w:r>
          </w:p>
          <w:p>
            <w:pPr>
              <w:spacing w:after="0" w:before="0" w:line="240"/>
            </w:pPr>
            <w:r>
              <w:rPr>
                <w:rFonts w:ascii="Consolas" w:cs="Consolas" w:eastAsia="Consolas" w:hAnsi="Consolas"/>
                <w:b w:val="false"/>
                <w:bCs w:val="false"/>
                <w:i w:val="false"/>
                <w:iCs w:val="false"/>
                <w:color w:val="1F1F1F"/>
                <w:sz w:val="16"/>
                <w:szCs w:val="16"/>
              </w:rPr>
              <w:t xml:space="preserve">ABC123,Imaging,94000,72,162,broker_report,high,2025-01-01,2025-12-31,Confirmed against carrier large-claim report</w:t>
            </w:r>
          </w:p>
          <w:p>
            <w:pPr>
              <w:spacing w:after="0" w:before="0" w:line="240"/>
            </w:pPr>
            <w:r>
              <w:rPr>
                <w:rFonts w:ascii="Consolas" w:cs="Consolas" w:eastAsia="Consolas" w:hAnsi="Consolas"/>
                <w:b w:val="false"/>
                <w:bCs w:val="false"/>
                <w:i w:val="false"/>
                <w:iCs w:val="false"/>
                <w:color w:val="1F1F1F"/>
                <w:sz w:val="16"/>
                <w:szCs w:val="16"/>
              </w:rPr>
              <w:t xml:space="preserve">ABC123,Inpatient,295000,12,162,carrier_summary,high,2025-01-01,2025-12-31,Two large admits in Q3</w:t>
            </w:r>
          </w:p>
        </w:tc>
      </w:tr>
    </w:tbl>
    <w:p>
      <w:pPr>
        <w:pStyle w:val="Heading3"/>
        <w:spacing w:after="80" w:before="200"/>
      </w:pPr>
      <w:r>
        <w:rPr>
          <w:rFonts w:ascii="Arial" w:cs="Arial" w:eastAsia="Arial" w:hAnsi="Arial"/>
          <w:b/>
          <w:bCs/>
          <w:color w:val="1F1F1F"/>
          <w:sz w:val="24"/>
          <w:szCs w:val="24"/>
        </w:rPr>
        <w:t xml:space="preserve">4.5 Engine Behavior</w:t>
      </w:r>
    </w:p>
    <w:p>
      <w:pPr>
        <w:spacing w:after="80" w:before="80"/>
        <w:jc w:val="left"/>
      </w:pPr>
      <w:r>
        <w:rPr>
          <w:rFonts w:ascii="Arial" w:cs="Arial" w:eastAsia="Arial" w:hAnsi="Arial"/>
          <w:b w:val="false"/>
          <w:bCs w:val="false"/>
          <w:i w:val="false"/>
          <w:iCs w:val="false"/>
          <w:color w:val="1F1F1F"/>
          <w:sz w:val="22"/>
          <w:szCs w:val="22"/>
        </w:rPr>
        <w:t xml:space="preserve">For each category row, the engine applies a category-default bucket distribution drawn from the active rule_version. Example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Category</w:t>
            </w:r>
          </w:p>
        </w:tc>
        <w:tc>
          <w:tcPr>
            <w:tcW w:type="dxa" w:w="62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Default Bucket Distribution</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Primary Care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 Bucket A (DPC eliminated)</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Specialty Care</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 Bucket B (cash-pay repriced)</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Imaging</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 Bucket B (cash-pay repriced)</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Lab</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 Bucket A (DPC eliminated)</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Procedures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85% Bucket B / 15% Bucket E (high-acuity outpatient)</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ER</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75% Bucket C / 25% Bucket D (low-acuity ER reduction applied)</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Inpatient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 Bucket E (catastrophic / stop-loss)</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Pharmacy</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60% Bucket A / 40% Bucket D (specialty Rx residual)</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Other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 Bucket D (residual)</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These default distributions are admin-editable through the rule_versions table. New distributions create new rule versions and propagate forward without affecting historical scenario outputs.</w:t>
      </w:r>
    </w:p>
    <w:p>
      <w:pPr>
        <w:pStyle w:val="Heading1"/>
        <w:spacing w:after="160" w:before="360"/>
      </w:pPr>
      <w:r>
        <w:rPr>
          <w:rFonts w:ascii="Arial" w:cs="Arial" w:eastAsia="Arial" w:hAnsi="Arial"/>
          <w:b/>
          <w:bCs/>
          <w:color w:val="1F1F1F"/>
          <w:sz w:val="36"/>
          <w:szCs w:val="36"/>
        </w:rPr>
        <w:t xml:space="preserve">5. Template 3 · Employer Profile (Mode 3)</w:t>
      </w:r>
    </w:p>
    <w:p>
      <w:pPr>
        <w:spacing w:after="80" w:before="80"/>
        <w:jc w:val="left"/>
      </w:pPr>
      <w:r>
        <w:rPr>
          <w:rFonts w:ascii="Arial" w:cs="Arial" w:eastAsia="Arial" w:hAnsi="Arial"/>
          <w:b w:val="false"/>
          <w:bCs w:val="false"/>
          <w:i w:val="false"/>
          <w:iCs w:val="false"/>
          <w:color w:val="1F1F1F"/>
          <w:sz w:val="22"/>
          <w:szCs w:val="22"/>
        </w:rPr>
        <w:t xml:space="preserve">One row per employer. Used when no claims data exists. The engine looks up the matched benchmark profile (industry × geography × group size) and synthesizes a representative claims distribution scaled to the employer's stated total spend.</w:t>
      </w:r>
    </w:p>
    <w:p>
      <w:pPr>
        <w:pStyle w:val="Heading3"/>
        <w:spacing w:after="80" w:before="200"/>
      </w:pPr>
      <w:r>
        <w:rPr>
          <w:rFonts w:ascii="Arial" w:cs="Arial" w:eastAsia="Arial" w:hAnsi="Arial"/>
          <w:b/>
          <w:bCs/>
          <w:color w:val="1F1F1F"/>
          <w:sz w:val="24"/>
          <w:szCs w:val="24"/>
        </w:rPr>
        <w:t xml:space="preserve">5.1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5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employer_name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Display name.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employer_id</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Stable internal identifier.</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state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Two-letter state code.</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industry</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Used to match benchmark_profile.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employees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Total headcount.</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covered_lives</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integer</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Includes dependents.</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current_annual_spend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decimal</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Total healthcare spend baseline. NOT claims-only. See Master Spec Part III.</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current_funding_model</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enum</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fully_insured | level_funded | self_funded | unsure</w:t>
            </w:r>
          </w:p>
        </w:tc>
      </w:tr>
    </w:tbl>
    <w:p>
      <w:pPr>
        <w:pStyle w:val="Heading3"/>
        <w:spacing w:after="80" w:before="200"/>
      </w:pPr>
      <w:r>
        <w:rPr>
          <w:rFonts w:ascii="Arial" w:cs="Arial" w:eastAsia="Arial" w:hAnsi="Arial"/>
          <w:b/>
          <w:bCs/>
          <w:color w:val="1F1F1F"/>
          <w:sz w:val="24"/>
          <w:szCs w:val="24"/>
        </w:rPr>
        <w:t xml:space="preserve">5.2 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14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Type</w:t>
            </w:r>
          </w:p>
        </w:tc>
        <w:tc>
          <w:tcPr>
            <w:tcW w:type="dxa" w:w="53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Description</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historical_claims_estimate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decimal</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Best-effort claims-only estimate, if known. Used for modeling, not savings.</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renewal_date</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date</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Drives sales motion only; not used in math.</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broker_name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Source of the engagement.</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benchmark_profile</w:t>
            </w:r>
          </w:p>
        </w:tc>
        <w:tc>
          <w:tcPr>
            <w:tcW w:type="dxa" w:w="14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Override the auto-matched benchmark. References benchmark_profiles table.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notes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string</w:t>
            </w:r>
          </w:p>
        </w:tc>
        <w:tc>
          <w:tcPr>
            <w:tcW w:type="dxa" w:w="53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Free text.</w:t>
            </w:r>
          </w:p>
        </w:tc>
      </w:tr>
    </w:tbl>
    <w:p>
      <w:pPr>
        <w:pStyle w:val="Heading3"/>
        <w:spacing w:after="80" w:before="200"/>
      </w:pPr>
      <w:r>
        <w:rPr>
          <w:rFonts w:ascii="Arial" w:cs="Arial" w:eastAsia="Arial" w:hAnsi="Arial"/>
          <w:b/>
          <w:bCs/>
          <w:color w:val="1F1F1F"/>
          <w:sz w:val="24"/>
          <w:szCs w:val="24"/>
        </w:rPr>
        <w:t xml:space="preserve">5.3 Validation Rules</w:t>
      </w:r>
    </w:p>
    <w:p>
      <w:pPr>
        <w:pStyle w:val="ListParagraph"/>
        <w:numPr>
          <w:ilvl w:val="0"/>
          <w:numId w:val="3"/>
        </w:numPr>
        <w:spacing w:after="30" w:before="30"/>
      </w:pPr>
      <w:r>
        <w:rPr>
          <w:rFonts w:ascii="Arial" w:cs="Arial" w:eastAsia="Arial" w:hAnsi="Arial"/>
          <w:color w:val="1F1F1F"/>
          <w:sz w:val="22"/>
          <w:szCs w:val="22"/>
        </w:rPr>
        <w:t xml:space="preserve">All required fields present and non-empty.</w:t>
      </w:r>
    </w:p>
    <w:p>
      <w:pPr>
        <w:pStyle w:val="ListParagraph"/>
        <w:numPr>
          <w:ilvl w:val="0"/>
          <w:numId w:val="3"/>
        </w:numPr>
        <w:spacing w:after="30" w:before="30"/>
      </w:pPr>
      <w:r>
        <w:rPr>
          <w:rFonts w:ascii="Arial" w:cs="Arial" w:eastAsia="Arial" w:hAnsi="Arial"/>
          <w:color w:val="1F1F1F"/>
          <w:sz w:val="22"/>
          <w:szCs w:val="22"/>
        </w:rPr>
        <w:t xml:space="preserve">state is a valid two-letter US state code.</w:t>
      </w:r>
    </w:p>
    <w:p>
      <w:pPr>
        <w:pStyle w:val="ListParagraph"/>
        <w:numPr>
          <w:ilvl w:val="0"/>
          <w:numId w:val="3"/>
        </w:numPr>
        <w:spacing w:after="30" w:before="30"/>
      </w:pPr>
      <w:r>
        <w:rPr>
          <w:rFonts w:ascii="Arial" w:cs="Arial" w:eastAsia="Arial" w:hAnsi="Arial"/>
          <w:color w:val="1F1F1F"/>
          <w:sz w:val="22"/>
          <w:szCs w:val="22"/>
        </w:rPr>
        <w:t xml:space="preserve">employees and covered_lives are positive integers.</w:t>
      </w:r>
    </w:p>
    <w:p>
      <w:pPr>
        <w:pStyle w:val="ListParagraph"/>
        <w:numPr>
          <w:ilvl w:val="0"/>
          <w:numId w:val="3"/>
        </w:numPr>
        <w:spacing w:after="30" w:before="30"/>
      </w:pPr>
      <w:r>
        <w:rPr>
          <w:rFonts w:ascii="Arial" w:cs="Arial" w:eastAsia="Arial" w:hAnsi="Arial"/>
          <w:color w:val="1F1F1F"/>
          <w:sz w:val="22"/>
          <w:szCs w:val="22"/>
        </w:rPr>
        <w:t xml:space="preserve">covered_lives is greater than or equal to employees (dependents must be additive).</w:t>
      </w:r>
    </w:p>
    <w:p>
      <w:pPr>
        <w:pStyle w:val="ListParagraph"/>
        <w:numPr>
          <w:ilvl w:val="0"/>
          <w:numId w:val="3"/>
        </w:numPr>
        <w:spacing w:after="30" w:before="30"/>
      </w:pPr>
      <w:r>
        <w:rPr>
          <w:rFonts w:ascii="Arial" w:cs="Arial" w:eastAsia="Arial" w:hAnsi="Arial"/>
          <w:color w:val="1F1F1F"/>
          <w:sz w:val="22"/>
          <w:szCs w:val="22"/>
        </w:rPr>
        <w:t xml:space="preserve">current_annual_spend is positive.</w:t>
      </w:r>
    </w:p>
    <w:p>
      <w:pPr>
        <w:pStyle w:val="ListParagraph"/>
        <w:numPr>
          <w:ilvl w:val="0"/>
          <w:numId w:val="3"/>
        </w:numPr>
        <w:spacing w:after="30" w:before="30"/>
      </w:pPr>
      <w:r>
        <w:rPr>
          <w:rFonts w:ascii="Arial" w:cs="Arial" w:eastAsia="Arial" w:hAnsi="Arial"/>
          <w:color w:val="1F1F1F"/>
          <w:sz w:val="22"/>
          <w:szCs w:val="22"/>
        </w:rPr>
        <w:t xml:space="preserve">current_funding_model is one of the four canonical values.</w:t>
      </w:r>
    </w:p>
    <w:p>
      <w:pPr>
        <w:pStyle w:val="Heading3"/>
        <w:spacing w:after="80" w:before="200"/>
      </w:pPr>
      <w:r>
        <w:rPr>
          <w:rFonts w:ascii="Arial" w:cs="Arial" w:eastAsia="Arial" w:hAnsi="Arial"/>
          <w:b/>
          <w:bCs/>
          <w:color w:val="1F1F1F"/>
          <w:sz w:val="24"/>
          <w:szCs w:val="24"/>
        </w:rPr>
        <w:t xml:space="preserve">5.4 Example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ABC Manufacturing,ABC123,GA,Manufacturing,75,162,1187450,fully_insured,950000,2026-01-01,Smith Benefits,manufacturing_southeast,Quote stage</w:t>
            </w:r>
          </w:p>
        </w:tc>
      </w:tr>
    </w:tbl>
    <w:p>
      <w:pPr>
        <w:pStyle w:val="Heading3"/>
        <w:spacing w:after="80" w:before="200"/>
      </w:pPr>
      <w:r>
        <w:rPr>
          <w:rFonts w:ascii="Arial" w:cs="Arial" w:eastAsia="Arial" w:hAnsi="Arial"/>
          <w:b/>
          <w:bCs/>
          <w:color w:val="1F1F1F"/>
          <w:sz w:val="24"/>
          <w:szCs w:val="24"/>
        </w:rPr>
        <w:t xml:space="preserve">5.5 Engine Behavior</w:t>
      </w:r>
    </w:p>
    <w:p>
      <w:pPr>
        <w:spacing w:after="80" w:before="80"/>
        <w:jc w:val="left"/>
      </w:pPr>
      <w:r>
        <w:rPr>
          <w:rFonts w:ascii="Arial" w:cs="Arial" w:eastAsia="Arial" w:hAnsi="Arial"/>
          <w:b w:val="false"/>
          <w:bCs w:val="false"/>
          <w:i w:val="false"/>
          <w:iCs w:val="false"/>
          <w:color w:val="1F1F1F"/>
          <w:sz w:val="22"/>
          <w:szCs w:val="22"/>
        </w:rPr>
        <w:t xml:space="preserve">The engine matches the employer profile to a benchmark_profile row using industry, state (region), and group size. The matched benchmark provides a category-level allocation (e.g., 12% primary care, 9% imaging, 18% inpatient) and a per-member-per-month claims baseline. The engine scales these to the employer's covered_lives and stated current_annual_spend, then synthesizes representative claim lines for each category. Every synthesized row is flagged with assumption_source = 'benchmark' and confidence_level = 'low'. Every output produced from this data carries an explicit 'Illustrative — not based on actual claims data' disclaimer.</w:t>
      </w:r>
    </w:p>
    <w:p>
      <w:pPr>
        <w:pStyle w:val="Heading1"/>
        <w:spacing w:after="160" w:before="360"/>
      </w:pPr>
      <w:r>
        <w:rPr>
          <w:rFonts w:ascii="Arial" w:cs="Arial" w:eastAsia="Arial" w:hAnsi="Arial"/>
          <w:b/>
          <w:bCs/>
          <w:color w:val="1F1F1F"/>
          <w:sz w:val="36"/>
          <w:szCs w:val="36"/>
        </w:rPr>
        <w:t xml:space="preserve">6. Provenance Stamping</w:t>
      </w:r>
    </w:p>
    <w:p>
      <w:pPr>
        <w:spacing w:after="80" w:before="80"/>
        <w:jc w:val="left"/>
      </w:pPr>
      <w:r>
        <w:rPr>
          <w:rFonts w:ascii="Arial" w:cs="Arial" w:eastAsia="Arial" w:hAnsi="Arial"/>
          <w:b w:val="false"/>
          <w:bCs w:val="false"/>
          <w:i w:val="false"/>
          <w:iCs w:val="false"/>
          <w:color w:val="1F1F1F"/>
          <w:sz w:val="22"/>
          <w:szCs w:val="22"/>
        </w:rPr>
        <w:t xml:space="preserve">Every row that enters the system, regardless of template, is stamped with eight provenance fields at ingestion. These fields propagate through every calculation and every output. See Data Dictionary v2.0, Section 3 for the complete specification.</w:t>
      </w:r>
    </w:p>
    <w:p>
      <w:pPr>
        <w:spacing w:after="80" w:before="80"/>
      </w:pPr>
      <w:r>
        <w:t xml:space="preserve"/>
      </w:r>
    </w:p>
    <w:p>
      <w:pPr>
        <w:pStyle w:val="ListParagraph"/>
        <w:numPr>
          <w:ilvl w:val="0"/>
          <w:numId w:val="2"/>
        </w:numPr>
        <w:spacing w:after="30" w:before="30"/>
      </w:pPr>
      <w:r>
        <w:rPr>
          <w:rFonts w:ascii="Arial" w:cs="Arial" w:eastAsia="Arial" w:hAnsi="Arial"/>
          <w:color w:val="1F1F1F"/>
          <w:sz w:val="22"/>
          <w:szCs w:val="22"/>
        </w:rPr>
        <w:t xml:space="preserve">input_mode (full | partial | modeled)</w:t>
      </w:r>
    </w:p>
    <w:p>
      <w:pPr>
        <w:pStyle w:val="ListParagraph"/>
        <w:numPr>
          <w:ilvl w:val="0"/>
          <w:numId w:val="2"/>
        </w:numPr>
        <w:spacing w:after="30" w:before="30"/>
      </w:pPr>
      <w:r>
        <w:rPr>
          <w:rFonts w:ascii="Arial" w:cs="Arial" w:eastAsia="Arial" w:hAnsi="Arial"/>
          <w:color w:val="1F1F1F"/>
          <w:sz w:val="22"/>
          <w:szCs w:val="22"/>
        </w:rPr>
        <w:t xml:space="preserve">data_source (claims_extract | broker_report | carrier_summary | pbm_report | self_reported | benchmark | admin)</w:t>
      </w:r>
    </w:p>
    <w:p>
      <w:pPr>
        <w:pStyle w:val="ListParagraph"/>
        <w:numPr>
          <w:ilvl w:val="0"/>
          <w:numId w:val="2"/>
        </w:numPr>
        <w:spacing w:after="30" w:before="30"/>
      </w:pPr>
      <w:r>
        <w:rPr>
          <w:rFonts w:ascii="Arial" w:cs="Arial" w:eastAsia="Arial" w:hAnsi="Arial"/>
          <w:color w:val="1F1F1F"/>
          <w:sz w:val="22"/>
          <w:szCs w:val="22"/>
        </w:rPr>
        <w:t xml:space="preserve">confidence_level (high | medium | low)</w:t>
      </w:r>
    </w:p>
    <w:p>
      <w:pPr>
        <w:pStyle w:val="ListParagraph"/>
        <w:numPr>
          <w:ilvl w:val="0"/>
          <w:numId w:val="2"/>
        </w:numPr>
        <w:spacing w:after="30" w:before="30"/>
      </w:pPr>
      <w:r>
        <w:rPr>
          <w:rFonts w:ascii="Arial" w:cs="Arial" w:eastAsia="Arial" w:hAnsi="Arial"/>
          <w:color w:val="1F1F1F"/>
          <w:sz w:val="22"/>
          <w:szCs w:val="22"/>
        </w:rPr>
        <w:t xml:space="preserve">assumption_source (actual | benchmark | admin)</w:t>
      </w:r>
    </w:p>
    <w:p>
      <w:pPr>
        <w:pStyle w:val="ListParagraph"/>
        <w:numPr>
          <w:ilvl w:val="0"/>
          <w:numId w:val="2"/>
        </w:numPr>
        <w:spacing w:after="30" w:before="30"/>
      </w:pPr>
      <w:r>
        <w:rPr>
          <w:rFonts w:ascii="Arial" w:cs="Arial" w:eastAsia="Arial" w:hAnsi="Arial"/>
          <w:color w:val="1F1F1F"/>
          <w:sz w:val="22"/>
          <w:szCs w:val="22"/>
        </w:rPr>
        <w:t xml:space="preserve">pricing_version_id</w:t>
      </w:r>
    </w:p>
    <w:p>
      <w:pPr>
        <w:pStyle w:val="ListParagraph"/>
        <w:numPr>
          <w:ilvl w:val="0"/>
          <w:numId w:val="2"/>
        </w:numPr>
        <w:spacing w:after="30" w:before="30"/>
      </w:pPr>
      <w:r>
        <w:rPr>
          <w:rFonts w:ascii="Arial" w:cs="Arial" w:eastAsia="Arial" w:hAnsi="Arial"/>
          <w:color w:val="1F1F1F"/>
          <w:sz w:val="22"/>
          <w:szCs w:val="22"/>
        </w:rPr>
        <w:t xml:space="preserve">rule_version_id</w:t>
      </w:r>
    </w:p>
    <w:p>
      <w:pPr>
        <w:pStyle w:val="ListParagraph"/>
        <w:numPr>
          <w:ilvl w:val="0"/>
          <w:numId w:val="2"/>
        </w:numPr>
        <w:spacing w:after="30" w:before="30"/>
      </w:pPr>
      <w:r>
        <w:rPr>
          <w:rFonts w:ascii="Arial" w:cs="Arial" w:eastAsia="Arial" w:hAnsi="Arial"/>
          <w:color w:val="1F1F1F"/>
          <w:sz w:val="22"/>
          <w:szCs w:val="22"/>
        </w:rPr>
        <w:t xml:space="preserve">indemnity_version_id</w:t>
      </w:r>
    </w:p>
    <w:p>
      <w:pPr>
        <w:pStyle w:val="ListParagraph"/>
        <w:numPr>
          <w:ilvl w:val="0"/>
          <w:numId w:val="2"/>
        </w:numPr>
        <w:spacing w:after="30" w:before="30"/>
      </w:pPr>
      <w:r>
        <w:rPr>
          <w:rFonts w:ascii="Arial" w:cs="Arial" w:eastAsia="Arial" w:hAnsi="Arial"/>
          <w:color w:val="1F1F1F"/>
          <w:sz w:val="22"/>
          <w:szCs w:val="22"/>
        </w:rPr>
        <w:t xml:space="preserve">benchmark_version_id (Mode 3 only; null otherwise)</w:t>
      </w:r>
    </w:p>
    <w:p>
      <w:pPr>
        <w:pStyle w:val="Heading1"/>
        <w:spacing w:after="160" w:before="360"/>
      </w:pPr>
      <w:r>
        <w:rPr>
          <w:rFonts w:ascii="Arial" w:cs="Arial" w:eastAsia="Arial" w:hAnsi="Arial"/>
          <w:b/>
          <w:bCs/>
          <w:color w:val="1F1F1F"/>
          <w:sz w:val="36"/>
          <w:szCs w:val="36"/>
        </w:rPr>
        <w:t xml:space="preserve">7. Migration from Legacy Template</w:t>
      </w:r>
    </w:p>
    <w:p>
      <w:pPr>
        <w:spacing w:after="80" w:before="80"/>
        <w:jc w:val="left"/>
      </w:pPr>
      <w:r>
        <w:rPr>
          <w:rFonts w:ascii="Arial" w:cs="Arial" w:eastAsia="Arial" w:hAnsi="Arial"/>
          <w:b w:val="false"/>
          <w:bCs w:val="false"/>
          <w:i w:val="false"/>
          <w:iCs w:val="false"/>
          <w:color w:val="1F1F1F"/>
          <w:sz w:val="22"/>
          <w:szCs w:val="22"/>
        </w:rPr>
        <w:t xml:space="preserve">The original v1 CSV (single template, full claims only) remains valid as Template 1 here. v1 files load without modification. The engine assigns input_mode = 'full' and confidence_level = 'high' to all rows from v1 files and stamps them with v1.legacy version IDs.</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New customers should use the v2 templates exclusively. Existing v1 files in the system continue to function without re-ingestion.</w:t>
      </w:r>
    </w:p>
    <w:p>
      <w:pPr>
        <w:pBdr>
          <w:bottom w:val="single" w:color="1F1F1F" w:sz="6" w:space="4"/>
        </w:pBdr>
        <w:spacing w:after="200" w:before="80"/>
      </w:pPr>
      <w:r>
        <w:t xml:space="preserve"/>
      </w:r>
    </w:p>
    <w:p>
      <w:pPr>
        <w:spacing w:after="80" w:before="80"/>
        <w:jc w:val="left"/>
      </w:pPr>
      <w:r>
        <w:rPr>
          <w:rFonts w:ascii="Arial" w:cs="Arial" w:eastAsia="Arial" w:hAnsi="Arial"/>
          <w:b w:val="false"/>
          <w:bCs w:val="false"/>
          <w:i/>
          <w:iCs/>
          <w:color w:val="888888"/>
          <w:sz w:val="22"/>
          <w:szCs w:val="22"/>
        </w:rPr>
        <w:t xml:space="preserve">End of CSV Templates Package v2.1. The CSV files themselves accompany this document. Companion documents: Master Specification v3.3, Liquidity &amp; Capital Modeling Spec v1.2, Data Dictionary v3.0.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888888"/>
        <w:sz w:val="16"/>
        <w:szCs w:val="16"/>
      </w:rPr>
      <w:t xml:space="preserve">Confidential · OffPlan Holdings · v2.1 · May 2026</w:t>
    </w:r>
    <w:r>
      <w:rPr>
        <w:rFonts w:ascii="Arial" w:cs="Arial" w:eastAsia="Arial" w:hAnsi="Arial"/>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1F1F"/>
        <w:sz w:val="18"/>
        <w:szCs w:val="18"/>
      </w:rPr>
      <w:t xml:space="preserve">OFFPLAN</w:t>
    </w:r>
    <w:r>
      <w:rPr>
        <w:sz w:val="18"/>
        <w:szCs w:val="18"/>
      </w:rPr>
      <w:t xml:space="preserve">    </w:t>
    </w:r>
    <w:r>
      <w:rPr>
        <w:rFonts w:ascii="Arial" w:cs="Arial" w:eastAsia="Arial" w:hAnsi="Arial"/>
        <w:color w:val="888888"/>
        <w:sz w:val="18"/>
        <w:szCs w:val="18"/>
      </w:rPr>
      <w:t xml:space="preserve">Claims Reclassification Engine · CSV Templates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Reclassification Engine · CSV Templates Package</dc:title>
  <dc:creator>OffPlan Holdings</dc:creator>
  <dc:description>OffPlan Claims Reclassification Engine · CSV Templates Package</dc:description>
  <cp:lastModifiedBy>Un-named</cp:lastModifiedBy>
  <cp:revision>1</cp:revision>
  <dcterms:created xsi:type="dcterms:W3CDTF">2026-05-02T17:04:29.804Z</dcterms:created>
  <dcterms:modified xsi:type="dcterms:W3CDTF">2026-05-02T17:04:29.804Z</dcterms:modified>
</cp:coreProperties>
</file>

<file path=docProps/custom.xml><?xml version="1.0" encoding="utf-8"?>
<Properties xmlns="http://schemas.openxmlformats.org/officeDocument/2006/custom-properties" xmlns:vt="http://schemas.openxmlformats.org/officeDocument/2006/docPropsVTypes"/>
</file>