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</w:pPr>
      <w:r>
        <w:rPr>
          <w:rFonts w:ascii="Arial" w:cs="Arial" w:eastAsia="Arial" w:hAnsi="Arial"/>
          <w:color w:val="999999"/>
          <w:spacing w:val="20"/>
          <w:sz w:val="14"/>
          <w:szCs w:val="14"/>
        </w:rPr>
        <w:t xml:space="preserve">PART OF OFFPLAN CLAIMS RECLASSIFICATION ENGINE · BUILD PACKAGE v1.0</w:t>
      </w:r>
    </w:p>
    <w:p>
      <w:pP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REFERENCE IMPLEMENTATION GUIDE · v1.0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1F1F"/>
          <w:sz w:val="56"/>
          <w:szCs w:val="56"/>
        </w:rPr>
        <w:t xml:space="preserve">Reference Implementation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Orientation document for the working React prototype. This is reference material, not production code. The companion file is 05_OffPlan_Engine_Reference_Implementation.jsx (~2,700 lines, single-file React component).</w:t>
      </w:r>
    </w:p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OffPlan Claims Reclassification Engine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Version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 Package v1.0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Build-ready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Reference Implementation Guide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CTO, engineering vendor, prototype reviewers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Companion File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05_OffPlan_Engine_Reference_Implementation.jsx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Reference only — not production code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May 2026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1. What This 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reference implementation is a working React prototype that demonstrates the calculation engine, the three input modes, the scenario controls, the provenance architecture, and the report output. It runs entirely client-side in the browser. It uses Claude's persistent storage API for case persistence.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It exists for one reason: so the team can hand a broker a working tool tomorrow with a real claims file, and so engineering has a concrete, runnable reference for the math, the data flow, and the UI patterns. It is not the production 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2. What It Demonstrates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five-stage calculation cascade with member-level stop-loss aggregation (Master Spec Part II).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three input modes — Full Claims CSV upload, Partial Summary CSV upload + manual entry, Modeled Profile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two-question baseline wizard (Master Spec Part III).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Scenario engine with three default presets and live recalculation.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four-line baseline comparison matrix on every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Provenance footer on every dashboard and report (Data Dictionary v2.0 §6).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Admin control layer with version cutting on every edit and append-only audit log.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Report screen with print-to-PDF letterhead, baseline disclosure block, and provenance footer.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eight provenance fields stamped on every claim record at ingestion.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3. What It Is Not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multi-tenant. Single-user, single-browser-session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a backend. All calculation logic runs in the browser. The Master Spec requires backend-resident 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authenticated. Anyone with the URL has full access. No RBAC, no MFA, no JWT.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encrypted at the field level. The browser storage is plaintext.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HIPAA-compliant. Do not load real PHI into it without an isolated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API-exposed. There are no endpoints; everything is in-memory React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 load-tested. It works for tens of thousands of claims; the production target is multiples higher across tenants.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4.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Single-file React component. Imports React, Papa Parse (CSV), and lucide-react (icons). About 2,700 lines.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4.1 Top-Level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 (approx)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Reference data constants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1–225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DEFAULT_CPT_RULES, DEFAULT_CASH_PRICES, DEFAULT_INDEMNITY_BENEFITS, DEFAULT_REPRICE_FACTORS, SCENARIO_PRESETS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Provenance constants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155–225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INPUT_MODES, ASSUMPTION_SOURCES, INITIAL version records, confidence color mapping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225–380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fmtUSD, fmtNum, fmtPct, InputModeBadge, ProvenanceFooter components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380–500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normalizeAndClassify, runCalculation (the five-stage cascade)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Synthetic claims generator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500–600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generateSyntheticClaims for Mode 3 from benchmark distribution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App component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600–950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 React component, state, storage, screen routing, audit/version helpers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CasesScreen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950–1110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Employer list, create new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SetupScreen + wizard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1110–1350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Two-question baseline wizard, employer schema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UploadScreen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1350–1750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Three-mode upload UI (Full / Partial CSV+manual / Modeled)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ClassifyScreen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1750–1900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Per-claim review and override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ScenarioScreen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1900–2050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Sliders, presets, custom scenarios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DashboardScreen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2050–2400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Hero PEPM, transformation flow, baseline matrix, KPIs, scenario comparison, provenance footer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ReportScreen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2400–2700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Print-to-PDF report with full provenance disclosure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AdminScreen + tabs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2700–3380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Cash prices, indemnity, repricing factors, CPT rules, Versions, Audit Log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5. Calculation Engine — Where to Look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function runCalculation in the reference is the canonical implementation of the five-stage cascade. Production code should produce identical results for identical inputs. The function is deterministic and side-effect-free.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18"/>
            <w:tcBorders>
              <w:top w:val="none" w:color="FFFFFF" w:sz="0"/>
              <w:left w:val="single" w:color="1F1F1F" w:sz="24"/>
              <w:bottom w:val="none" w:color="FFFFFF" w:sz="0"/>
              <w:right w:val="none" w:color="FFFFFF" w:sz="0"/>
            </w:tcBorders>
            <w:shd w:fill="F7F7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function runCalculation(claims, scenario, cashPrices, indemnityBenefits, repriceFactors) {
  // Stage 1: DPC elimination
  // Stage 2: Cash-pay repricing
  // Stage 3: Indemnity offset
  // Stage 4: Member-level aggregation, then stop-loss split
  // Stage 5: Residual calculation
  // Returns: { claims, aggregates }
}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Every modification to the calculation engine in production must produce the same outputs as the reference for the test cases included with this package. Drift is a red flag.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6. Running the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6.1 In Claude Artifacts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fastest way to see the reference run: paste the .jsx into a Claude artifact. Claude renders React artifacts directly. No build step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6.2 Locally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To run as a standalone React app: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npx create-react-app offplan-engine-reference --template typescript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Install dependencies: npm install papaparse lucide-react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Replace src/App.jsx with the reference file (rename to App.jsx and adjust extension).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Add CDN links for the Tailwind utility classes used (or install Tailwind locally).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Replace window.storage calls (Claude-specific) with localStorage calls or remove persistence entirely.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npm start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Approximate effort: 30 minutes for an engineer familiar with React.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7. Mapping to Production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reference compresses several production responsibilities into a single client-side component. The mapping below shows where each piece lives in production.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rPr>
          <w:tblHeader/>
        </w:trP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Concern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Home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runCalculation function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Backend calculation service (Python FastAPI, isolated and tested)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normalizeAndClassify function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Backend rules engine, driven by rule_versions data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DEFAULT_CPT_RULES, DEFAULT_CASH_PRICES, etc.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Database tables (cpt_mapping_rules, cash_price_table) with version history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window.storage.set/get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PostgreSQL with row-level security per tenant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React state (useState, useMemo)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Client state for UI; canonical data lives in backend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Papa.parse on file upload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Backend ingestion service with isolated worker, validation, staging tables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window.print() report export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PDFMonkey or Documint server-rendered PDF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 auth in reference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Auth0 or Keycloak with OAuth2 / OIDC, MFA required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 tenant scoping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tenant_id on every PHI table; RLS policies; JWT-derived session context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In-memory audit log (capped at 500)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admin_audit_log table, append-only, hash-chained, indefinite retention</w:t>
            </w:r>
          </w:p>
        </w:tc>
      </w:tr>
      <w:tr>
        <w:tc>
          <w:tcPr>
            <w:tcW w:type="dxa" w:w="3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Inline version cutting on every edit</w:t>
            </w:r>
          </w:p>
        </w:tc>
        <w:tc>
          <w:tcPr>
            <w:tcW w:type="dxa" w:w="5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Draft/active/archived workflow with explicit commit and change_reason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8. Test Data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reference includes a synthetic claims generator for Mode 3 and accepts the v2 CSV templates for Modes 1 and 2. To validate calculation correctness: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Generate a Mode 3 dataset with 162 lives and $1.04M historical claims.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Run the Expected scenario.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Verify: sum of (DPC eliminated + repricing savings + ER reduction + indemnity offset + stop-loss shift + residual fund) equals historical claims exactly. Drift indicates a calculation bug.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Verify: residual_pepm = residual_fund / 162 / 12.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Verify: recommended_funding_pepm = residual_pepm × 1.25 (Expected scenario risk margin).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These four invariants are the integrity guarantee. Any production implementation that violates them is broken.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9. What to Use This For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Pepper's first conversation with Omar: walk through the reference together to align on what the engine does.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Engineering vendor scoping: hand the reference plus the Master Spec to a vendor for fixed-bid estimation.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Broker conversations: load real employer claims and produce a real report in front of a broker tomorrow.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MGU diligence: demonstrate the cascade math against the MGU's preferred test dataset.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Calculation regression testing: production tests should reproduce the reference's outputs on identical inputs.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10. What Not to Use This For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Production employer onboarding.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Storing real PHI without an isolated, BAA-covered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Underwriting decisions for bound stop-loss policies.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Anything where audit trail integrity matters (the reference's audit log is volatile).</w:t>
      </w:r>
    </w:p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End of Reference Implementation Guide. The companion file 05_OffPlan_Engine_Reference_Implementation.jsx is the working prototype. Companion documents: Master Specification v3.0, Architecture &amp; Security Specification v1.0, Data Dictionary v2.0.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· OffPlan Holdings · v1.0 · May 2026</w:t>
    </w:r>
    <w:r>
      <w:rPr>
        <w:rFonts w:ascii="Arial" w:cs="Arial" w:eastAsia="Arial" w:hAnsi="Arial"/>
        <w:color w:val="888888"/>
        <w:sz w:val="16"/>
        <w:szCs w:val="16"/>
      </w:rPr>
      <w:t xml:space="preserve">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1F1F1F"/>
        <w:sz w:val="18"/>
        <w:szCs w:val="18"/>
      </w:rPr>
      <w:t xml:space="preserve">OFFPLAN</w:t>
    </w:r>
    <w:r>
      <w:rPr>
        <w:sz w:val="18"/>
        <w:szCs w:val="18"/>
      </w:rPr>
      <w:t xml:space="preserve">    </w:t>
    </w:r>
    <w:r>
      <w:rPr>
        <w:rFonts w:ascii="Arial" w:cs="Arial" w:eastAsia="Arial" w:hAnsi="Arial"/>
        <w:color w:val="888888"/>
        <w:sz w:val="18"/>
        <w:szCs w:val="18"/>
      </w:rPr>
      <w:t xml:space="preserve">Claims Reclassification Engine · Reference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Reclassification Engine · Reference Implementation Guide</dc:title>
  <dc:creator>OffPlan Holdings</dc:creator>
  <dc:description>OffPlan Claims Reclassification Engine · Reference Implementation Guide</dc:description>
  <cp:lastModifiedBy>Un-named</cp:lastModifiedBy>
  <cp:revision>1</cp:revision>
  <dcterms:created xsi:type="dcterms:W3CDTF">2026-05-01T22:29:38.498Z</dcterms:created>
  <dcterms:modified xsi:type="dcterms:W3CDTF">2026-05-01T22:29:38.500Z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