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pPr>
      <w:r>
        <w:rPr>
          <w:rFonts w:ascii="Arial" w:cs="Arial" w:eastAsia="Arial" w:hAnsi="Arial"/>
          <w:color w:val="999999"/>
          <w:spacing w:val="20"/>
          <w:sz w:val="14"/>
          <w:szCs w:val="14"/>
        </w:rPr>
        <w:t xml:space="preserve">PART OF OFFPLAN CLAIMS RECLASSIFICATION ENGINE · BUILD PACKAGE v1.0</w:t>
      </w:r>
    </w:p>
    <w:p>
      <w:pPr>
        <w:spacing w:after="80" w:before="200"/>
      </w:pPr>
      <w:r>
        <w:rPr>
          <w:rFonts w:ascii="Arial" w:cs="Arial" w:eastAsia="Arial" w:hAnsi="Arial"/>
          <w:color w:val="888888"/>
          <w:sz w:val="18"/>
          <w:szCs w:val="18"/>
        </w:rPr>
        <w:t xml:space="preserve">LIQUIDITY &amp; CAPITAL MODELING SPECIFICATION · v1.2</w:t>
      </w:r>
    </w:p>
    <w:p>
      <w:pPr>
        <w:spacing w:after="80" w:before="0"/>
      </w:pPr>
      <w:r>
        <w:rPr>
          <w:rFonts w:ascii="Arial" w:cs="Arial" w:eastAsia="Arial" w:hAnsi="Arial"/>
          <w:b/>
          <w:bCs/>
          <w:color w:val="1F1F1F"/>
          <w:sz w:val="56"/>
          <w:szCs w:val="56"/>
        </w:rPr>
        <w:t xml:space="preserve">Minimum Required Liquidity</w:t>
      </w:r>
    </w:p>
    <w:p>
      <w:pPr>
        <w:spacing w:after="100" w:before="0"/>
      </w:pPr>
      <w:r>
        <w:rPr>
          <w:rFonts w:ascii="Arial" w:cs="Arial" w:eastAsia="Arial" w:hAnsi="Arial"/>
          <w:i/>
          <w:iCs/>
          <w:color w:val="555555"/>
          <w:sz w:val="22"/>
          <w:szCs w:val="22"/>
        </w:rPr>
        <w:t xml:space="preserve">The stochastic framework that turns the engine into a capital requirement system. v1.2 closes implementation defects identified in the v1.1 audit: terminology lockdown, stop-loss exposure rewrite, aggregate stop-loss inclusion, chronic flag ingestion, deprecation of deterministic funding margin. Companion to the Master Specification v3.3.</w:t>
      </w:r>
    </w:p>
    <w:p>
      <w:pPr>
        <w:pBdr>
          <w:bottom w:val="single" w:color="1F1F1F" w:sz="6" w:space="4"/>
        </w:pBdr>
        <w:spacing w:after="200" w:before="80"/>
      </w:pPr>
      <w:r>
        <w:t xml:space="preserve"/>
      </w:r>
    </w:p>
    <w:p>
      <w:pPr>
        <w:pStyle w:val="Heading2"/>
        <w:spacing w:after="120" w:before="280"/>
      </w:pPr>
      <w:r>
        <w:rPr>
          <w:rFonts w:ascii="Arial" w:cs="Arial" w:eastAsia="Arial" w:hAnsi="Arial"/>
          <w:b/>
          <w:bCs/>
          <w:color w:val="1F1F1F"/>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Claims Reclassification Engine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Version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 Package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Document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Liquidity &amp; Capital Modeling Specification</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Version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1.2</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 · supersedes v1.0 and v1.1</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Owner</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Omar Fernandez, CEO</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Audience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CTO, actuarial reviewer, stop-loss MGUs, CFOs reviewing OffPlan</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Companion Documents</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Master Specification v3.3, Data Dictionary v3.0, Architecture &amp; Security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Date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May 2026</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Classification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Confidential · Internal Use Only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v1.1 → v1.2 changes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Locked outflow terminology (Gross Event Cost / Gross Cash Outflow / Pre-Reimbursement Outflow / Net Event Cost / Net Drawdown); rewrote stop-loss exposure section to enforce gross-cash-outflow-during-lag rule; added aggregate stop-loss to MVP scope with defined modeling; added chronic flag ingestion path with ICD-10 mapping; added Mode 3 chronic concentration limitation; LOC default assumptions specified; reserve cap behavior in low-event periods specified.</w:t>
            </w:r>
          </w:p>
        </w:tc>
      </w:tr>
    </w:tbl>
    <w:p>
      <w:pPr>
        <w:pStyle w:val="Heading1"/>
        <w:spacing w:after="160" w:before="360"/>
      </w:pPr>
      <w:r>
        <w:rPr>
          <w:rFonts w:ascii="Arial" w:cs="Arial" w:eastAsia="Arial" w:hAnsi="Arial"/>
          <w:b/>
          <w:bCs/>
          <w:color w:val="1F1F1F"/>
          <w:sz w:val="36"/>
          <w:szCs w:val="36"/>
        </w:rPr>
        <w:t xml:space="preserve">Part 0 · Terminology Lockdown</w:t>
      </w:r>
    </w:p>
    <w:p>
      <w:pPr>
        <w:spacing w:after="80" w:before="80"/>
        <w:jc w:val="left"/>
      </w:pPr>
      <w:r>
        <w:rPr>
          <w:rFonts w:ascii="Arial" w:cs="Arial" w:eastAsia="Arial" w:hAnsi="Arial"/>
          <w:b/>
          <w:bCs/>
          <w:i w:val="false"/>
          <w:iCs w:val="false"/>
          <w:color w:val="1F1F1F"/>
          <w:sz w:val="22"/>
          <w:szCs w:val="22"/>
        </w:rPr>
        <w:t xml:space="preserve">v1.1 used the word 'gross' with two distinct meanings, creating implementation ambiguity. v1.2 locks the following five terms. These definitions are binding throughout this document, the Master Specification v3.3, the Data Dictionary v3.0, and any reference implementation. Any deviation in implementation is a defect, not an interpretation choice.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GROSS EVENT COST</w:t>
            </w:r>
          </w:p>
          <w:p>
            <w:pPr>
              <w:spacing w:after="0" w:before="0" w:line="240"/>
            </w:pPr>
            <w:r>
              <w:rPr>
                <w:rFonts w:ascii="Consolas" w:cs="Consolas" w:eastAsia="Consolas" w:hAnsi="Consolas"/>
                <w:b w:val="false"/>
                <w:bCs w:val="false"/>
                <w:i w:val="false"/>
                <w:iCs w:val="false"/>
                <w:color w:val="1F1F1F"/>
                <w:sz w:val="14"/>
                <w:szCs w:val="14"/>
              </w:rPr>
              <w:t xml:space="preserve">    The cost of an event before any indemnity offset and before any</w:t>
            </w:r>
          </w:p>
          <w:p>
            <w:pPr>
              <w:spacing w:after="0" w:before="0" w:line="240"/>
            </w:pPr>
            <w:r>
              <w:rPr>
                <w:rFonts w:ascii="Consolas" w:cs="Consolas" w:eastAsia="Consolas" w:hAnsi="Consolas"/>
                <w:b w:val="false"/>
                <w:bCs w:val="false"/>
                <w:i w:val="false"/>
                <w:iCs w:val="false"/>
                <w:color w:val="1F1F1F"/>
                <w:sz w:val="14"/>
                <w:szCs w:val="14"/>
              </w:rPr>
              <w:t xml:space="preserve">    stop-loss reimbursement.</w:t>
            </w:r>
          </w:p>
          <w:p>
            <w:pPr>
              <w:spacing w:after="0" w:before="0" w:line="240"/>
            </w:pPr>
            <w:r>
              <w:rPr>
                <w:rFonts w:ascii="Consolas" w:cs="Consolas" w:eastAsia="Consolas" w:hAnsi="Consolas"/>
                <w:b w:val="false"/>
                <w:bCs w:val="false"/>
                <w:i w:val="false"/>
                <w:iCs w:val="false"/>
                <w:color w:val="1F1F1F"/>
                <w:sz w:val="14"/>
                <w:szCs w:val="14"/>
              </w:rPr>
              <w:t xml:space="preserve">    Example: a $100,000 inpatient admission has Gross Event Cost = $100,000</w:t>
            </w:r>
          </w:p>
          <w:p>
            <w:pPr>
              <w:spacing w:after="0" w:before="0" w:line="240"/>
            </w:pPr>
            <w:r>
              <w:rPr>
                <w:rFonts w:ascii="Consolas" w:cs="Consolas" w:eastAsia="Consolas" w:hAnsi="Consolas"/>
                <w:b w:val="false"/>
                <w:bCs w:val="false"/>
                <w:i w:val="false"/>
                <w:iCs w:val="false"/>
                <w:color w:val="1F1F1F"/>
                <w:sz w:val="14"/>
                <w:szCs w:val="14"/>
              </w:rPr>
              <w:t xml:space="preserve">    regardless of indemnity benefits or stop-loss attachment.</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GROSS CASH OUTFLOW</w:t>
            </w:r>
          </w:p>
          <w:p>
            <w:pPr>
              <w:spacing w:after="0" w:before="0" w:line="240"/>
            </w:pPr>
            <w:r>
              <w:rPr>
                <w:rFonts w:ascii="Consolas" w:cs="Consolas" w:eastAsia="Consolas" w:hAnsi="Consolas"/>
                <w:b w:val="false"/>
                <w:bCs w:val="false"/>
                <w:i w:val="false"/>
                <w:iCs w:val="false"/>
                <w:color w:val="1F1F1F"/>
                <w:sz w:val="14"/>
                <w:szCs w:val="14"/>
              </w:rPr>
              <w:t xml:space="preserve">    The actual cash payment the employer makes to the provider at the</w:t>
            </w:r>
          </w:p>
          <w:p>
            <w:pPr>
              <w:spacing w:after="0" w:before="0" w:line="240"/>
            </w:pPr>
            <w:r>
              <w:rPr>
                <w:rFonts w:ascii="Consolas" w:cs="Consolas" w:eastAsia="Consolas" w:hAnsi="Consolas"/>
                <w:b w:val="false"/>
                <w:bCs w:val="false"/>
                <w:i w:val="false"/>
                <w:iCs w:val="false"/>
                <w:color w:val="1F1F1F"/>
                <w:sz w:val="14"/>
                <w:szCs w:val="14"/>
              </w:rPr>
              <w:t xml:space="preserve">    time of service. For most events this equals Gross Event Cost.</w:t>
            </w:r>
          </w:p>
          <w:p>
            <w:pPr>
              <w:spacing w:after="0" w:before="0" w:line="240"/>
            </w:pPr>
            <w:r>
              <w:rPr>
                <w:rFonts w:ascii="Consolas" w:cs="Consolas" w:eastAsia="Consolas" w:hAnsi="Consolas"/>
                <w:b w:val="false"/>
                <w:bCs w:val="false"/>
                <w:i w:val="false"/>
                <w:iCs w:val="false"/>
                <w:color w:val="1F1F1F"/>
                <w:sz w:val="14"/>
                <w:szCs w:val="14"/>
              </w:rPr>
              <w:t xml:space="preserve">    Differs from Gross Event Cost only when a third party pays the</w:t>
            </w:r>
          </w:p>
          <w:p>
            <w:pPr>
              <w:spacing w:after="0" w:before="0" w:line="240"/>
            </w:pPr>
            <w:r>
              <w:rPr>
                <w:rFonts w:ascii="Consolas" w:cs="Consolas" w:eastAsia="Consolas" w:hAnsi="Consolas"/>
                <w:b w:val="false"/>
                <w:bCs w:val="false"/>
                <w:i w:val="false"/>
                <w:iCs w:val="false"/>
                <w:color w:val="1F1F1F"/>
                <w:sz w:val="14"/>
                <w:szCs w:val="14"/>
              </w:rPr>
              <w:t xml:space="preserve">    provider directly (rare in self-funded contexts).</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PRE-REIMBURSEMENT OUTFLOW</w:t>
            </w:r>
          </w:p>
          <w:p>
            <w:pPr>
              <w:spacing w:after="0" w:before="0" w:line="240"/>
            </w:pPr>
            <w:r>
              <w:rPr>
                <w:rFonts w:ascii="Consolas" w:cs="Consolas" w:eastAsia="Consolas" w:hAnsi="Consolas"/>
                <w:b w:val="false"/>
                <w:bCs w:val="false"/>
                <w:i w:val="false"/>
                <w:iCs w:val="false"/>
                <w:color w:val="1F1F1F"/>
                <w:sz w:val="14"/>
                <w:szCs w:val="14"/>
              </w:rPr>
              <w:t xml:space="preserve">    Gross Cash Outflow before any stop-loss reimbursement is received.</w:t>
            </w:r>
          </w:p>
          <w:p>
            <w:pPr>
              <w:spacing w:after="0" w:before="0" w:line="240"/>
            </w:pPr>
            <w:r>
              <w:rPr>
                <w:rFonts w:ascii="Consolas" w:cs="Consolas" w:eastAsia="Consolas" w:hAnsi="Consolas"/>
                <w:b w:val="false"/>
                <w:bCs w:val="false"/>
                <w:i w:val="false"/>
                <w:iCs w:val="false"/>
                <w:color w:val="1F1F1F"/>
                <w:sz w:val="14"/>
                <w:szCs w:val="14"/>
              </w:rPr>
              <w:t xml:space="preserve">    This is the amount the employer's reserve must fund during the</w:t>
            </w:r>
          </w:p>
          <w:p>
            <w:pPr>
              <w:spacing w:after="0" w:before="0" w:line="240"/>
            </w:pPr>
            <w:r>
              <w:rPr>
                <w:rFonts w:ascii="Consolas" w:cs="Consolas" w:eastAsia="Consolas" w:hAnsi="Consolas"/>
                <w:b w:val="false"/>
                <w:bCs w:val="false"/>
                <w:i w:val="false"/>
                <w:iCs w:val="false"/>
                <w:color w:val="1F1F1F"/>
                <w:sz w:val="14"/>
                <w:szCs w:val="14"/>
              </w:rPr>
              <w:t xml:space="preserve">    stop-loss reimbursement lag period (typically 60 to 90 days).</w:t>
            </w:r>
          </w:p>
          <w:p>
            <w:pPr>
              <w:spacing w:after="0" w:before="0" w:line="240"/>
            </w:pPr>
            <w:r>
              <w:rPr>
                <w:rFonts w:ascii="Consolas" w:cs="Consolas" w:eastAsia="Consolas" w:hAnsi="Consolas"/>
                <w:b w:val="false"/>
                <w:bCs w:val="false"/>
                <w:i w:val="false"/>
                <w:iCs w:val="false"/>
                <w:color w:val="1F1F1F"/>
                <w:sz w:val="14"/>
                <w:szCs w:val="14"/>
              </w:rPr>
              <w:t xml:space="preserve">    Liquidity sizing is based on Pre-Reimbursement Outflow, NOT on</w:t>
            </w:r>
          </w:p>
          <w:p>
            <w:pPr>
              <w:spacing w:after="0" w:before="0" w:line="240"/>
            </w:pPr>
            <w:r>
              <w:rPr>
                <w:rFonts w:ascii="Consolas" w:cs="Consolas" w:eastAsia="Consolas" w:hAnsi="Consolas"/>
                <w:b w:val="false"/>
                <w:bCs w:val="false"/>
                <w:i w:val="false"/>
                <w:iCs w:val="false"/>
                <w:color w:val="1F1F1F"/>
                <w:sz w:val="14"/>
                <w:szCs w:val="14"/>
              </w:rPr>
              <w:t xml:space="preserve">    post-attachment net exposure.</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NET EVENT COST</w:t>
            </w:r>
          </w:p>
          <w:p>
            <w:pPr>
              <w:spacing w:after="0" w:before="0" w:line="240"/>
            </w:pPr>
            <w:r>
              <w:rPr>
                <w:rFonts w:ascii="Consolas" w:cs="Consolas" w:eastAsia="Consolas" w:hAnsi="Consolas"/>
                <w:b w:val="false"/>
                <w:bCs w:val="false"/>
                <w:i w:val="false"/>
                <w:iCs w:val="false"/>
                <w:color w:val="1F1F1F"/>
                <w:sz w:val="14"/>
                <w:szCs w:val="14"/>
              </w:rPr>
              <w:t xml:space="preserve">    Gross Event Cost minus indemnity payout minus eventual stop-loss</w:t>
            </w:r>
          </w:p>
          <w:p>
            <w:pPr>
              <w:spacing w:after="0" w:before="0" w:line="240"/>
            </w:pPr>
            <w:r>
              <w:rPr>
                <w:rFonts w:ascii="Consolas" w:cs="Consolas" w:eastAsia="Consolas" w:hAnsi="Consolas"/>
                <w:b w:val="false"/>
                <w:bCs w:val="false"/>
                <w:i w:val="false"/>
                <w:iCs w:val="false"/>
                <w:color w:val="1F1F1F"/>
                <w:sz w:val="14"/>
                <w:szCs w:val="14"/>
              </w:rPr>
              <w:t xml:space="preserve">    reimbursement (when received).</w:t>
            </w:r>
          </w:p>
          <w:p>
            <w:pPr>
              <w:spacing w:after="0" w:before="0" w:line="240"/>
            </w:pPr>
            <w:r>
              <w:rPr>
                <w:rFonts w:ascii="Consolas" w:cs="Consolas" w:eastAsia="Consolas" w:hAnsi="Consolas"/>
                <w:b w:val="false"/>
                <w:bCs w:val="false"/>
                <w:i w:val="false"/>
                <w:iCs w:val="false"/>
                <w:color w:val="1F1F1F"/>
                <w:sz w:val="14"/>
                <w:szCs w:val="14"/>
              </w:rPr>
              <w:t xml:space="preserve">    Net Event Cost = max( Gross Event Cost − indemnity − stop-loss , 0 )</w:t>
            </w:r>
          </w:p>
          <w:p>
            <w:pPr>
              <w:spacing w:after="0" w:before="0" w:line="240"/>
            </w:pPr>
            <w:r>
              <w:rPr>
                <w:rFonts w:ascii="Consolas" w:cs="Consolas" w:eastAsia="Consolas" w:hAnsi="Consolas"/>
                <w:b w:val="false"/>
                <w:bCs w:val="false"/>
                <w:i w:val="false"/>
                <w:iCs w:val="false"/>
                <w:color w:val="1F1F1F"/>
                <w:sz w:val="14"/>
                <w:szCs w:val="14"/>
              </w:rPr>
              <w:t xml:space="preserve">    This is the employer's final economic exposure after all offsets.</w:t>
            </w:r>
          </w:p>
          <w:p>
            <w:pPr>
              <w:spacing w:after="0" w:before="0" w:line="240"/>
            </w:pPr>
            <w:r>
              <w:rPr>
                <w:rFonts w:ascii="Consolas" w:cs="Consolas" w:eastAsia="Consolas" w:hAnsi="Consolas"/>
                <w:b w:val="false"/>
                <w:bCs w:val="false"/>
                <w:i w:val="false"/>
                <w:iCs w:val="false"/>
                <w:color w:val="1F1F1F"/>
                <w:sz w:val="14"/>
                <w:szCs w:val="14"/>
              </w:rPr>
              <w:t xml:space="preserve">    Used for run-rate / Expected Residual Spend calculations.</w:t>
            </w:r>
          </w:p>
          <w:p>
            <w:pPr>
              <w:spacing w:after="0" w:before="0" w:line="240"/>
            </w:pPr>
            <w:r>
              <w:rPr>
                <w:rFonts w:ascii="Consolas" w:cs="Consolas" w:eastAsia="Consolas" w:hAnsi="Consolas"/>
                <w:b w:val="false"/>
                <w:bCs w:val="false"/>
                <w:i w:val="false"/>
                <w:iCs w:val="false"/>
                <w:color w:val="1F1F1F"/>
                <w:sz w:val="14"/>
                <w:szCs w:val="14"/>
              </w:rPr>
              <w:t xml:space="preserve">    NOT used for liquidity sizing.</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NET DRAWDOWN</w:t>
            </w:r>
          </w:p>
          <w:p>
            <w:pPr>
              <w:spacing w:after="0" w:before="0" w:line="240"/>
            </w:pPr>
            <w:r>
              <w:rPr>
                <w:rFonts w:ascii="Consolas" w:cs="Consolas" w:eastAsia="Consolas" w:hAnsi="Consolas"/>
                <w:b w:val="false"/>
                <w:bCs w:val="false"/>
                <w:i w:val="false"/>
                <w:iCs w:val="false"/>
                <w:color w:val="1F1F1F"/>
                <w:sz w:val="14"/>
                <w:szCs w:val="14"/>
              </w:rPr>
              <w:t xml:space="preserve">    Within a rolling window:</w:t>
            </w:r>
          </w:p>
          <w:p>
            <w:pPr>
              <w:spacing w:after="0" w:before="0" w:line="240"/>
            </w:pPr>
            <w:r>
              <w:rPr>
                <w:rFonts w:ascii="Consolas" w:cs="Consolas" w:eastAsia="Consolas" w:hAnsi="Consolas"/>
                <w:b w:val="false"/>
                <w:bCs w:val="false"/>
                <w:i w:val="false"/>
                <w:iCs w:val="false"/>
                <w:color w:val="1F1F1F"/>
                <w:sz w:val="14"/>
                <w:szCs w:val="14"/>
              </w:rPr>
              <w:t xml:space="preserve">    Net Drawdown = Pre-Reimbursement Outflows in window</w:t>
            </w:r>
          </w:p>
          <w:p>
            <w:pPr>
              <w:spacing w:after="0" w:before="0" w:line="240"/>
            </w:pPr>
            <w:r>
              <w:rPr>
                <w:rFonts w:ascii="Consolas" w:cs="Consolas" w:eastAsia="Consolas" w:hAnsi="Consolas"/>
                <w:b w:val="false"/>
                <w:bCs w:val="false"/>
                <w:i w:val="false"/>
                <w:iCs w:val="false"/>
                <w:color w:val="1F1F1F"/>
                <w:sz w:val="14"/>
                <w:szCs w:val="14"/>
              </w:rPr>
              <w:t xml:space="preserve">                   − Replenishment inflows in window</w:t>
            </w:r>
          </w:p>
          <w:p>
            <w:pPr>
              <w:spacing w:after="0" w:before="0" w:line="240"/>
            </w:pPr>
            <w:r>
              <w:rPr>
                <w:rFonts w:ascii="Consolas" w:cs="Consolas" w:eastAsia="Consolas" w:hAnsi="Consolas"/>
                <w:b w:val="false"/>
                <w:bCs w:val="false"/>
                <w:i w:val="false"/>
                <w:iCs w:val="false"/>
                <w:color w:val="1F1F1F"/>
                <w:sz w:val="14"/>
                <w:szCs w:val="14"/>
              </w:rPr>
              <w:t xml:space="preserve">                   − Reimbursements actually received in window</w:t>
            </w:r>
          </w:p>
          <w:p>
            <w:pPr>
              <w:spacing w:after="0" w:before="0" w:line="240"/>
            </w:pPr>
            <w:r>
              <w:rPr>
                <w:rFonts w:ascii="Consolas" w:cs="Consolas" w:eastAsia="Consolas" w:hAnsi="Consolas"/>
                <w:b w:val="false"/>
                <w:bCs w:val="false"/>
                <w:i w:val="false"/>
                <w:iCs w:val="false"/>
                <w:color w:val="1F1F1F"/>
                <w:sz w:val="14"/>
                <w:szCs w:val="14"/>
              </w:rPr>
              <w:t xml:space="preserve">    Note: only reimbursements RECEIVED in the window count, not</w:t>
            </w:r>
          </w:p>
          <w:p>
            <w:pPr>
              <w:spacing w:after="0" w:before="0" w:line="240"/>
            </w:pPr>
            <w:r>
              <w:rPr>
                <w:rFonts w:ascii="Consolas" w:cs="Consolas" w:eastAsia="Consolas" w:hAnsi="Consolas"/>
                <w:b w:val="false"/>
                <w:bCs w:val="false"/>
                <w:i w:val="false"/>
                <w:iCs w:val="false"/>
                <w:color w:val="1F1F1F"/>
                <w:sz w:val="14"/>
                <w:szCs w:val="14"/>
              </w:rPr>
              <w:t xml:space="preserve">    reimbursements that will eventually arrive.</w:t>
            </w:r>
          </w:p>
          <w:p>
            <w:pPr>
              <w:spacing w:after="0" w:before="0" w:line="240"/>
            </w:pPr>
            <w:r>
              <w:rPr>
                <w:rFonts w:ascii="Consolas" w:cs="Consolas" w:eastAsia="Consolas" w:hAnsi="Consolas"/>
                <w:b w:val="false"/>
                <w:bCs w:val="false"/>
                <w:i w:val="false"/>
                <w:iCs w:val="false"/>
                <w:color w:val="1F1F1F"/>
                <w:sz w:val="14"/>
                <w:szCs w:val="14"/>
              </w:rPr>
              <w:t xml:space="preserve">    Minimum Required Liquidity = P95 of max rolling 30-day Net Drawdown</w:t>
            </w:r>
          </w:p>
          <w:p>
            <w:pPr>
              <w:spacing w:after="0" w:before="0" w:line="240"/>
            </w:pPr>
            <w:r>
              <w:rPr>
                <w:rFonts w:ascii="Consolas" w:cs="Consolas" w:eastAsia="Consolas" w:hAnsi="Consolas"/>
                <w:b w:val="false"/>
                <w:bCs w:val="false"/>
                <w:i w:val="false"/>
                <w:iCs w:val="false"/>
                <w:color w:val="1F1F1F"/>
                <w:sz w:val="14"/>
                <w:szCs w:val="14"/>
              </w:rPr>
              <w:t xml:space="preserve">    per simulation run.</w:t>
            </w:r>
          </w:p>
        </w:tc>
      </w:tr>
    </w:tbl>
    <w:p>
      <w:pPr>
        <w:pStyle w:val="Heading2"/>
        <w:spacing w:after="120" w:before="280"/>
      </w:pPr>
      <w:r>
        <w:rPr>
          <w:rFonts w:ascii="Arial" w:cs="Arial" w:eastAsia="Arial" w:hAnsi="Arial"/>
          <w:b/>
          <w:bCs/>
          <w:color w:val="1F1F1F"/>
          <w:sz w:val="28"/>
          <w:szCs w:val="28"/>
        </w:rPr>
        <w:t xml:space="preserve">Application Rules</w:t>
      </w:r>
    </w:p>
    <w:p>
      <w:pPr>
        <w:spacing w:after="80" w:before="80"/>
        <w:jc w:val="left"/>
      </w:pPr>
      <w:r>
        <w:rPr>
          <w:rFonts w:ascii="Arial" w:cs="Arial" w:eastAsia="Arial" w:hAnsi="Arial"/>
          <w:b w:val="false"/>
          <w:bCs w:val="false"/>
          <w:i w:val="false"/>
          <w:iCs w:val="false"/>
          <w:color w:val="1F1F1F"/>
          <w:sz w:val="22"/>
          <w:szCs w:val="22"/>
        </w:rPr>
        <w:t xml:space="preserve">These two rules eliminate the v1.1 ambiguity:</w:t>
      </w:r>
    </w:p>
    <w:p>
      <w:pPr>
        <w:spacing w:after="80" w:before="80"/>
      </w:pPr>
      <w:r>
        <w:t xml:space="preserve"/>
      </w:r>
    </w:p>
    <w:p>
      <w:pPr>
        <w:pStyle w:val="ListParagraph"/>
        <w:numPr>
          <w:ilvl w:val="0"/>
          <w:numId w:val="2"/>
        </w:numPr>
        <w:spacing w:after="30" w:before="30"/>
      </w:pPr>
      <w:r>
        <w:rPr>
          <w:rFonts w:ascii="Arial" w:cs="Arial" w:eastAsia="Arial" w:hAnsi="Arial"/>
          <w:color w:val="1F1F1F"/>
          <w:sz w:val="22"/>
          <w:szCs w:val="22"/>
        </w:rPr>
        <w:t xml:space="preserve">Stop-loss reimbursement lag affects Pre-Reimbursement Outflow. The reimbursement does not arrive until the lag period ends; until it arrives, it does not reduce the employer's required liquidity.</w:t>
      </w:r>
    </w:p>
    <w:p>
      <w:pPr>
        <w:pStyle w:val="ListParagraph"/>
        <w:numPr>
          <w:ilvl w:val="0"/>
          <w:numId w:val="2"/>
        </w:numPr>
        <w:spacing w:after="30" w:before="30"/>
      </w:pPr>
      <w:r>
        <w:rPr>
          <w:rFonts w:ascii="Arial" w:cs="Arial" w:eastAsia="Arial" w:hAnsi="Arial"/>
          <w:color w:val="1F1F1F"/>
          <w:sz w:val="22"/>
          <w:szCs w:val="22"/>
        </w:rPr>
        <w:t xml:space="preserve">Replenishment affects Net Drawdown. Replenishment inflows offset outflows within a rolling window only when the replenishment occurs within that window.</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Anywhere v1.1 used the word 'gross' without qualification, v1.2 uses one of these specific terms. The word 'gross' alone is not used in normative passages.</w:t>
      </w:r>
    </w:p>
    <w:p>
      <w:pPr>
        <w:pStyle w:val="Heading1"/>
        <w:spacing w:after="160" w:before="360"/>
      </w:pPr>
      <w:r>
        <w:rPr>
          <w:rFonts w:ascii="Arial" w:cs="Arial" w:eastAsia="Arial" w:hAnsi="Arial"/>
          <w:b/>
          <w:bCs/>
          <w:color w:val="1F1F1F"/>
          <w:sz w:val="36"/>
          <w:szCs w:val="36"/>
        </w:rPr>
        <w:t xml:space="preserve">Part I · The Conceptual Upgrade</w:t>
      </w:r>
    </w:p>
    <w:p>
      <w:pPr>
        <w:pStyle w:val="Heading2"/>
        <w:spacing w:after="120" w:before="280"/>
      </w:pPr>
      <w:r>
        <w:rPr>
          <w:rFonts w:ascii="Arial" w:cs="Arial" w:eastAsia="Arial" w:hAnsi="Arial"/>
          <w:b/>
          <w:bCs/>
          <w:color w:val="1F1F1F"/>
          <w:sz w:val="28"/>
          <w:szCs w:val="28"/>
        </w:rPr>
        <w:t xml:space="preserve">1. The Gap</w:t>
      </w:r>
    </w:p>
    <w:p>
      <w:pPr>
        <w:spacing w:after="80" w:before="80"/>
        <w:jc w:val="left"/>
      </w:pPr>
      <w:r>
        <w:rPr>
          <w:rFonts w:ascii="Arial" w:cs="Arial" w:eastAsia="Arial" w:hAnsi="Arial"/>
          <w:b w:val="false"/>
          <w:bCs w:val="false"/>
          <w:i w:val="false"/>
          <w:iCs w:val="false"/>
          <w:color w:val="1F1F1F"/>
          <w:sz w:val="22"/>
          <w:szCs w:val="22"/>
        </w:rPr>
        <w:t xml:space="preserve">The v3.0 engine answers a classification question: what should employer healthcare spend look like under the OffPlan model? It produces averages: expected reclassified spend, expected residual fund, expected savings.</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Averages are the wrong unit for capital adequacy. A CFO does not fund the average month. A CFO funds the worst month they are willing to plan for. The traditional self-funded world solves this by overfunding: pre-load the year's expected claims plus a margin, regardless of timing. That is exactly the inefficiency OffPlan exists to eliminate.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Arial" w:cs="Arial" w:eastAsia="Arial" w:hAnsi="Arial"/>
                <w:b/>
                <w:bCs/>
                <w:i/>
                <w:iCs/>
                <w:color w:val="1F1F1F"/>
                <w:sz w:val="24"/>
                <w:szCs w:val="24"/>
              </w:rPr>
              <w:t xml:space="preserve">OffPlan's commercial pitch is structurally broken if we cannot prove that the liquidity required to operate under our model is materially lower than the cash a self-funded employer must hold today. Proving that requires distributions, not averages.</w:t>
            </w:r>
          </w:p>
        </w:tc>
      </w:tr>
    </w:tbl>
    <w:p>
      <w:pPr>
        <w:pStyle w:val="Heading2"/>
        <w:spacing w:after="120" w:before="280"/>
      </w:pPr>
      <w:r>
        <w:rPr>
          <w:rFonts w:ascii="Arial" w:cs="Arial" w:eastAsia="Arial" w:hAnsi="Arial"/>
          <w:b/>
          <w:bCs/>
          <w:color w:val="1F1F1F"/>
          <w:sz w:val="28"/>
          <w:szCs w:val="28"/>
        </w:rPr>
        <w:t xml:space="preserve">2. The Two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Deterministic Question (v3.0)</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Stochastic Question (v3.2)</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What should the annual spend look like?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How much cash must exist on hand at the worst point in any 30-day window?</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What is the residual claims fund (PEPM, annualized)?</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is the Minimum Required Liquidity (P95 of max rolling 30-day net drawdown)?</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What is the expected savings vs current spend?</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is the Capital Efficiency Ratio (CER) vs traditional level-funded?</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Output: a single point estimate.</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Output: distribution with confidence bands (P50–P99), plus LCR, SCR, CER.</w:t>
            </w:r>
          </w:p>
        </w:tc>
      </w:tr>
    </w:tbl>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Both questions matter. The first tells the employer the run-rate economics. The second tells the employer how much capital they actually need to deploy. The engine must produce both, side by side, on every output.</w:t>
      </w:r>
    </w:p>
    <w:p>
      <w:pPr>
        <w:pStyle w:val="Heading2"/>
        <w:spacing w:after="120" w:before="280"/>
      </w:pPr>
      <w:r>
        <w:rPr>
          <w:rFonts w:ascii="Arial" w:cs="Arial" w:eastAsia="Arial" w:hAnsi="Arial"/>
          <w:b/>
          <w:bCs/>
          <w:color w:val="1F1F1F"/>
          <w:sz w:val="28"/>
          <w:szCs w:val="28"/>
        </w:rPr>
        <w:t xml:space="preserve">3. The Required Output Structure</w:t>
      </w:r>
    </w:p>
    <w:p>
      <w:pPr>
        <w:spacing w:after="80" w:before="80"/>
        <w:jc w:val="left"/>
      </w:pPr>
      <w:r>
        <w:rPr>
          <w:rFonts w:ascii="Arial" w:cs="Arial" w:eastAsia="Arial" w:hAnsi="Arial"/>
          <w:b w:val="false"/>
          <w:bCs w:val="false"/>
          <w:i w:val="false"/>
          <w:iCs w:val="false"/>
          <w:color w:val="1F1F1F"/>
          <w:sz w:val="22"/>
          <w:szCs w:val="22"/>
        </w:rPr>
        <w:t xml:space="preserve">The engine's terminal output is a two-block structure. The Executive Summary block is the story; the Liquidity Profile block is the justification.</w:t>
      </w:r>
    </w:p>
    <w:p>
      <w:pPr>
        <w:pStyle w:val="Heading3"/>
        <w:spacing w:after="80" w:before="200"/>
      </w:pPr>
      <w:r>
        <w:rPr>
          <w:rFonts w:ascii="Arial" w:cs="Arial" w:eastAsia="Arial" w:hAnsi="Arial"/>
          <w:b/>
          <w:bCs/>
          <w:color w:val="1F1F1F"/>
          <w:sz w:val="24"/>
          <w:szCs w:val="24"/>
        </w:rPr>
        <w:t xml:space="preserve">3.1 Executive Summary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400"/>
        <w:gridCol w:w="2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4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Definition</w:t>
            </w:r>
          </w:p>
        </w:tc>
        <w:tc>
          <w:tcPr>
            <w:tcW w:type="dxa" w:w="2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Example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Equivalent Level-Funded Total Cost</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the employer would pre-fund under a traditional level-funded plan, total-to-total (claims pool + stop-loss premium + admin + margin)</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$300 PEPM</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Expected Residual Spend (PEPM)</w:t>
            </w:r>
          </w:p>
        </w:tc>
        <w:tc>
          <w:tcPr>
            <w:tcW w:type="dxa" w:w="4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Run-rate of non-OffPlan events; mean monthly outflow expressed PEPM</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$85 PEPM</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Minimum Required Liquidity</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P95 of max rolling 30-day net drawdown across simulated runs (the cash buffer the employer must hold)</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PEPM equivalent</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Capital Efficiency Ratio (CER)</w:t>
            </w:r>
          </w:p>
        </w:tc>
        <w:tc>
          <w:tcPr>
            <w:tcW w:type="dxa" w:w="4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Equivalent Level-Funded Total Cost / Minimum Required Liquidity</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2.6x</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Reduction</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(Equivalent Level-Funded Total Cost − Minimum Required Liquidity) / Equivalent Level-Funded Total Cost</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−62%</w:t>
            </w:r>
          </w:p>
        </w:tc>
      </w:tr>
    </w:tbl>
    <w:p>
      <w:pPr>
        <w:pStyle w:val="Heading3"/>
        <w:spacing w:after="80" w:before="200"/>
      </w:pPr>
      <w:r>
        <w:rPr>
          <w:rFonts w:ascii="Arial" w:cs="Arial" w:eastAsia="Arial" w:hAnsi="Arial"/>
          <w:b/>
          <w:bCs/>
          <w:color w:val="1F1F1F"/>
          <w:sz w:val="24"/>
          <w:szCs w:val="24"/>
        </w:rPr>
        <w:t xml:space="preserve">3.2 Liquidity Profile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400"/>
        <w:gridCol w:w="2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4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Definition</w:t>
            </w:r>
          </w:p>
        </w:tc>
        <w:tc>
          <w:tcPr>
            <w:tcW w:type="dxa" w:w="2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Example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Mean Monthly Outflow</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Mean of rolling 30-day net outflows across all simulation runs</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$4,250</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P50 / P75 / P90 / P95 / P99</w:t>
            </w:r>
          </w:p>
        </w:tc>
        <w:tc>
          <w:tcPr>
            <w:tcW w:type="dxa" w:w="4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Percentile of the maximum rolling 30-day net drawdown observed in each simulation run</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$8K / $12K / $18K / $22K / $35K</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Coverage Ratio (LCR)</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Minimum Required Liquidity / Mean Monthly Outflow</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3.2x</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Stress Coverage Ratio (SCR)</w:t>
            </w:r>
          </w:p>
        </w:tc>
        <w:tc>
          <w:tcPr>
            <w:tcW w:type="dxa" w:w="4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Minimum Required Liquidity / P75 Monthly Outflow</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1.8x</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Rolling window assumption</w:t>
            </w:r>
          </w:p>
        </w:tc>
        <w:tc>
          <w:tcPr>
            <w:tcW w:type="dxa" w:w="4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Default 30-day; supplementary calendar-month and 60-day available</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30-day</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The two blocks tell different audiences different things. The Executive Summary block answers the CFO's first question (how much capital, how much vs traditional). The Liquidity Profile block answers the MGU's diligence question (how was that capital number derived, what's the variance, what's the conservatism level).</w:t>
      </w:r>
    </w:p>
    <w:p>
      <w:pPr>
        <w:pStyle w:val="Heading3"/>
        <w:spacing w:after="80" w:before="200"/>
      </w:pPr>
      <w:r>
        <w:rPr>
          <w:rFonts w:ascii="Arial" w:cs="Arial" w:eastAsia="Arial" w:hAnsi="Arial"/>
          <w:b/>
          <w:bCs/>
          <w:color w:val="1F1F1F"/>
          <w:sz w:val="24"/>
          <w:szCs w:val="24"/>
        </w:rPr>
        <w:t xml:space="preserve">3.3 The CER and Liquidity Reduction Pairing</w:t>
      </w:r>
    </w:p>
    <w:p>
      <w:pPr>
        <w:spacing w:after="80" w:before="80"/>
        <w:jc w:val="left"/>
      </w:pPr>
      <w:r>
        <w:rPr>
          <w:rFonts w:ascii="Arial" w:cs="Arial" w:eastAsia="Arial" w:hAnsi="Arial"/>
          <w:b w:val="false"/>
          <w:bCs w:val="false"/>
          <w:i w:val="false"/>
          <w:iCs w:val="false"/>
          <w:color w:val="1F1F1F"/>
          <w:sz w:val="22"/>
          <w:szCs w:val="22"/>
        </w:rPr>
        <w:t xml:space="preserve">Capital Efficiency Ratio and Liquidity Reduction express the same underlying truth two ways. Both appear in every output because different audiences anchor on different formats.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8"/>
                <w:szCs w:val="18"/>
              </w:rPr>
              <w:t xml:space="preserve">CER  =  Equivalent Level-Funded Total Cost  /  Minimum Required Liquidity</w:t>
            </w:r>
          </w:p>
          <w:p>
            <w:pPr>
              <w:spacing w:after="0" w:before="0" w:line="240"/>
            </w:pPr>
            <w:r>
              <w:rPr>
                <w:rFonts w:ascii="Consolas" w:cs="Consolas" w:eastAsia="Consolas" w:hAnsi="Consolas"/>
                <w:b w:val="false"/>
                <w:bCs w:val="false"/>
                <w:i w:val="false"/>
                <w:iCs w:val="false"/>
                <w:color w:val="1F1F1F"/>
                <w:sz w:val="18"/>
                <w:szCs w:val="18"/>
              </w:rPr>
              <w:t xml:space="preserve">Liquidity Reduction  =  (Equivalent Level-Funded Total Cost  −  Minimum Required Liquidity)  /  Equivalent Level-Funded Total Cost</w:t>
            </w:r>
          </w:p>
          <w:p>
            <w:pPr>
              <w:spacing w:after="0" w:before="0" w:line="240"/>
            </w:pPr>
            <w:r>
              <w:rPr>
                <w:rFonts w:ascii="Consolas" w:cs="Consolas" w:eastAsia="Consolas" w:hAnsi="Consolas"/>
                <w:b w:val="false"/>
                <w:bCs w:val="false"/>
                <w:i w:val="false"/>
                <w:iCs w:val="false"/>
                <w:color w:val="1F1F1F"/>
                <w:sz w:val="18"/>
                <w:szCs w:val="18"/>
              </w:rPr>
              <w:t xml:space="preserve"> </w:t>
            </w:r>
          </w:p>
          <w:p>
            <w:pPr>
              <w:spacing w:after="0" w:before="0" w:line="240"/>
            </w:pPr>
            <w:r>
              <w:rPr>
                <w:rFonts w:ascii="Consolas" w:cs="Consolas" w:eastAsia="Consolas" w:hAnsi="Consolas"/>
                <w:b w:val="false"/>
                <w:bCs w:val="false"/>
                <w:i w:val="false"/>
                <w:iCs w:val="false"/>
                <w:color w:val="1F1F1F"/>
                <w:sz w:val="18"/>
                <w:szCs w:val="18"/>
              </w:rPr>
              <w:t xml:space="preserve">Equivalence:  CER = 1 / (1 − Liquidity Reduction)</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CER is the multiplier framing — 'OffPlan requires N.Nx less capital.' Liquidity Reduction is the percentage framing — 'OffPlan reduces required capital by N%.' Boards anchor on multipliers; CFO ledgers anchor on percentages. Display both.</w:t>
      </w:r>
    </w:p>
    <w:p>
      <w:pPr>
        <w:pStyle w:val="Heading1"/>
        <w:spacing w:after="160" w:before="360"/>
      </w:pPr>
      <w:r>
        <w:rPr>
          <w:rFonts w:ascii="Arial" w:cs="Arial" w:eastAsia="Arial" w:hAnsi="Arial"/>
          <w:b/>
          <w:bCs/>
          <w:color w:val="1F1F1F"/>
          <w:sz w:val="36"/>
          <w:szCs w:val="36"/>
        </w:rPr>
        <w:t xml:space="preserve">Part II · Distributional Assumptions</w:t>
      </w:r>
    </w:p>
    <w:p>
      <w:pPr>
        <w:spacing w:after="80" w:before="80"/>
        <w:jc w:val="left"/>
      </w:pPr>
      <w:r>
        <w:rPr>
          <w:rFonts w:ascii="Arial" w:cs="Arial" w:eastAsia="Arial" w:hAnsi="Arial"/>
          <w:b w:val="false"/>
          <w:bCs w:val="false"/>
          <w:i w:val="false"/>
          <w:iCs w:val="false"/>
          <w:color w:val="1F1F1F"/>
          <w:sz w:val="22"/>
          <w:szCs w:val="22"/>
        </w:rPr>
        <w:t xml:space="preserve">Every cost-generating event under OffPlan must be modeled as a distribution: a frequency distribution (how often the event occurs in a covered population) and a cost distribution (the magnitude when it does). Means alone are insufficient and produce systematic underestimates of capital requirements.</w:t>
      </w:r>
    </w:p>
    <w:p>
      <w:pPr>
        <w:pStyle w:val="Heading2"/>
        <w:spacing w:after="120" w:before="280"/>
      </w:pPr>
      <w:r>
        <w:rPr>
          <w:rFonts w:ascii="Arial" w:cs="Arial" w:eastAsia="Arial" w:hAnsi="Arial"/>
          <w:b/>
          <w:bCs/>
          <w:color w:val="1F1F1F"/>
          <w:sz w:val="28"/>
          <w:szCs w:val="28"/>
        </w:rPr>
        <w:t xml:space="preserve">4. Event Catalog</w:t>
      </w:r>
    </w:p>
    <w:p>
      <w:pPr>
        <w:spacing w:after="80" w:before="80"/>
        <w:jc w:val="left"/>
      </w:pPr>
      <w:r>
        <w:rPr>
          <w:rFonts w:ascii="Arial" w:cs="Arial" w:eastAsia="Arial" w:hAnsi="Arial"/>
          <w:b w:val="false"/>
          <w:bCs w:val="false"/>
          <w:i w:val="false"/>
          <w:iCs w:val="false"/>
          <w:color w:val="1F1F1F"/>
          <w:sz w:val="22"/>
          <w:szCs w:val="22"/>
        </w:rPr>
        <w:t xml:space="preserve">The simulator operates on a catalog of event tiers. Each tier carries: frequency distribution, cost distribution, complication probability (within-member sequential clustering), complication lag distribution, and chronic flare window. New tiers may be added as benchmark data improves; existing tier parameters are version-controlled per Data Dictionary v3.0 versioning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40"/>
        <w:gridCol w:w="2400"/>
        <w:gridCol w:w="2200"/>
        <w:gridCol w:w="1520"/>
      </w:tblGrid>
      <w:tr>
        <w:trPr>
          <w:tblHeader/>
        </w:trPr>
        <w:tc>
          <w:tcPr>
            <w:tcW w:type="dxa" w:w="6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Tier</w:t>
            </w:r>
          </w:p>
        </w:tc>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 Type</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Frequency</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Cost</w:t>
            </w:r>
          </w:p>
        </w:tc>
        <w:tc>
          <w:tcPr>
            <w:tcW w:type="dxa" w:w="15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 Mean Cost</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Primary care visit</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Poisson(λ per member-year)</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Negligible · DPC absorbs</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$0 (DPC)</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2</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Specialty consult</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low σ</w:t>
            </w:r>
          </w:p>
        </w:tc>
        <w:tc>
          <w:tcPr>
            <w:tcW w:type="dxa" w:w="1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$250</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3</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Lab</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low σ</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$80</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4</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Imaging (advanced)</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medium σ</w:t>
            </w:r>
          </w:p>
        </w:tc>
        <w:tc>
          <w:tcPr>
            <w:tcW w:type="dxa" w:w="1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$650</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5</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ASC outpatient procedure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medium σ</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$3,200</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6</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ER visit (low-acuity)</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low σ</w:t>
            </w:r>
          </w:p>
        </w:tc>
        <w:tc>
          <w:tcPr>
            <w:tcW w:type="dxa" w:w="1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$1,800</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7</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ER visit (high-acuity)</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Poisson with chronic boost</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 high σ</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$6,500</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8</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Inpatient admission</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Negative Binomial w/ chronic</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Heavy-tail (Pareto + log-normal)</w:t>
            </w:r>
          </w:p>
        </w:tc>
        <w:tc>
          <w:tcPr>
            <w:tcW w:type="dxa" w:w="1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$28,000</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9</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Inpatient catastrophic</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Rare-event Poisson</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Heavy-tail Pareto</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$180,000</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10</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Specialty Rx</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Bernoulli per member</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Constant + monthly recurrence</w:t>
            </w:r>
          </w:p>
        </w:tc>
        <w:tc>
          <w:tcPr>
            <w:tcW w:type="dxa" w:w="1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$3,500/mo</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11</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Maternity / NICU</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Bernoulli with annual cap</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Bimodal (routine vs NICU)</w:t>
            </w:r>
          </w:p>
        </w:tc>
        <w:tc>
          <w:tcPr>
            <w:tcW w:type="dxa" w:w="1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$12K / $250K</w:t>
            </w:r>
          </w:p>
        </w:tc>
      </w:tr>
    </w:tbl>
    <w:p>
      <w:pPr>
        <w:pStyle w:val="Heading3"/>
        <w:spacing w:after="80" w:before="200"/>
      </w:pPr>
      <w:r>
        <w:rPr>
          <w:rFonts w:ascii="Arial" w:cs="Arial" w:eastAsia="Arial" w:hAnsi="Arial"/>
          <w:b/>
          <w:bCs/>
          <w:color w:val="1F1F1F"/>
          <w:sz w:val="24"/>
          <w:szCs w:val="24"/>
        </w:rPr>
        <w:t xml:space="preserve">4.1 Per-Tier Clustering Parameters (NEW in v1.1)</w:t>
      </w:r>
    </w:p>
    <w:p>
      <w:pPr>
        <w:spacing w:after="80" w:before="80"/>
        <w:jc w:val="left"/>
      </w:pPr>
      <w:r>
        <w:rPr>
          <w:rFonts w:ascii="Arial" w:cs="Arial" w:eastAsia="Arial" w:hAnsi="Arial"/>
          <w:b w:val="false"/>
          <w:bCs w:val="false"/>
          <w:i w:val="false"/>
          <w:iCs w:val="false"/>
          <w:color w:val="1F1F1F"/>
          <w:sz w:val="22"/>
          <w:szCs w:val="22"/>
        </w:rPr>
        <w:t xml:space="preserve">Each tier additionally carries three parameters that control within-member sequential clustering and chronic flare behavior: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40"/>
        <w:gridCol w:w="3120"/>
      </w:tblGrid>
      <w:tr>
        <w:trPr>
          <w:tblHeader/>
        </w:trPr>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Parameter</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24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 by Tier (illustrative)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complication_probability</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 0–1</w:t>
            </w:r>
          </w:p>
        </w:tc>
        <w:tc>
          <w:tcPr>
            <w:tcW w:type="dxa" w:w="24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Probability that an event triggers a follow-on event within the lag window</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T1–4: 0.00 · T5: 0.04 · T6: 0.06 · T7: 0.10 · T8: 0.18 · T9: 0.25</w:t>
            </w:r>
          </w:p>
        </w:tc>
      </w:tr>
      <w:tr>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complication_lag_days_distribution</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log-normal</w:t>
            </w:r>
          </w:p>
        </w:tc>
        <w:tc>
          <w:tcPr>
            <w:tcW w:type="dxa" w:w="24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Distribution of lag days from index event to follow-on event</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T5: μ=21,σ=0.5 · T6: μ=14,σ=0.6 · T7: μ=10,σ=0.7 · T8: μ=21,σ=0.8 · T9: μ=30,σ=0.9</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flare_window_days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24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Window in which chronic-flagged members may experience clustered events of this tier</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Chronic tiers (3,4,7,8): 60 · Others: not applicable</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Tier 8 (inpatient admission) defaults illustrate the impact: an 18% complication probability with median lag of 21 days means roughly 1 in 6 inpatient admissions triggers a follow-on event (readmission, post-op infection, surgical complication) within ~21 days. Without modeling this, P95 in chronic-heavy populations is understated by 6 to 10%.</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Defaults are illustrative; actual values are calibrated against published actuarial benchmarks (SOA, Milliman) and stored in event_tier_versions per the standard versioning workflow.</w:t>
      </w:r>
    </w:p>
    <w:p>
      <w:pPr>
        <w:spacing w:after="80" w:before="80"/>
        <w:jc w:val="left"/>
      </w:pPr>
      <w:r>
        <w:rPr>
          <w:rFonts w:ascii="Arial" w:cs="Arial" w:eastAsia="Arial" w:hAnsi="Arial"/>
          <w:b w:val="false"/>
          <w:bCs w:val="false"/>
          <w:i/>
          <w:iCs/>
          <w:color w:val="1F1F1F"/>
          <w:sz w:val="22"/>
          <w:szCs w:val="22"/>
        </w:rPr>
        <w:t xml:space="preserve">The catalog is defined as data, not code. Each tier is a row in event_tier_versions with frequency, cost, and clustering parameters that admins can update. New versions follow the same draft → active → archived workflow defined in Data Dictionary v2.0.</w:t>
      </w:r>
    </w:p>
    <w:p>
      <w:pPr>
        <w:pStyle w:val="Heading2"/>
        <w:spacing w:after="120" w:before="280"/>
      </w:pPr>
      <w:r>
        <w:rPr>
          <w:rFonts w:ascii="Arial" w:cs="Arial" w:eastAsia="Arial" w:hAnsi="Arial"/>
          <w:b/>
          <w:bCs/>
          <w:color w:val="1F1F1F"/>
          <w:sz w:val="28"/>
          <w:szCs w:val="28"/>
        </w:rPr>
        <w:t xml:space="preserve">5. Distribution Specifications</w:t>
      </w:r>
    </w:p>
    <w:p>
      <w:pPr>
        <w:pStyle w:val="Heading3"/>
        <w:spacing w:after="80" w:before="200"/>
      </w:pPr>
      <w:r>
        <w:rPr>
          <w:rFonts w:ascii="Arial" w:cs="Arial" w:eastAsia="Arial" w:hAnsi="Arial"/>
          <w:b/>
          <w:bCs/>
          <w:color w:val="1F1F1F"/>
          <w:sz w:val="24"/>
          <w:szCs w:val="24"/>
        </w:rPr>
        <w:t xml:space="preserve">5.1 Frequency</w:t>
      </w:r>
    </w:p>
    <w:p>
      <w:pPr>
        <w:spacing w:after="80" w:before="80"/>
        <w:jc w:val="left"/>
      </w:pPr>
      <w:r>
        <w:rPr>
          <w:rFonts w:ascii="Arial" w:cs="Arial" w:eastAsia="Arial" w:hAnsi="Arial"/>
          <w:b w:val="false"/>
          <w:bCs w:val="false"/>
          <w:i w:val="false"/>
          <w:iCs w:val="false"/>
          <w:color w:val="1F1F1F"/>
          <w:sz w:val="22"/>
          <w:szCs w:val="22"/>
        </w:rPr>
        <w:t xml:space="preserve">Annual event count for a covered member follows a Poisson distribution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22"/>
                <w:szCs w:val="22"/>
              </w:rPr>
              <w:t xml:space="preserve">count ~ Poisson(λ_tier × age_factor × chronic_factor × industry_factor)</w:t>
            </w:r>
          </w:p>
        </w:tc>
      </w:tr>
    </w:tbl>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λ_tier is the base annual rate per covered member for that tier, drawn from benchmark data.</w:t>
      </w:r>
    </w:p>
    <w:p>
      <w:pPr>
        <w:pStyle w:val="ListParagraph"/>
        <w:numPr>
          <w:ilvl w:val="0"/>
          <w:numId w:val="3"/>
        </w:numPr>
        <w:spacing w:after="30" w:before="30"/>
      </w:pPr>
      <w:r>
        <w:rPr>
          <w:rFonts w:ascii="Arial" w:cs="Arial" w:eastAsia="Arial" w:hAnsi="Arial"/>
          <w:color w:val="1F1F1F"/>
          <w:sz w:val="22"/>
          <w:szCs w:val="22"/>
        </w:rPr>
        <w:t xml:space="preserve">age_factor adjusts upward for older populations (drawn from age-banding tables).</w:t>
      </w:r>
    </w:p>
    <w:p>
      <w:pPr>
        <w:pStyle w:val="ListParagraph"/>
        <w:numPr>
          <w:ilvl w:val="0"/>
          <w:numId w:val="3"/>
        </w:numPr>
        <w:spacing w:after="30" w:before="30"/>
      </w:pPr>
      <w:r>
        <w:rPr>
          <w:rFonts w:ascii="Arial" w:cs="Arial" w:eastAsia="Arial" w:hAnsi="Arial"/>
          <w:color w:val="1F1F1F"/>
          <w:sz w:val="22"/>
          <w:szCs w:val="22"/>
        </w:rPr>
        <w:t xml:space="preserve">chronic_factor multiplies frequency for members flagged as chronic in any of: diabetes, CHF, COPD, CKD stage 3+, oncology active treatment.</w:t>
      </w:r>
    </w:p>
    <w:p>
      <w:pPr>
        <w:pStyle w:val="ListParagraph"/>
        <w:numPr>
          <w:ilvl w:val="0"/>
          <w:numId w:val="3"/>
        </w:numPr>
        <w:spacing w:after="30" w:before="30"/>
      </w:pPr>
      <w:r>
        <w:rPr>
          <w:rFonts w:ascii="Arial" w:cs="Arial" w:eastAsia="Arial" w:hAnsi="Arial"/>
          <w:color w:val="1F1F1F"/>
          <w:sz w:val="22"/>
          <w:szCs w:val="22"/>
        </w:rPr>
        <w:t xml:space="preserve">industry_factor accounts for occupational risk (construction, manufacturing, healthcare itself, etc.).</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For tiers with strong over-dispersion (heavy-tail tiers 8, 9), use Negative Binomial in place of Poisson to capture observed variance.</w:t>
      </w:r>
    </w:p>
    <w:p>
      <w:pPr>
        <w:pStyle w:val="Heading3"/>
        <w:spacing w:after="80" w:before="200"/>
      </w:pPr>
      <w:r>
        <w:rPr>
          <w:rFonts w:ascii="Arial" w:cs="Arial" w:eastAsia="Arial" w:hAnsi="Arial"/>
          <w:b/>
          <w:bCs/>
          <w:color w:val="1F1F1F"/>
          <w:sz w:val="24"/>
          <w:szCs w:val="24"/>
        </w:rPr>
        <w:t xml:space="preserve">5.2 Cost</w:t>
      </w:r>
    </w:p>
    <w:p>
      <w:pPr>
        <w:spacing w:after="80" w:before="80"/>
        <w:jc w:val="left"/>
      </w:pPr>
      <w:r>
        <w:rPr>
          <w:rFonts w:ascii="Arial" w:cs="Arial" w:eastAsia="Arial" w:hAnsi="Arial"/>
          <w:b w:val="false"/>
          <w:bCs w:val="false"/>
          <w:i w:val="false"/>
          <w:iCs w:val="false"/>
          <w:color w:val="1F1F1F"/>
          <w:sz w:val="22"/>
          <w:szCs w:val="22"/>
        </w:rPr>
        <w:t xml:space="preserve">Cost per event is modeled tier-by-tier:</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Low-variance tiers (2, 3, 4): log-normal with σ ≤ 0.5.</w:t>
      </w:r>
    </w:p>
    <w:p>
      <w:pPr>
        <w:pStyle w:val="ListParagraph"/>
        <w:numPr>
          <w:ilvl w:val="0"/>
          <w:numId w:val="3"/>
        </w:numPr>
        <w:spacing w:after="30" w:before="30"/>
      </w:pPr>
      <w:r>
        <w:rPr>
          <w:rFonts w:ascii="Arial" w:cs="Arial" w:eastAsia="Arial" w:hAnsi="Arial"/>
          <w:color w:val="1F1F1F"/>
          <w:sz w:val="22"/>
          <w:szCs w:val="22"/>
        </w:rPr>
        <w:t xml:space="preserve">Medium-variance tiers (5, 6): log-normal with 0.5 &lt; σ ≤ 1.0.</w:t>
      </w:r>
    </w:p>
    <w:p>
      <w:pPr>
        <w:pStyle w:val="ListParagraph"/>
        <w:numPr>
          <w:ilvl w:val="0"/>
          <w:numId w:val="3"/>
        </w:numPr>
        <w:spacing w:after="30" w:before="30"/>
      </w:pPr>
      <w:r>
        <w:rPr>
          <w:rFonts w:ascii="Arial" w:cs="Arial" w:eastAsia="Arial" w:hAnsi="Arial"/>
          <w:color w:val="1F1F1F"/>
          <w:sz w:val="22"/>
          <w:szCs w:val="22"/>
        </w:rPr>
        <w:t xml:space="preserve">High-variance tiers (7): log-normal with σ &gt; 1.0.</w:t>
      </w:r>
    </w:p>
    <w:p>
      <w:pPr>
        <w:pStyle w:val="ListParagraph"/>
        <w:numPr>
          <w:ilvl w:val="0"/>
          <w:numId w:val="3"/>
        </w:numPr>
        <w:spacing w:after="30" w:before="30"/>
      </w:pPr>
      <w:r>
        <w:rPr>
          <w:rFonts w:ascii="Arial" w:cs="Arial" w:eastAsia="Arial" w:hAnsi="Arial"/>
          <w:color w:val="1F1F1F"/>
          <w:sz w:val="22"/>
          <w:szCs w:val="22"/>
        </w:rPr>
        <w:t xml:space="preserve">Heavy-tail tiers (8, 9): mixture of log-normal body and Pareto tail. Tail index α typically 1.5–2.5 based on actuarial benchmarks. Tail body separation point at the 95th percentile.</w:t>
      </w:r>
    </w:p>
    <w:p>
      <w:pPr>
        <w:pStyle w:val="ListParagraph"/>
        <w:numPr>
          <w:ilvl w:val="0"/>
          <w:numId w:val="3"/>
        </w:numPr>
        <w:spacing w:after="30" w:before="30"/>
      </w:pPr>
      <w:r>
        <w:rPr>
          <w:rFonts w:ascii="Arial" w:cs="Arial" w:eastAsia="Arial" w:hAnsi="Arial"/>
          <w:color w:val="1F1F1F"/>
          <w:sz w:val="22"/>
          <w:szCs w:val="22"/>
        </w:rPr>
        <w:t xml:space="preserve">Recurring-cost tiers (10, 11): constant per-member-per-month with start probability and duration distribution.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8"/>
                <w:szCs w:val="18"/>
              </w:rPr>
              <w:t xml:space="preserve">cost ~ LogNormal(μ_tier, σ_tier)     for low/medium tiers</w:t>
            </w:r>
          </w:p>
          <w:p>
            <w:pPr>
              <w:spacing w:after="0" w:before="0" w:line="240"/>
            </w:pPr>
            <w:r>
              <w:rPr>
                <w:rFonts w:ascii="Consolas" w:cs="Consolas" w:eastAsia="Consolas" w:hAnsi="Consolas"/>
                <w:b w:val="false"/>
                <w:bCs w:val="false"/>
                <w:i w:val="false"/>
                <w:iCs w:val="false"/>
                <w:color w:val="1F1F1F"/>
                <w:sz w:val="18"/>
                <w:szCs w:val="18"/>
              </w:rPr>
              <w:t xml:space="preserve">cost ~ Mixture(0.95 × LogNormal, 0.05 × Pareto(α))     for heavy-tail tiers</w:t>
            </w:r>
          </w:p>
        </w:tc>
      </w:tr>
    </w:tbl>
    <w:p>
      <w:pPr>
        <w:pStyle w:val="Heading3"/>
        <w:spacing w:after="80" w:before="200"/>
      </w:pPr>
      <w:r>
        <w:rPr>
          <w:rFonts w:ascii="Arial" w:cs="Arial" w:eastAsia="Arial" w:hAnsi="Arial"/>
          <w:b/>
          <w:bCs/>
          <w:color w:val="1F1F1F"/>
          <w:sz w:val="24"/>
          <w:szCs w:val="24"/>
        </w:rPr>
        <w:t xml:space="preserve">5.3 Why Heavy Tails Matter</w:t>
      </w:r>
    </w:p>
    <w:p>
      <w:pPr>
        <w:spacing w:after="80" w:before="80"/>
        <w:jc w:val="left"/>
      </w:pPr>
      <w:r>
        <w:rPr>
          <w:rFonts w:ascii="Arial" w:cs="Arial" w:eastAsia="Arial" w:hAnsi="Arial"/>
          <w:b/>
          <w:bCs/>
          <w:i w:val="false"/>
          <w:iCs w:val="false"/>
          <w:color w:val="1F1F1F"/>
          <w:sz w:val="22"/>
          <w:szCs w:val="22"/>
        </w:rPr>
        <w:t xml:space="preserve">The single most expensive misjudgment in healthcare capital modeling is treating inpatient cost as approximately log-normal. It is not. The right tail (catastrophic cases: late-stage oncology, NICU, rare disease, severe trauma) has a power-law shape that log-normal models systematically underweight. A model that uses log-normal everywhere will produce P99 estimates that are 30–50% too low.</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The simulator must use a heavy-tail mixture for tiers 8 and 9. The Pareto tail parameters are tunable per benchmark version and must be calibrated against actuarial reference data, not assumed.</w:t>
      </w:r>
    </w:p>
    <w:p>
      <w:pPr>
        <w:pStyle w:val="Heading3"/>
        <w:spacing w:after="80" w:before="200"/>
      </w:pPr>
      <w:r>
        <w:rPr>
          <w:rFonts w:ascii="Arial" w:cs="Arial" w:eastAsia="Arial" w:hAnsi="Arial"/>
          <w:b/>
          <w:bCs/>
          <w:color w:val="1F1F1F"/>
          <w:sz w:val="24"/>
          <w:szCs w:val="24"/>
        </w:rPr>
        <w:t xml:space="preserve">5.4 Locked Statistical Definitions (v1.1)</w:t>
      </w:r>
    </w:p>
    <w:p>
      <w:pPr>
        <w:spacing w:after="80" w:before="80"/>
        <w:jc w:val="left"/>
      </w:pPr>
      <w:r>
        <w:rPr>
          <w:rFonts w:ascii="Arial" w:cs="Arial" w:eastAsia="Arial" w:hAnsi="Arial"/>
          <w:b/>
          <w:bCs/>
          <w:i w:val="false"/>
          <w:iCs w:val="false"/>
          <w:color w:val="1F1F1F"/>
          <w:sz w:val="22"/>
          <w:szCs w:val="22"/>
        </w:rPr>
        <w:t xml:space="preserve">To prevent ambiguity in implementation and review, the spec locks the following phrasings. Any deviation in the implementation is a defect, not an interpretation choice.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Mean Monthly Outflow  =  mean of rolling 30-day net outflows across all simulation runs</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P_x Monthly Outflow   =  the x-th percentile of the maximum rolling 30-day outflow</w:t>
            </w:r>
          </w:p>
          <w:p>
            <w:pPr>
              <w:spacing w:after="0" w:before="0" w:line="240"/>
            </w:pPr>
            <w:r>
              <w:rPr>
                <w:rFonts w:ascii="Consolas" w:cs="Consolas" w:eastAsia="Consolas" w:hAnsi="Consolas"/>
                <w:b w:val="false"/>
                <w:bCs w:val="false"/>
                <w:i w:val="false"/>
                <w:iCs w:val="false"/>
                <w:color w:val="1F1F1F"/>
                <w:sz w:val="16"/>
                <w:szCs w:val="16"/>
              </w:rPr>
              <w:t xml:space="preserve">                          observed in each simulation run</w:t>
            </w:r>
          </w:p>
          <w:p>
            <w:pPr>
              <w:spacing w:after="0" w:before="0" w:line="240"/>
            </w:pPr>
            <w:r>
              <w:rPr>
                <w:rFonts w:ascii="Consolas" w:cs="Consolas" w:eastAsia="Consolas" w:hAnsi="Consolas"/>
                <w:b w:val="false"/>
                <w:bCs w:val="false"/>
                <w:i w:val="false"/>
                <w:iCs w:val="false"/>
                <w:color w:val="1F1F1F"/>
                <w:sz w:val="16"/>
                <w:szCs w:val="16"/>
              </w:rPr>
              <w:t xml:space="preserve">                          (one observation per run = the worst window in that run)</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Minimum Required Liquidity  =  P95 of max rolling 30-day NET DRAWDOWN per run</w:t>
            </w:r>
          </w:p>
          <w:p>
            <w:pPr>
              <w:spacing w:after="0" w:before="0" w:line="240"/>
            </w:pPr>
            <w:r>
              <w:rPr>
                <w:rFonts w:ascii="Consolas" w:cs="Consolas" w:eastAsia="Consolas" w:hAnsi="Consolas"/>
                <w:b w:val="false"/>
                <w:bCs w:val="false"/>
                <w:i w:val="false"/>
                <w:iCs w:val="false"/>
                <w:color w:val="1F1F1F"/>
                <w:sz w:val="16"/>
                <w:szCs w:val="16"/>
              </w:rPr>
              <w:t xml:space="preserve">                                (where NET DRAWDOWN accounts for replenishment;</w:t>
            </w:r>
          </w:p>
          <w:p>
            <w:pPr>
              <w:spacing w:after="0" w:before="0" w:line="240"/>
            </w:pPr>
            <w:r>
              <w:rPr>
                <w:rFonts w:ascii="Consolas" w:cs="Consolas" w:eastAsia="Consolas" w:hAnsi="Consolas"/>
                <w:b w:val="false"/>
                <w:bCs w:val="false"/>
                <w:i w:val="false"/>
                <w:iCs w:val="false"/>
                <w:color w:val="1F1F1F"/>
                <w:sz w:val="16"/>
                <w:szCs w:val="16"/>
              </w:rPr>
              <w:t xml:space="preserve">                                 see Section 10)</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Two definitions intentionally differ across the spec:</w:t>
      </w:r>
    </w:p>
    <w:p>
      <w:pPr>
        <w:pStyle w:val="ListParagraph"/>
        <w:numPr>
          <w:ilvl w:val="0"/>
          <w:numId w:val="3"/>
        </w:numPr>
        <w:spacing w:after="30" w:before="30"/>
      </w:pPr>
      <w:r>
        <w:rPr>
          <w:rFonts w:ascii="Arial" w:cs="Arial" w:eastAsia="Arial" w:hAnsi="Arial"/>
          <w:color w:val="1F1F1F"/>
          <w:sz w:val="22"/>
          <w:szCs w:val="22"/>
        </w:rPr>
        <w:t xml:space="preserve">Mean is computed across ALL rolling windows in ALL runs (high sample count, stable estimate).</w:t>
      </w:r>
    </w:p>
    <w:p>
      <w:pPr>
        <w:pStyle w:val="ListParagraph"/>
        <w:numPr>
          <w:ilvl w:val="0"/>
          <w:numId w:val="3"/>
        </w:numPr>
        <w:spacing w:after="30" w:before="30"/>
      </w:pPr>
      <w:r>
        <w:rPr>
          <w:rFonts w:ascii="Arial" w:cs="Arial" w:eastAsia="Arial" w:hAnsi="Arial"/>
          <w:color w:val="1F1F1F"/>
          <w:sz w:val="22"/>
          <w:szCs w:val="22"/>
        </w:rPr>
        <w:t xml:space="preserve">Percentiles (including P95) are computed across the WORST window per run (one observation per run, captures worst-month-per-year, not all windows pooled).</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distinction matters because pooling all rolling windows would smooth the percentile estimate downward — a bad month happens once per year, not in every window. Per-run-max preserves the capital-sizing semantics. Pooling is appropriate only for the mean.</w:t>
      </w:r>
    </w:p>
    <w:p>
      <w:pPr>
        <w:pStyle w:val="Heading1"/>
        <w:spacing w:after="160" w:before="360"/>
      </w:pPr>
      <w:r>
        <w:rPr>
          <w:rFonts w:ascii="Arial" w:cs="Arial" w:eastAsia="Arial" w:hAnsi="Arial"/>
          <w:b/>
          <w:bCs/>
          <w:color w:val="1F1F1F"/>
          <w:sz w:val="36"/>
          <w:szCs w:val="36"/>
        </w:rPr>
        <w:t xml:space="preserve">Part III · Stochastic Simulator</w:t>
      </w:r>
    </w:p>
    <w:p>
      <w:pPr>
        <w:pStyle w:val="Heading2"/>
        <w:spacing w:after="120" w:before="280"/>
      </w:pPr>
      <w:r>
        <w:rPr>
          <w:rFonts w:ascii="Arial" w:cs="Arial" w:eastAsia="Arial" w:hAnsi="Arial"/>
          <w:b/>
          <w:bCs/>
          <w:color w:val="1F1F1F"/>
          <w:sz w:val="28"/>
          <w:szCs w:val="28"/>
        </w:rPr>
        <w:t xml:space="preserve">6. Module 6 — Stochastic Event Simulator</w:t>
      </w:r>
    </w:p>
    <w:p>
      <w:pPr>
        <w:spacing w:after="80" w:before="80"/>
        <w:jc w:val="left"/>
      </w:pPr>
      <w:r>
        <w:rPr>
          <w:rFonts w:ascii="Arial" w:cs="Arial" w:eastAsia="Arial" w:hAnsi="Arial"/>
          <w:b w:val="false"/>
          <w:bCs w:val="false"/>
          <w:i w:val="false"/>
          <w:iCs w:val="false"/>
          <w:color w:val="1F1F1F"/>
          <w:sz w:val="22"/>
          <w:szCs w:val="22"/>
        </w:rPr>
        <w:t xml:space="preserve">New module added to the engine architecture. Generates simulated event streams for the covered population over a defined time horizon. Output feeds the Liquidity Engine (Module 7).</w:t>
      </w:r>
    </w:p>
    <w:p>
      <w:pPr>
        <w:pStyle w:val="Heading3"/>
        <w:spacing w:after="80" w:before="200"/>
      </w:pPr>
      <w:r>
        <w:rPr>
          <w:rFonts w:ascii="Arial" w:cs="Arial" w:eastAsia="Arial" w:hAnsi="Arial"/>
          <w:b/>
          <w:bCs/>
          <w:color w:val="1F1F1F"/>
          <w:sz w:val="24"/>
          <w:szCs w:val="24"/>
        </w:rPr>
        <w:t xml:space="preserve">6.1 Inputs</w:t>
      </w:r>
    </w:p>
    <w:p>
      <w:pPr>
        <w:pStyle w:val="ListParagraph"/>
        <w:numPr>
          <w:ilvl w:val="0"/>
          <w:numId w:val="3"/>
        </w:numPr>
        <w:spacing w:after="30" w:before="30"/>
      </w:pPr>
      <w:r>
        <w:rPr>
          <w:rFonts w:ascii="Arial" w:cs="Arial" w:eastAsia="Arial" w:hAnsi="Arial"/>
          <w:color w:val="1F1F1F"/>
          <w:sz w:val="22"/>
          <w:szCs w:val="22"/>
        </w:rPr>
        <w:t xml:space="preserve">covered_lives count and member roster (or modeled distribution by age/relationship/chronic status).</w:t>
      </w:r>
    </w:p>
    <w:p>
      <w:pPr>
        <w:pStyle w:val="ListParagraph"/>
        <w:numPr>
          <w:ilvl w:val="0"/>
          <w:numId w:val="3"/>
        </w:numPr>
        <w:spacing w:after="30" w:before="30"/>
      </w:pPr>
      <w:r>
        <w:rPr>
          <w:rFonts w:ascii="Arial" w:cs="Arial" w:eastAsia="Arial" w:hAnsi="Arial"/>
          <w:color w:val="1F1F1F"/>
          <w:sz w:val="22"/>
          <w:szCs w:val="22"/>
        </w:rPr>
        <w:t xml:space="preserve">Event tier parameters (active event_tier_version).</w:t>
      </w:r>
    </w:p>
    <w:p>
      <w:pPr>
        <w:pStyle w:val="ListParagraph"/>
        <w:numPr>
          <w:ilvl w:val="0"/>
          <w:numId w:val="3"/>
        </w:numPr>
        <w:spacing w:after="30" w:before="30"/>
      </w:pPr>
      <w:r>
        <w:rPr>
          <w:rFonts w:ascii="Arial" w:cs="Arial" w:eastAsia="Arial" w:hAnsi="Arial"/>
          <w:color w:val="1F1F1F"/>
          <w:sz w:val="22"/>
          <w:szCs w:val="22"/>
        </w:rPr>
        <w:t xml:space="preserve">Adjustment factors: industry, region, age band, chronic prevalence.</w:t>
      </w:r>
    </w:p>
    <w:p>
      <w:pPr>
        <w:pStyle w:val="ListParagraph"/>
        <w:numPr>
          <w:ilvl w:val="0"/>
          <w:numId w:val="3"/>
        </w:numPr>
        <w:spacing w:after="30" w:before="30"/>
      </w:pPr>
      <w:r>
        <w:rPr>
          <w:rFonts w:ascii="Arial" w:cs="Arial" w:eastAsia="Arial" w:hAnsi="Arial"/>
          <w:color w:val="1F1F1F"/>
          <w:sz w:val="22"/>
          <w:szCs w:val="22"/>
        </w:rPr>
        <w:t xml:space="preserve">Simulation horizon: typically 12 months, optionally 24 or 36 months.</w:t>
      </w:r>
    </w:p>
    <w:p>
      <w:pPr>
        <w:pStyle w:val="ListParagraph"/>
        <w:numPr>
          <w:ilvl w:val="0"/>
          <w:numId w:val="3"/>
        </w:numPr>
        <w:spacing w:after="30" w:before="30"/>
      </w:pPr>
      <w:r>
        <w:rPr>
          <w:rFonts w:ascii="Arial" w:cs="Arial" w:eastAsia="Arial" w:hAnsi="Arial"/>
          <w:color w:val="1F1F1F"/>
          <w:sz w:val="22"/>
          <w:szCs w:val="22"/>
        </w:rPr>
        <w:t xml:space="preserve">Number of simulation runs: minimum 5,000; production target 10,000–50,000 depending on tail accuracy required.</w:t>
      </w:r>
    </w:p>
    <w:p>
      <w:pPr>
        <w:pStyle w:val="ListParagraph"/>
        <w:numPr>
          <w:ilvl w:val="0"/>
          <w:numId w:val="3"/>
        </w:numPr>
        <w:spacing w:after="30" w:before="30"/>
      </w:pPr>
      <w:r>
        <w:rPr>
          <w:rFonts w:ascii="Arial" w:cs="Arial" w:eastAsia="Arial" w:hAnsi="Arial"/>
          <w:color w:val="1F1F1F"/>
          <w:sz w:val="22"/>
          <w:szCs w:val="22"/>
        </w:rPr>
        <w:t xml:space="preserve">Random seed for reproducibility (every run carries a seed).</w:t>
      </w:r>
    </w:p>
    <w:p>
      <w:pPr>
        <w:pStyle w:val="Heading3"/>
        <w:spacing w:after="80" w:before="200"/>
      </w:pPr>
      <w:r>
        <w:rPr>
          <w:rFonts w:ascii="Arial" w:cs="Arial" w:eastAsia="Arial" w:hAnsi="Arial"/>
          <w:b/>
          <w:bCs/>
          <w:color w:val="1F1F1F"/>
          <w:sz w:val="24"/>
          <w:szCs w:val="24"/>
        </w:rPr>
        <w:t xml:space="preserve">6.2 Algorithm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8"/>
                <w:szCs w:val="18"/>
              </w:rPr>
              <w:t xml:space="preserve">FOR each simulation_run in [1 .. N]:</w:t>
            </w:r>
          </w:p>
          <w:p>
            <w:pPr>
              <w:spacing w:after="0" w:before="0" w:line="240"/>
            </w:pPr>
            <w:r>
              <w:rPr>
                <w:rFonts w:ascii="Consolas" w:cs="Consolas" w:eastAsia="Consolas" w:hAnsi="Consolas"/>
                <w:b w:val="false"/>
                <w:bCs w:val="false"/>
                <w:i w:val="false"/>
                <w:iCs w:val="false"/>
                <w:color w:val="1F1F1F"/>
                <w:sz w:val="18"/>
                <w:szCs w:val="18"/>
              </w:rPr>
              <w:t xml:space="preserve">  FOR each member in covered_population:</w:t>
            </w:r>
          </w:p>
          <w:p>
            <w:pPr>
              <w:spacing w:after="0" w:before="0" w:line="240"/>
            </w:pPr>
            <w:r>
              <w:rPr>
                <w:rFonts w:ascii="Consolas" w:cs="Consolas" w:eastAsia="Consolas" w:hAnsi="Consolas"/>
                <w:b w:val="false"/>
                <w:bCs w:val="false"/>
                <w:i w:val="false"/>
                <w:iCs w:val="false"/>
                <w:color w:val="1F1F1F"/>
                <w:sz w:val="18"/>
                <w:szCs w:val="18"/>
              </w:rPr>
              <w:t xml:space="preserve">    FOR each event_tier:</w:t>
            </w:r>
          </w:p>
          <w:p>
            <w:pPr>
              <w:spacing w:after="0" w:before="0" w:line="240"/>
            </w:pPr>
            <w:r>
              <w:rPr>
                <w:rFonts w:ascii="Consolas" w:cs="Consolas" w:eastAsia="Consolas" w:hAnsi="Consolas"/>
                <w:b w:val="false"/>
                <w:bCs w:val="false"/>
                <w:i w:val="false"/>
                <w:iCs w:val="false"/>
                <w:color w:val="1F1F1F"/>
                <w:sz w:val="18"/>
                <w:szCs w:val="18"/>
              </w:rPr>
              <w:t xml:space="preserve">      annual_count = sample_frequency(tier, member_attributes)</w:t>
            </w:r>
          </w:p>
          <w:p>
            <w:pPr>
              <w:spacing w:after="0" w:before="0" w:line="240"/>
            </w:pPr>
            <w:r>
              <w:rPr>
                <w:rFonts w:ascii="Consolas" w:cs="Consolas" w:eastAsia="Consolas" w:hAnsi="Consolas"/>
                <w:b w:val="false"/>
                <w:bCs w:val="false"/>
                <w:i w:val="false"/>
                <w:iCs w:val="false"/>
                <w:color w:val="1F1F1F"/>
                <w:sz w:val="18"/>
                <w:szCs w:val="18"/>
              </w:rPr>
              <w:t xml:space="preserve">      event_dates  = uniform_random_dates(annual_count, year_horizon)</w:t>
            </w:r>
          </w:p>
          <w:p>
            <w:pPr>
              <w:spacing w:after="0" w:before="0" w:line="240"/>
            </w:pPr>
            <w:r>
              <w:rPr>
                <w:rFonts w:ascii="Consolas" w:cs="Consolas" w:eastAsia="Consolas" w:hAnsi="Consolas"/>
                <w:b w:val="false"/>
                <w:bCs w:val="false"/>
                <w:i w:val="false"/>
                <w:iCs w:val="false"/>
                <w:color w:val="1F1F1F"/>
                <w:sz w:val="18"/>
                <w:szCs w:val="18"/>
              </w:rPr>
              <w:t xml:space="preserve">      FOR each event_date:</w:t>
            </w:r>
          </w:p>
          <w:p>
            <w:pPr>
              <w:spacing w:after="0" w:before="0" w:line="240"/>
            </w:pPr>
            <w:r>
              <w:rPr>
                <w:rFonts w:ascii="Consolas" w:cs="Consolas" w:eastAsia="Consolas" w:hAnsi="Consolas"/>
                <w:b w:val="false"/>
                <w:bCs w:val="false"/>
                <w:i w:val="false"/>
                <w:iCs w:val="false"/>
                <w:color w:val="1F1F1F"/>
                <w:sz w:val="18"/>
                <w:szCs w:val="18"/>
              </w:rPr>
              <w:t xml:space="preserve">        event_cost = sample_cost(tier)</w:t>
            </w:r>
          </w:p>
          <w:p>
            <w:pPr>
              <w:spacing w:after="0" w:before="0" w:line="240"/>
            </w:pPr>
            <w:r>
              <w:rPr>
                <w:rFonts w:ascii="Consolas" w:cs="Consolas" w:eastAsia="Consolas" w:hAnsi="Consolas"/>
                <w:b w:val="false"/>
                <w:bCs w:val="false"/>
                <w:i w:val="false"/>
                <w:iCs w:val="false"/>
                <w:color w:val="1F1F1F"/>
                <w:sz w:val="18"/>
                <w:szCs w:val="18"/>
              </w:rPr>
              <w:t xml:space="preserve">        emit event_record { run_id, member_id, tier, date, cost }</w:t>
            </w:r>
          </w:p>
          <w:p>
            <w:pPr>
              <w:spacing w:after="0" w:before="0" w:line="240"/>
            </w:pPr>
            <w:r>
              <w:rPr>
                <w:rFonts w:ascii="Consolas" w:cs="Consolas" w:eastAsia="Consolas" w:hAnsi="Consolas"/>
                <w:b w:val="false"/>
                <w:bCs w:val="false"/>
                <w:i w:val="false"/>
                <w:iCs w:val="false"/>
                <w:color w:val="1F1F1F"/>
                <w:sz w:val="18"/>
                <w:szCs w:val="18"/>
              </w:rPr>
              <w:t xml:space="preserve">  END</w:t>
            </w:r>
          </w:p>
          <w:p>
            <w:pPr>
              <w:spacing w:after="0" w:before="0" w:line="240"/>
            </w:pPr>
            <w:r>
              <w:rPr>
                <w:rFonts w:ascii="Consolas" w:cs="Consolas" w:eastAsia="Consolas" w:hAnsi="Consolas"/>
                <w:b w:val="false"/>
                <w:bCs w:val="false"/>
                <w:i w:val="false"/>
                <w:iCs w:val="false"/>
                <w:color w:val="1F1F1F"/>
                <w:sz w:val="18"/>
                <w:szCs w:val="18"/>
              </w:rPr>
              <w:t xml:space="preserve">END</w:t>
            </w:r>
          </w:p>
        </w:tc>
      </w:tr>
    </w:tbl>
    <w:p>
      <w:pPr>
        <w:pStyle w:val="Heading3"/>
        <w:spacing w:after="80" w:before="200"/>
      </w:pPr>
      <w:r>
        <w:rPr>
          <w:rFonts w:ascii="Arial" w:cs="Arial" w:eastAsia="Arial" w:hAnsi="Arial"/>
          <w:b/>
          <w:bCs/>
          <w:color w:val="1F1F1F"/>
          <w:sz w:val="24"/>
          <w:szCs w:val="24"/>
        </w:rPr>
        <w:t xml:space="preserve">6.3 Outputs</w:t>
      </w:r>
    </w:p>
    <w:p>
      <w:pPr>
        <w:pStyle w:val="ListParagraph"/>
        <w:numPr>
          <w:ilvl w:val="0"/>
          <w:numId w:val="3"/>
        </w:numPr>
        <w:spacing w:after="30" w:before="30"/>
      </w:pPr>
      <w:r>
        <w:rPr>
          <w:rFonts w:ascii="Arial" w:cs="Arial" w:eastAsia="Arial" w:hAnsi="Arial"/>
          <w:color w:val="1F1F1F"/>
          <w:sz w:val="22"/>
          <w:szCs w:val="22"/>
        </w:rPr>
        <w:t xml:space="preserve">event_streams table: one row per simulated event across all runs.</w:t>
      </w:r>
    </w:p>
    <w:p>
      <w:pPr>
        <w:pStyle w:val="ListParagraph"/>
        <w:numPr>
          <w:ilvl w:val="0"/>
          <w:numId w:val="3"/>
        </w:numPr>
        <w:spacing w:after="30" w:before="30"/>
      </w:pPr>
      <w:r>
        <w:rPr>
          <w:rFonts w:ascii="Arial" w:cs="Arial" w:eastAsia="Arial" w:hAnsi="Arial"/>
          <w:color w:val="1F1F1F"/>
          <w:sz w:val="22"/>
          <w:szCs w:val="22"/>
        </w:rPr>
        <w:t xml:space="preserve">Each row carries: run_id, member_id, tier, event_date, gross_cost.</w:t>
      </w:r>
    </w:p>
    <w:p>
      <w:pPr>
        <w:pStyle w:val="ListParagraph"/>
        <w:numPr>
          <w:ilvl w:val="0"/>
          <w:numId w:val="3"/>
        </w:numPr>
        <w:spacing w:after="30" w:before="30"/>
      </w:pPr>
      <w:r>
        <w:rPr>
          <w:rFonts w:ascii="Arial" w:cs="Arial" w:eastAsia="Arial" w:hAnsi="Arial"/>
          <w:color w:val="1F1F1F"/>
          <w:sz w:val="22"/>
          <w:szCs w:val="22"/>
        </w:rPr>
        <w:t xml:space="preserve">Volume: for 200 lives × 12 months × 10,000 runs, expect ~12-25M event rows. Storage and aggregation must be designed for this scale.</w:t>
      </w:r>
    </w:p>
    <w:p>
      <w:pPr>
        <w:pStyle w:val="ListParagraph"/>
        <w:numPr>
          <w:ilvl w:val="0"/>
          <w:numId w:val="3"/>
        </w:numPr>
        <w:spacing w:after="30" w:before="30"/>
      </w:pPr>
      <w:r>
        <w:rPr>
          <w:rFonts w:ascii="Arial" w:cs="Arial" w:eastAsia="Arial" w:hAnsi="Arial"/>
          <w:color w:val="1F1F1F"/>
          <w:sz w:val="22"/>
          <w:szCs w:val="22"/>
        </w:rPr>
        <w:t xml:space="preserve">Storage strategy: stream to a time-series-optimized columnar store (Parquet on S3, or TimescaleDB partitioned by run_id) rather than the operational PostgreSQL.</w:t>
      </w:r>
    </w:p>
    <w:p>
      <w:pPr>
        <w:pStyle w:val="Heading3"/>
        <w:spacing w:after="80" w:before="200"/>
      </w:pPr>
      <w:r>
        <w:rPr>
          <w:rFonts w:ascii="Arial" w:cs="Arial" w:eastAsia="Arial" w:hAnsi="Arial"/>
          <w:b/>
          <w:bCs/>
          <w:color w:val="1F1F1F"/>
          <w:sz w:val="24"/>
          <w:szCs w:val="24"/>
        </w:rPr>
        <w:t xml:space="preserve">6.4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Population Size</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Run Count</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Target Wall Time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100 lives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 runs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30 seconds</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500 lives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 runs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2 minutes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2,500 lives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 runs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10 minutes</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10,000 lives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 runs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1 hour (offline batch)</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Architecture: Python (NumPy + SciPy for sampling, Numba or Cython for inner loops), or Go for production-grade throughput. Embarrassingly parallel by run_id; deploy as horizontally scalable workers.</w:t>
      </w:r>
    </w:p>
    <w:p>
      <w:pPr>
        <w:pStyle w:val="Heading3"/>
        <w:spacing w:after="80" w:before="200"/>
      </w:pPr>
      <w:r>
        <w:rPr>
          <w:rFonts w:ascii="Arial" w:cs="Arial" w:eastAsia="Arial" w:hAnsi="Arial"/>
          <w:b/>
          <w:bCs/>
          <w:color w:val="1F1F1F"/>
          <w:sz w:val="24"/>
          <w:szCs w:val="24"/>
        </w:rPr>
        <w:t xml:space="preserve">6.5 Run Count Scaling for Small Groups (NEW in v1.1)</w:t>
      </w:r>
    </w:p>
    <w:p>
      <w:pPr>
        <w:spacing w:after="80" w:before="80"/>
        <w:jc w:val="left"/>
      </w:pPr>
      <w:r>
        <w:rPr>
          <w:rFonts w:ascii="Arial" w:cs="Arial" w:eastAsia="Arial" w:hAnsi="Arial"/>
          <w:b/>
          <w:bCs/>
          <w:i w:val="false"/>
          <w:iCs w:val="false"/>
          <w:color w:val="1F1F1F"/>
          <w:sz w:val="22"/>
          <w:szCs w:val="22"/>
        </w:rPr>
        <w:t xml:space="preserve">At small group sizes, expected event counts for high-cost low-frequency tiers (T8 inpatient, T9 catastrophic) fall below 1.0 per population per year. This causes tail percentile estimates to become statistically noisy at the standard 10,000-run baseline. The spec requires increased iteration counts as a function of population size.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Population Size</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Required Run Count</w:t>
            </w:r>
          </w:p>
        </w:tc>
        <w:tc>
          <w:tcPr>
            <w:tcW w:type="dxa" w:w="45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Rationale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 75 lives</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 runs (baseline)</w:t>
            </w:r>
          </w:p>
        </w:tc>
        <w:tc>
          <w:tcPr>
            <w:tcW w:type="dxa" w:w="4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Standard; tail estimates statistically stable</w:t>
            </w:r>
          </w:p>
        </w:tc>
      </w:tr>
      <w:tr>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50 to 74 lives</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25,000 runs</w:t>
            </w:r>
          </w:p>
        </w:tc>
        <w:tc>
          <w:tcPr>
            <w:tcW w:type="dxa" w:w="4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Compensate for low expected event counts in tier 8/9</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&lt; 50 lives</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50,000 runs</w:t>
            </w:r>
          </w:p>
        </w:tc>
        <w:tc>
          <w:tcPr>
            <w:tcW w:type="dxa" w:w="4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Concentration risk; high run count required for stable P95</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Population size is interpreted as covered_lives, not employee_count.</w:t>
      </w:r>
    </w:p>
    <w:p>
      <w:pPr>
        <w:pStyle w:val="Heading3"/>
        <w:spacing w:after="80" w:before="200"/>
      </w:pPr>
      <w:r>
        <w:rPr>
          <w:rFonts w:ascii="Arial" w:cs="Arial" w:eastAsia="Arial" w:hAnsi="Arial"/>
          <w:b/>
          <w:bCs/>
          <w:color w:val="1F1F1F"/>
          <w:sz w:val="24"/>
          <w:szCs w:val="24"/>
        </w:rPr>
        <w:t xml:space="preserve">6.6 Confidence Interval Reporting (NEW in v1.1)</w:t>
      </w:r>
    </w:p>
    <w:p>
      <w:pPr>
        <w:spacing w:after="80" w:before="80"/>
        <w:jc w:val="left"/>
      </w:pPr>
      <w:r>
        <w:rPr>
          <w:rFonts w:ascii="Arial" w:cs="Arial" w:eastAsia="Arial" w:hAnsi="Arial"/>
          <w:b/>
          <w:bCs/>
          <w:i w:val="false"/>
          <w:iCs w:val="false"/>
          <w:color w:val="1F1F1F"/>
          <w:sz w:val="22"/>
          <w:szCs w:val="22"/>
        </w:rPr>
        <w:t xml:space="preserve">Every percentile output (P50, P75, P90, P95, P99) carries a 95% confidence interval, computed via bootstrap resampling of the run-level maxima. For populations under 75 lives, the confidence interval must appear in every output (dashboard, report PDF, API response) alongside the point estimate. For larger populations, the CI is computed and stored but displayed only in the Liquidity Profile detail block, not the Executive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 For each percentile output:</w:t>
            </w:r>
          </w:p>
          <w:p>
            <w:pPr>
              <w:spacing w:after="0" w:before="0" w:line="240"/>
            </w:pPr>
            <w:r>
              <w:rPr>
                <w:rFonts w:ascii="Consolas" w:cs="Consolas" w:eastAsia="Consolas" w:hAnsi="Consolas"/>
                <w:b w:val="false"/>
                <w:bCs w:val="false"/>
                <w:i w:val="false"/>
                <w:iCs w:val="false"/>
                <w:color w:val="1F1F1F"/>
                <w:sz w:val="16"/>
                <w:szCs w:val="16"/>
              </w:rPr>
              <w:t xml:space="preserve">p95_estimate = percentile(per_run_maxima, 95)</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Bootstrap CI:</w:t>
            </w:r>
          </w:p>
          <w:p>
            <w:pPr>
              <w:spacing w:after="0" w:before="0" w:line="240"/>
            </w:pPr>
            <w:r>
              <w:rPr>
                <w:rFonts w:ascii="Consolas" w:cs="Consolas" w:eastAsia="Consolas" w:hAnsi="Consolas"/>
                <w:b w:val="false"/>
                <w:bCs w:val="false"/>
                <w:i w:val="false"/>
                <w:iCs w:val="false"/>
                <w:color w:val="1F1F1F"/>
                <w:sz w:val="16"/>
                <w:szCs w:val="16"/>
              </w:rPr>
              <w:t xml:space="preserve">FOR b in [1 .. 1000]:</w:t>
            </w:r>
          </w:p>
          <w:p>
            <w:pPr>
              <w:spacing w:after="0" w:before="0" w:line="240"/>
            </w:pPr>
            <w:r>
              <w:rPr>
                <w:rFonts w:ascii="Consolas" w:cs="Consolas" w:eastAsia="Consolas" w:hAnsi="Consolas"/>
                <w:b w:val="false"/>
                <w:bCs w:val="false"/>
                <w:i w:val="false"/>
                <w:iCs w:val="false"/>
                <w:color w:val="1F1F1F"/>
                <w:sz w:val="16"/>
                <w:szCs w:val="16"/>
              </w:rPr>
              <w:t xml:space="preserve">  resample = sample_with_replacement(per_run_maxima, n=len(per_run_maxima))</w:t>
            </w:r>
          </w:p>
          <w:p>
            <w:pPr>
              <w:spacing w:after="0" w:before="0" w:line="240"/>
            </w:pPr>
            <w:r>
              <w:rPr>
                <w:rFonts w:ascii="Consolas" w:cs="Consolas" w:eastAsia="Consolas" w:hAnsi="Consolas"/>
                <w:b w:val="false"/>
                <w:bCs w:val="false"/>
                <w:i w:val="false"/>
                <w:iCs w:val="false"/>
                <w:color w:val="1F1F1F"/>
                <w:sz w:val="16"/>
                <w:szCs w:val="16"/>
              </w:rPr>
              <w:t xml:space="preserve">  p95_bootstrap[b] = percentile(resample, 95)</w:t>
            </w:r>
          </w:p>
          <w:p>
            <w:pPr>
              <w:spacing w:after="0" w:before="0" w:line="240"/>
            </w:pPr>
            <w:r>
              <w:rPr>
                <w:rFonts w:ascii="Consolas" w:cs="Consolas" w:eastAsia="Consolas" w:hAnsi="Consolas"/>
                <w:b w:val="false"/>
                <w:bCs w:val="false"/>
                <w:i w:val="false"/>
                <w:iCs w:val="false"/>
                <w:color w:val="1F1F1F"/>
                <w:sz w:val="16"/>
                <w:szCs w:val="16"/>
              </w:rPr>
              <w:t xml:space="preserve">END</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ci_lower = percentile(p95_bootstrap, 2.5)</w:t>
            </w:r>
          </w:p>
          <w:p>
            <w:pPr>
              <w:spacing w:after="0" w:before="0" w:line="240"/>
            </w:pPr>
            <w:r>
              <w:rPr>
                <w:rFonts w:ascii="Consolas" w:cs="Consolas" w:eastAsia="Consolas" w:hAnsi="Consolas"/>
                <w:b w:val="false"/>
                <w:bCs w:val="false"/>
                <w:i w:val="false"/>
                <w:iCs w:val="false"/>
                <w:color w:val="1F1F1F"/>
                <w:sz w:val="16"/>
                <w:szCs w:val="16"/>
              </w:rPr>
              <w:t xml:space="preserve">ci_upper = percentile(p95_bootstrap, 97.5)</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Display: 'P95: $28,000 ± $4,200 (95% CI: $23,800 to $32,200)'</w:t>
            </w:r>
          </w:p>
        </w:tc>
      </w:tr>
    </w:tbl>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Standard error on the P95 point estimate must remain below 5% of the estimate value. If the standard error exceeds 5%, the spec requires increasing the run count until the threshold is met. This is a hard CI gate, not a soft target.</w:t>
      </w:r>
    </w:p>
    <w:p>
      <w:pPr>
        <w:pStyle w:val="Heading1"/>
        <w:spacing w:after="160" w:before="360"/>
      </w:pPr>
      <w:r>
        <w:rPr>
          <w:rFonts w:ascii="Arial" w:cs="Arial" w:eastAsia="Arial" w:hAnsi="Arial"/>
          <w:b/>
          <w:bCs/>
          <w:color w:val="1F1F1F"/>
          <w:sz w:val="36"/>
          <w:szCs w:val="36"/>
        </w:rPr>
        <w:t xml:space="preserve">Part IV · Time Dimension</w:t>
      </w:r>
    </w:p>
    <w:p>
      <w:pPr>
        <w:pStyle w:val="Heading2"/>
        <w:spacing w:after="120" w:before="280"/>
      </w:pPr>
      <w:r>
        <w:rPr>
          <w:rFonts w:ascii="Arial" w:cs="Arial" w:eastAsia="Arial" w:hAnsi="Arial"/>
          <w:b/>
          <w:bCs/>
          <w:color w:val="1F1F1F"/>
          <w:sz w:val="28"/>
          <w:szCs w:val="28"/>
        </w:rPr>
        <w:t xml:space="preserve">7. Why Annualized Is Wrong</w:t>
      </w:r>
    </w:p>
    <w:p>
      <w:pPr>
        <w:spacing w:after="80" w:before="80"/>
        <w:jc w:val="left"/>
      </w:pPr>
      <w:r>
        <w:rPr>
          <w:rFonts w:ascii="Arial" w:cs="Arial" w:eastAsia="Arial" w:hAnsi="Arial"/>
          <w:b w:val="false"/>
          <w:bCs w:val="false"/>
          <w:i w:val="false"/>
          <w:iCs w:val="false"/>
          <w:color w:val="1F1F1F"/>
          <w:sz w:val="22"/>
          <w:szCs w:val="22"/>
        </w:rPr>
        <w:t xml:space="preserve">The v3.0 engine produces a residual PEPM, annualized. That number tells the employer the run-rate. It says nothing about timing. A $50,000 inpatient event does not arrive evenly across twelve $4,167 monthly payments. It arrives in one month.</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Liquidity is the intersection of timing and magnitude. The capital question is not 'what is the annual exposure?' It is 'what is the largest cumulative outflow across any rolling 30-day window during the year?'</w:t>
      </w:r>
    </w:p>
    <w:p>
      <w:pPr>
        <w:pStyle w:val="Heading2"/>
        <w:spacing w:after="120" w:before="280"/>
      </w:pPr>
      <w:r>
        <w:rPr>
          <w:rFonts w:ascii="Arial" w:cs="Arial" w:eastAsia="Arial" w:hAnsi="Arial"/>
          <w:b/>
          <w:bCs/>
          <w:color w:val="1F1F1F"/>
          <w:sz w:val="28"/>
          <w:szCs w:val="28"/>
        </w:rPr>
        <w:t xml:space="preserve">8. Module 9 — Cash Flow Timeline</w:t>
      </w:r>
    </w:p>
    <w:p>
      <w:pPr>
        <w:spacing w:after="80" w:before="80"/>
        <w:jc w:val="left"/>
      </w:pPr>
      <w:r>
        <w:rPr>
          <w:rFonts w:ascii="Arial" w:cs="Arial" w:eastAsia="Arial" w:hAnsi="Arial"/>
          <w:b w:val="false"/>
          <w:bCs w:val="false"/>
          <w:i w:val="false"/>
          <w:iCs w:val="false"/>
          <w:color w:val="1F1F1F"/>
          <w:sz w:val="22"/>
          <w:szCs w:val="22"/>
        </w:rPr>
        <w:t xml:space="preserve">Converts the simulator's event stream into a daily cash flow series, then aggregates into rolling windows.</w:t>
      </w:r>
    </w:p>
    <w:p>
      <w:pPr>
        <w:pStyle w:val="Heading3"/>
        <w:spacing w:after="80" w:before="200"/>
      </w:pPr>
      <w:r>
        <w:rPr>
          <w:rFonts w:ascii="Arial" w:cs="Arial" w:eastAsia="Arial" w:hAnsi="Arial"/>
          <w:b/>
          <w:bCs/>
          <w:color w:val="1F1F1F"/>
          <w:sz w:val="24"/>
          <w:szCs w:val="24"/>
        </w:rPr>
        <w:t xml:space="preserve">8.1 Per Event</w:t>
      </w:r>
    </w:p>
    <w:p>
      <w:pPr>
        <w:pStyle w:val="ListParagraph"/>
        <w:numPr>
          <w:ilvl w:val="0"/>
          <w:numId w:val="3"/>
        </w:numPr>
        <w:spacing w:after="30" w:before="30"/>
      </w:pPr>
      <w:r>
        <w:rPr>
          <w:rFonts w:ascii="Arial" w:cs="Arial" w:eastAsia="Arial" w:hAnsi="Arial"/>
          <w:color w:val="1F1F1F"/>
          <w:sz w:val="22"/>
          <w:szCs w:val="22"/>
        </w:rPr>
        <w:t xml:space="preserve">Identify the cash event date. For most events: 14–30 days post-service-date (claims are paid on a lag).</w:t>
      </w:r>
    </w:p>
    <w:p>
      <w:pPr>
        <w:pStyle w:val="ListParagraph"/>
        <w:numPr>
          <w:ilvl w:val="0"/>
          <w:numId w:val="3"/>
        </w:numPr>
        <w:spacing w:after="30" w:before="30"/>
      </w:pPr>
      <w:r>
        <w:rPr>
          <w:rFonts w:ascii="Arial" w:cs="Arial" w:eastAsia="Arial" w:hAnsi="Arial"/>
          <w:color w:val="1F1F1F"/>
          <w:sz w:val="22"/>
          <w:szCs w:val="22"/>
        </w:rPr>
        <w:t xml:space="preserve">Apply timing distribution per tier. Inpatient pays slower (45–60 days). Pharmacy pays faster (1–3 days). Ambulance pays variably.</w:t>
      </w:r>
    </w:p>
    <w:p>
      <w:pPr>
        <w:pStyle w:val="ListParagraph"/>
        <w:numPr>
          <w:ilvl w:val="0"/>
          <w:numId w:val="3"/>
        </w:numPr>
        <w:spacing w:after="30" w:before="30"/>
      </w:pPr>
      <w:r>
        <w:rPr>
          <w:rFonts w:ascii="Arial" w:cs="Arial" w:eastAsia="Arial" w:hAnsi="Arial"/>
          <w:color w:val="1F1F1F"/>
          <w:sz w:val="22"/>
          <w:szCs w:val="22"/>
        </w:rPr>
        <w:t xml:space="preserve">Subtract indemnity payout (Module 8). Indemnity offset is typically credited at the same cash date as the event payment.</w:t>
      </w:r>
    </w:p>
    <w:p>
      <w:pPr>
        <w:pStyle w:val="ListParagraph"/>
        <w:numPr>
          <w:ilvl w:val="0"/>
          <w:numId w:val="3"/>
        </w:numPr>
        <w:spacing w:after="30" w:before="30"/>
      </w:pPr>
      <w:r>
        <w:rPr>
          <w:rFonts w:ascii="Arial" w:cs="Arial" w:eastAsia="Arial" w:hAnsi="Arial"/>
          <w:color w:val="1F1F1F"/>
          <w:sz w:val="22"/>
          <w:szCs w:val="22"/>
        </w:rPr>
        <w:t xml:space="preserve">Subtract stop-loss reimbursement (Module 6 stop-loss layer). Stop-loss reimbursement is filed monthly; modeled cash arrives 30–60 days after the triggering event.</w:t>
      </w:r>
    </w:p>
    <w:p>
      <w:pPr>
        <w:pStyle w:val="Heading3"/>
        <w:spacing w:after="80" w:before="200"/>
      </w:pPr>
      <w:r>
        <w:rPr>
          <w:rFonts w:ascii="Arial" w:cs="Arial" w:eastAsia="Arial" w:hAnsi="Arial"/>
          <w:b/>
          <w:bCs/>
          <w:color w:val="1F1F1F"/>
          <w:sz w:val="24"/>
          <w:szCs w:val="24"/>
        </w:rPr>
        <w:t xml:space="preserve">8.2 Rolling Windows</w:t>
      </w:r>
    </w:p>
    <w:p>
      <w:pPr>
        <w:pStyle w:val="ListParagraph"/>
        <w:numPr>
          <w:ilvl w:val="0"/>
          <w:numId w:val="3"/>
        </w:numPr>
        <w:spacing w:after="30" w:before="30"/>
      </w:pPr>
      <w:r>
        <w:rPr>
          <w:rFonts w:ascii="Arial" w:cs="Arial" w:eastAsia="Arial" w:hAnsi="Arial"/>
          <w:color w:val="1F1F1F"/>
          <w:sz w:val="22"/>
          <w:szCs w:val="22"/>
        </w:rPr>
        <w:t xml:space="preserve">Rolling 30-day window: sum of net outflows over any 30 consecutive calendar days. The maximum across the simulation horizon is the worst-month outflow.</w:t>
      </w:r>
    </w:p>
    <w:p>
      <w:pPr>
        <w:pStyle w:val="ListParagraph"/>
        <w:numPr>
          <w:ilvl w:val="0"/>
          <w:numId w:val="3"/>
        </w:numPr>
        <w:spacing w:after="30" w:before="30"/>
      </w:pPr>
      <w:r>
        <w:rPr>
          <w:rFonts w:ascii="Arial" w:cs="Arial" w:eastAsia="Arial" w:hAnsi="Arial"/>
          <w:color w:val="1F1F1F"/>
          <w:sz w:val="22"/>
          <w:szCs w:val="22"/>
        </w:rPr>
        <w:t xml:space="preserve">Rolling 7-day window: short-tail visibility for chronic-condition employers. Optional output.</w:t>
      </w:r>
    </w:p>
    <w:p>
      <w:pPr>
        <w:pStyle w:val="ListParagraph"/>
        <w:numPr>
          <w:ilvl w:val="0"/>
          <w:numId w:val="3"/>
        </w:numPr>
        <w:spacing w:after="30" w:before="30"/>
      </w:pPr>
      <w:r>
        <w:rPr>
          <w:rFonts w:ascii="Arial" w:cs="Arial" w:eastAsia="Arial" w:hAnsi="Arial"/>
          <w:color w:val="1F1F1F"/>
          <w:sz w:val="22"/>
          <w:szCs w:val="22"/>
        </w:rPr>
        <w:t xml:space="preserve">Calendar month window: aligns with employer accounting cycles. Required for CFO conversations.</w:t>
      </w:r>
    </w:p>
    <w:p>
      <w:pPr>
        <w:pStyle w:val="Heading3"/>
        <w:spacing w:after="80" w:before="200"/>
      </w:pPr>
      <w:r>
        <w:rPr>
          <w:rFonts w:ascii="Arial" w:cs="Arial" w:eastAsia="Arial" w:hAnsi="Arial"/>
          <w:b/>
          <w:bCs/>
          <w:color w:val="1F1F1F"/>
          <w:sz w:val="24"/>
          <w:szCs w:val="24"/>
        </w:rPr>
        <w:t xml:space="preserve">8.3 Why Rolling Beats Calendar</w:t>
      </w:r>
    </w:p>
    <w:p>
      <w:pPr>
        <w:spacing w:after="80" w:before="80"/>
        <w:jc w:val="left"/>
      </w:pPr>
      <w:r>
        <w:rPr>
          <w:rFonts w:ascii="Arial" w:cs="Arial" w:eastAsia="Arial" w:hAnsi="Arial"/>
          <w:b w:val="false"/>
          <w:bCs w:val="false"/>
          <w:i w:val="false"/>
          <w:iCs w:val="false"/>
          <w:color w:val="1F1F1F"/>
          <w:sz w:val="22"/>
          <w:szCs w:val="22"/>
        </w:rPr>
        <w:t xml:space="preserve">Calendar-month accounting can hide the worst-case month. A $40K event paid on day 28 of January and a $35K event paid on day 5 of February straddle two calendar months but constitute a $75K outflow within a 12-day rolling window. Liquidity planning must account for this. The engine must compute and surface both calendar and rolling views.</w:t>
      </w:r>
    </w:p>
    <w:p>
      <w:pPr>
        <w:pStyle w:val="Heading1"/>
        <w:spacing w:after="160" w:before="360"/>
      </w:pPr>
      <w:r>
        <w:rPr>
          <w:rFonts w:ascii="Arial" w:cs="Arial" w:eastAsia="Arial" w:hAnsi="Arial"/>
          <w:b/>
          <w:bCs/>
          <w:color w:val="1F1F1F"/>
          <w:sz w:val="36"/>
          <w:szCs w:val="36"/>
        </w:rPr>
        <w:t xml:space="preserve">Part V · Liquidity Engine</w:t>
      </w:r>
    </w:p>
    <w:p>
      <w:pPr>
        <w:pStyle w:val="Heading2"/>
        <w:spacing w:after="120" w:before="280"/>
      </w:pPr>
      <w:r>
        <w:rPr>
          <w:rFonts w:ascii="Arial" w:cs="Arial" w:eastAsia="Arial" w:hAnsi="Arial"/>
          <w:b/>
          <w:bCs/>
          <w:color w:val="1F1F1F"/>
          <w:sz w:val="28"/>
          <w:szCs w:val="28"/>
        </w:rPr>
        <w:t xml:space="preserve">9. Module 7 — Liquidity Engine</w:t>
      </w:r>
    </w:p>
    <w:p>
      <w:pPr>
        <w:spacing w:after="80" w:before="80"/>
        <w:jc w:val="left"/>
      </w:pPr>
      <w:r>
        <w:rPr>
          <w:rFonts w:ascii="Arial" w:cs="Arial" w:eastAsia="Arial" w:hAnsi="Arial"/>
          <w:b w:val="false"/>
          <w:bCs w:val="false"/>
          <w:i w:val="false"/>
          <w:iCs w:val="false"/>
          <w:color w:val="1F1F1F"/>
          <w:sz w:val="22"/>
          <w:szCs w:val="22"/>
        </w:rPr>
        <w:t xml:space="preserve">Reads the simulated cash flow series, applies the replenishment model (Section 10) and the stop-loss reimbursement schedule (Section 21), aggregates per run and per window, and computes the percentile distribution of liquidity requirements.</w:t>
      </w:r>
    </w:p>
    <w:p>
      <w:pPr>
        <w:pStyle w:val="Heading3"/>
        <w:spacing w:after="80" w:before="200"/>
      </w:pPr>
      <w:r>
        <w:rPr>
          <w:rFonts w:ascii="Arial" w:cs="Arial" w:eastAsia="Arial" w:hAnsi="Arial"/>
          <w:b/>
          <w:bCs/>
          <w:color w:val="1F1F1F"/>
          <w:sz w:val="24"/>
          <w:szCs w:val="24"/>
        </w:rPr>
        <w:t xml:space="preserve">9.1 Net Drawdown Algorithm</w:t>
      </w:r>
    </w:p>
    <w:p>
      <w:pPr>
        <w:spacing w:after="80" w:before="80"/>
        <w:jc w:val="left"/>
      </w:pPr>
      <w:r>
        <w:rPr>
          <w:rFonts w:ascii="Arial" w:cs="Arial" w:eastAsia="Arial" w:hAnsi="Arial"/>
          <w:b/>
          <w:bCs/>
          <w:i w:val="false"/>
          <w:iCs w:val="false"/>
          <w:color w:val="1F1F1F"/>
          <w:sz w:val="22"/>
          <w:szCs w:val="22"/>
        </w:rPr>
        <w:t xml:space="preserve">Liquidity is computed against Net Drawdown per Part 0 terminology. Net Drawdown is Pre-Reimbursement Outflow minus replenishment inflows minus reimbursements received within the window. A static reserve model (no replenishment, no reimbursement timing) overstates the required buffer by 20 to 35% in typical populations.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3"/>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3"/>
                <w:szCs w:val="13"/>
              </w:rPr>
              <w:t xml:space="preserve">FOR each simulation_run:</w:t>
            </w:r>
          </w:p>
          <w:p>
            <w:pPr>
              <w:spacing w:after="0" w:before="0" w:line="240"/>
            </w:pPr>
            <w:r>
              <w:rPr>
                <w:rFonts w:ascii="Consolas" w:cs="Consolas" w:eastAsia="Consolas" w:hAnsi="Consolas"/>
                <w:b w:val="false"/>
                <w:bCs w:val="false"/>
                <w:i w:val="false"/>
                <w:iCs w:val="false"/>
                <w:color w:val="1F1F1F"/>
                <w:sz w:val="13"/>
                <w:szCs w:val="13"/>
              </w:rPr>
              <w:t xml:space="preserve">  // Daily flows (per Part 0 terminology):</w:t>
            </w:r>
          </w:p>
          <w:p>
            <w:pPr>
              <w:spacing w:after="0" w:before="0" w:line="240"/>
            </w:pPr>
            <w:r>
              <w:rPr>
                <w:rFonts w:ascii="Consolas" w:cs="Consolas" w:eastAsia="Consolas" w:hAnsi="Consolas"/>
                <w:b w:val="false"/>
                <w:bCs w:val="false"/>
                <w:i w:val="false"/>
                <w:iCs w:val="false"/>
                <w:color w:val="1F1F1F"/>
                <w:sz w:val="13"/>
                <w:szCs w:val="13"/>
              </w:rPr>
              <w:t xml:space="preserve">  daily_pre_reimbursement_outflow[d]  =  Gross Cash Outflows on day d</w:t>
            </w:r>
          </w:p>
          <w:p>
            <w:pPr>
              <w:spacing w:after="0" w:before="0" w:line="240"/>
            </w:pPr>
            <w:r>
              <w:rPr>
                <w:rFonts w:ascii="Consolas" w:cs="Consolas" w:eastAsia="Consolas" w:hAnsi="Consolas"/>
                <w:b w:val="false"/>
                <w:bCs w:val="false"/>
                <w:i w:val="false"/>
                <w:iCs w:val="false"/>
                <w:color w:val="1F1F1F"/>
                <w:sz w:val="13"/>
                <w:szCs w:val="13"/>
              </w:rPr>
              <w:t xml:space="preserve">                                          (events paid to providers, with tier-specific</w:t>
            </w:r>
          </w:p>
          <w:p>
            <w:pPr>
              <w:spacing w:after="0" w:before="0" w:line="240"/>
            </w:pPr>
            <w:r>
              <w:rPr>
                <w:rFonts w:ascii="Consolas" w:cs="Consolas" w:eastAsia="Consolas" w:hAnsi="Consolas"/>
                <w:b w:val="false"/>
                <w:bCs w:val="false"/>
                <w:i w:val="false"/>
                <w:iCs w:val="false"/>
                <w:color w:val="1F1F1F"/>
                <w:sz w:val="13"/>
                <w:szCs w:val="13"/>
              </w:rPr>
              <w:t xml:space="preserve">                                           service-to-cash lag applied per Section 8.1)</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daily_replenishment[d]               =  monthly_replenishment if d is the 1st</w:t>
            </w:r>
          </w:p>
          <w:p>
            <w:pPr>
              <w:spacing w:after="0" w:before="0" w:line="240"/>
            </w:pPr>
            <w:r>
              <w:rPr>
                <w:rFonts w:ascii="Consolas" w:cs="Consolas" w:eastAsia="Consolas" w:hAnsi="Consolas"/>
                <w:b w:val="false"/>
                <w:bCs w:val="false"/>
                <w:i w:val="false"/>
                <w:iCs w:val="false"/>
                <w:color w:val="1F1F1F"/>
                <w:sz w:val="13"/>
                <w:szCs w:val="13"/>
              </w:rPr>
              <w:t xml:space="preserve">                                          else 0  (per Section 11)</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daily_reimbursement_received[d]      =  stop-loss reimbursements arriving on day d</w:t>
            </w:r>
          </w:p>
          <w:p>
            <w:pPr>
              <w:spacing w:after="0" w:before="0" w:line="240"/>
            </w:pPr>
            <w:r>
              <w:rPr>
                <w:rFonts w:ascii="Consolas" w:cs="Consolas" w:eastAsia="Consolas" w:hAnsi="Consolas"/>
                <w:b w:val="false"/>
                <w:bCs w:val="false"/>
                <w:i w:val="false"/>
                <w:iCs w:val="false"/>
                <w:color w:val="1F1F1F"/>
                <w:sz w:val="13"/>
                <w:szCs w:val="13"/>
              </w:rPr>
              <w:t xml:space="preserve">                                          (specific stop-loss filed monthly, lag 60-90</w:t>
            </w:r>
          </w:p>
          <w:p>
            <w:pPr>
              <w:spacing w:after="0" w:before="0" w:line="240"/>
            </w:pPr>
            <w:r>
              <w:rPr>
                <w:rFonts w:ascii="Consolas" w:cs="Consolas" w:eastAsia="Consolas" w:hAnsi="Consolas"/>
                <w:b w:val="false"/>
                <w:bCs w:val="false"/>
                <w:i w:val="false"/>
                <w:iCs w:val="false"/>
                <w:color w:val="1F1F1F"/>
                <w:sz w:val="13"/>
                <w:szCs w:val="13"/>
              </w:rPr>
              <w:t xml:space="preserve">                                           days; aggregate stop-loss filed monthly per</w:t>
            </w:r>
          </w:p>
          <w:p>
            <w:pPr>
              <w:spacing w:after="0" w:before="0" w:line="240"/>
            </w:pPr>
            <w:r>
              <w:rPr>
                <w:rFonts w:ascii="Consolas" w:cs="Consolas" w:eastAsia="Consolas" w:hAnsi="Consolas"/>
                <w:b w:val="false"/>
                <w:bCs w:val="false"/>
                <w:i w:val="false"/>
                <w:iCs w:val="false"/>
                <w:color w:val="1F1F1F"/>
                <w:sz w:val="13"/>
                <w:szCs w:val="13"/>
              </w:rPr>
              <w:t xml:space="preserve">                                           Section 22, lag 60-90 days)</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daily_net_flow[d]                    =  daily_pre_reimbursement_outflow[d]</w:t>
            </w:r>
          </w:p>
          <w:p>
            <w:pPr>
              <w:spacing w:after="0" w:before="0" w:line="240"/>
            </w:pPr>
            <w:r>
              <w:rPr>
                <w:rFonts w:ascii="Consolas" w:cs="Consolas" w:eastAsia="Consolas" w:hAnsi="Consolas"/>
                <w:b w:val="false"/>
                <w:bCs w:val="false"/>
                <w:i w:val="false"/>
                <w:iCs w:val="false"/>
                <w:color w:val="1F1F1F"/>
                <w:sz w:val="13"/>
                <w:szCs w:val="13"/>
              </w:rPr>
              <w:t xml:space="preserve">                                        −  daily_replenishment[d]</w:t>
            </w:r>
          </w:p>
          <w:p>
            <w:pPr>
              <w:spacing w:after="0" w:before="0" w:line="240"/>
            </w:pPr>
            <w:r>
              <w:rPr>
                <w:rFonts w:ascii="Consolas" w:cs="Consolas" w:eastAsia="Consolas" w:hAnsi="Consolas"/>
                <w:b w:val="false"/>
                <w:bCs w:val="false"/>
                <w:i w:val="false"/>
                <w:iCs w:val="false"/>
                <w:color w:val="1F1F1F"/>
                <w:sz w:val="13"/>
                <w:szCs w:val="13"/>
              </w:rPr>
              <w:t xml:space="preserve">                                        −  daily_reimbursement_received[d]</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 Rolling 30-day net drawdown:</w:t>
            </w:r>
          </w:p>
          <w:p>
            <w:pPr>
              <w:spacing w:after="0" w:before="0" w:line="240"/>
            </w:pPr>
            <w:r>
              <w:rPr>
                <w:rFonts w:ascii="Consolas" w:cs="Consolas" w:eastAsia="Consolas" w:hAnsi="Consolas"/>
                <w:b w:val="false"/>
                <w:bCs w:val="false"/>
                <w:i w:val="false"/>
                <w:iCs w:val="false"/>
                <w:color w:val="1F1F1F"/>
                <w:sz w:val="13"/>
                <w:szCs w:val="13"/>
              </w:rPr>
              <w:t xml:space="preserve">  drawdown_30day[d]                    =  cumulative sum of daily_net_flow over</w:t>
            </w:r>
          </w:p>
          <w:p>
            <w:pPr>
              <w:spacing w:after="0" w:before="0" w:line="240"/>
            </w:pPr>
            <w:r>
              <w:rPr>
                <w:rFonts w:ascii="Consolas" w:cs="Consolas" w:eastAsia="Consolas" w:hAnsi="Consolas"/>
                <w:b w:val="false"/>
                <w:bCs w:val="false"/>
                <w:i w:val="false"/>
                <w:iCs w:val="false"/>
                <w:color w:val="1F1F1F"/>
                <w:sz w:val="13"/>
                <w:szCs w:val="13"/>
              </w:rPr>
              <w:t xml:space="preserve">                                          the 30-day window ending on day d</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 Per-run worst-case:</w:t>
            </w:r>
          </w:p>
          <w:p>
            <w:pPr>
              <w:spacing w:after="0" w:before="0" w:line="240"/>
            </w:pPr>
            <w:r>
              <w:rPr>
                <w:rFonts w:ascii="Consolas" w:cs="Consolas" w:eastAsia="Consolas" w:hAnsi="Consolas"/>
                <w:b w:val="false"/>
                <w:bCs w:val="false"/>
                <w:i w:val="false"/>
                <w:iCs w:val="false"/>
                <w:color w:val="1F1F1F"/>
                <w:sz w:val="13"/>
                <w:szCs w:val="13"/>
              </w:rPr>
              <w:t xml:space="preserve">  rolling_30day_max                    =  max(drawdown_30day) over all days</w:t>
            </w:r>
          </w:p>
          <w:p>
            <w:pPr>
              <w:spacing w:after="0" w:before="0" w:line="240"/>
            </w:pPr>
            <w:r>
              <w:rPr>
                <w:rFonts w:ascii="Consolas" w:cs="Consolas" w:eastAsia="Consolas" w:hAnsi="Consolas"/>
                <w:b w:val="false"/>
                <w:bCs w:val="false"/>
                <w:i w:val="false"/>
                <w:iCs w:val="false"/>
                <w:color w:val="1F1F1F"/>
                <w:sz w:val="13"/>
                <w:szCs w:val="13"/>
              </w:rPr>
              <w:t xml:space="preserve">  worst_month_calendar                 =  max(monthly net flow) over calendar months</w:t>
            </w:r>
          </w:p>
          <w:p>
            <w:pPr>
              <w:spacing w:after="0" w:before="0" w:line="240"/>
            </w:pPr>
            <w:r>
              <w:rPr>
                <w:rFonts w:ascii="Consolas" w:cs="Consolas" w:eastAsia="Consolas" w:hAnsi="Consolas"/>
                <w:b w:val="false"/>
                <w:bCs w:val="false"/>
                <w:i w:val="false"/>
                <w:iCs w:val="false"/>
                <w:color w:val="1F1F1F"/>
                <w:sz w:val="13"/>
                <w:szCs w:val="13"/>
              </w:rPr>
              <w:t xml:space="preserve">END</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Across all runs:</w:t>
            </w:r>
          </w:p>
          <w:p>
            <w:pPr>
              <w:spacing w:after="0" w:before="0" w:line="240"/>
            </w:pPr>
            <w:r>
              <w:rPr>
                <w:rFonts w:ascii="Consolas" w:cs="Consolas" w:eastAsia="Consolas" w:hAnsi="Consolas"/>
                <w:b w:val="false"/>
                <w:bCs w:val="false"/>
                <w:i w:val="false"/>
                <w:iCs w:val="false"/>
                <w:color w:val="1F1F1F"/>
                <w:sz w:val="13"/>
                <w:szCs w:val="13"/>
              </w:rPr>
              <w:t xml:space="preserve">  P50_rolling = percentile(rolling_30day_max, 50)</w:t>
            </w:r>
          </w:p>
          <w:p>
            <w:pPr>
              <w:spacing w:after="0" w:before="0" w:line="240"/>
            </w:pPr>
            <w:r>
              <w:rPr>
                <w:rFonts w:ascii="Consolas" w:cs="Consolas" w:eastAsia="Consolas" w:hAnsi="Consolas"/>
                <w:b w:val="false"/>
                <w:bCs w:val="false"/>
                <w:i w:val="false"/>
                <w:iCs w:val="false"/>
                <w:color w:val="1F1F1F"/>
                <w:sz w:val="13"/>
                <w:szCs w:val="13"/>
              </w:rPr>
              <w:t xml:space="preserve">  P75_rolling = percentile(rolling_30day_max, 75)</w:t>
            </w:r>
          </w:p>
          <w:p>
            <w:pPr>
              <w:spacing w:after="0" w:before="0" w:line="240"/>
            </w:pPr>
            <w:r>
              <w:rPr>
                <w:rFonts w:ascii="Consolas" w:cs="Consolas" w:eastAsia="Consolas" w:hAnsi="Consolas"/>
                <w:b w:val="false"/>
                <w:bCs w:val="false"/>
                <w:i w:val="false"/>
                <w:iCs w:val="false"/>
                <w:color w:val="1F1F1F"/>
                <w:sz w:val="13"/>
                <w:szCs w:val="13"/>
              </w:rPr>
              <w:t xml:space="preserve">  P90_rolling = percentile(rolling_30day_max, 90)</w:t>
            </w:r>
          </w:p>
          <w:p>
            <w:pPr>
              <w:spacing w:after="0" w:before="0" w:line="240"/>
            </w:pPr>
            <w:r>
              <w:rPr>
                <w:rFonts w:ascii="Consolas" w:cs="Consolas" w:eastAsia="Consolas" w:hAnsi="Consolas"/>
                <w:b w:val="false"/>
                <w:bCs w:val="false"/>
                <w:i w:val="false"/>
                <w:iCs w:val="false"/>
                <w:color w:val="1F1F1F"/>
                <w:sz w:val="13"/>
                <w:szCs w:val="13"/>
              </w:rPr>
              <w:t xml:space="preserve">  P95_rolling = percentile(rolling_30day_max, 95)  ← Minimum Required Liquidity</w:t>
            </w:r>
          </w:p>
          <w:p>
            <w:pPr>
              <w:spacing w:after="0" w:before="0" w:line="240"/>
            </w:pPr>
            <w:r>
              <w:rPr>
                <w:rFonts w:ascii="Consolas" w:cs="Consolas" w:eastAsia="Consolas" w:hAnsi="Consolas"/>
                <w:b w:val="false"/>
                <w:bCs w:val="false"/>
                <w:i w:val="false"/>
                <w:iCs w:val="false"/>
                <w:color w:val="1F1F1F"/>
                <w:sz w:val="13"/>
                <w:szCs w:val="13"/>
              </w:rPr>
              <w:t xml:space="preserve">  P99_rolling = percentile(rolling_30day_max, 99)</w:t>
            </w:r>
          </w:p>
          <w:p>
            <w:pPr>
              <w:spacing w:after="0" w:before="0" w:line="240"/>
            </w:pPr>
            <w:r>
              <w:rPr>
                <w:rFonts w:ascii="Consolas" w:cs="Consolas" w:eastAsia="Consolas" w:hAnsi="Consolas"/>
                <w:b w:val="false"/>
                <w:bCs w:val="false"/>
                <w:i w:val="false"/>
                <w:iCs w:val="false"/>
                <w:color w:val="1F1F1F"/>
                <w:sz w:val="13"/>
                <w:szCs w:val="13"/>
              </w:rPr>
              <w:t xml:space="preserve"> </w:t>
            </w:r>
          </w:p>
          <w:p>
            <w:pPr>
              <w:spacing w:after="0" w:before="0" w:line="240"/>
            </w:pPr>
            <w:r>
              <w:rPr>
                <w:rFonts w:ascii="Consolas" w:cs="Consolas" w:eastAsia="Consolas" w:hAnsi="Consolas"/>
                <w:b w:val="false"/>
                <w:bCs w:val="false"/>
                <w:i w:val="false"/>
                <w:iCs w:val="false"/>
                <w:color w:val="1F1F1F"/>
                <w:sz w:val="13"/>
                <w:szCs w:val="13"/>
              </w:rPr>
              <w:t xml:space="preserve">  Mean_monthly = mean of all rolling 30-day net flows across all runs</w:t>
            </w:r>
          </w:p>
          <w:p>
            <w:pPr>
              <w:spacing w:after="0" w:before="0" w:line="240"/>
            </w:pPr>
            <w:r>
              <w:rPr>
                <w:rFonts w:ascii="Consolas" w:cs="Consolas" w:eastAsia="Consolas" w:hAnsi="Consolas"/>
                <w:b w:val="false"/>
                <w:bCs w:val="false"/>
                <w:i w:val="false"/>
                <w:iCs w:val="false"/>
                <w:color w:val="1F1F1F"/>
                <w:sz w:val="13"/>
                <w:szCs w:val="13"/>
              </w:rPr>
              <w:t xml:space="preserve">                  (NOT max-per-run; pooled across all windows)</w:t>
            </w:r>
          </w:p>
        </w:tc>
      </w:tr>
    </w:tbl>
    <w:p>
      <w:pPr>
        <w:pStyle w:val="Heading3"/>
        <w:spacing w:after="80" w:before="200"/>
      </w:pPr>
      <w:r>
        <w:rPr>
          <w:rFonts w:ascii="Arial" w:cs="Arial" w:eastAsia="Arial" w:hAnsi="Arial"/>
          <w:b/>
          <w:bCs/>
          <w:color w:val="1F1F1F"/>
          <w:sz w:val="24"/>
          <w:szCs w:val="24"/>
        </w:rPr>
        <w:t xml:space="preserve">9.2 Required Output Percentiles</w:t>
      </w:r>
    </w:p>
    <w:p>
      <w:pPr>
        <w:pStyle w:val="ListParagraph"/>
        <w:numPr>
          <w:ilvl w:val="0"/>
          <w:numId w:val="3"/>
        </w:numPr>
        <w:spacing w:after="30" w:before="30"/>
      </w:pPr>
      <w:r>
        <w:rPr>
          <w:rFonts w:ascii="Arial" w:cs="Arial" w:eastAsia="Arial" w:hAnsi="Arial"/>
          <w:color w:val="1F1F1F"/>
          <w:sz w:val="22"/>
          <w:szCs w:val="22"/>
        </w:rPr>
        <w:t xml:space="preserve">P50 (median): the typical worst month. Useful for run-rate framing.</w:t>
      </w:r>
    </w:p>
    <w:p>
      <w:pPr>
        <w:pStyle w:val="ListParagraph"/>
        <w:numPr>
          <w:ilvl w:val="0"/>
          <w:numId w:val="3"/>
        </w:numPr>
        <w:spacing w:after="30" w:before="30"/>
      </w:pPr>
      <w:r>
        <w:rPr>
          <w:rFonts w:ascii="Arial" w:cs="Arial" w:eastAsia="Arial" w:hAnsi="Arial"/>
          <w:color w:val="1F1F1F"/>
          <w:sz w:val="22"/>
          <w:szCs w:val="22"/>
        </w:rPr>
        <w:t xml:space="preserve">P75: managed-risk planning level. Used as the SCR denominator.</w:t>
      </w:r>
    </w:p>
    <w:p>
      <w:pPr>
        <w:pStyle w:val="ListParagraph"/>
        <w:numPr>
          <w:ilvl w:val="0"/>
          <w:numId w:val="3"/>
        </w:numPr>
        <w:spacing w:after="30" w:before="30"/>
      </w:pPr>
      <w:r>
        <w:rPr>
          <w:rFonts w:ascii="Arial" w:cs="Arial" w:eastAsia="Arial" w:hAnsi="Arial"/>
          <w:color w:val="1F1F1F"/>
          <w:sz w:val="22"/>
          <w:szCs w:val="22"/>
        </w:rPr>
        <w:t xml:space="preserve">P90: standard CFO planning level.</w:t>
      </w:r>
    </w:p>
    <w:p>
      <w:pPr>
        <w:pStyle w:val="ListParagraph"/>
        <w:numPr>
          <w:ilvl w:val="0"/>
          <w:numId w:val="3"/>
        </w:numPr>
        <w:spacing w:after="30" w:before="30"/>
      </w:pPr>
      <w:r>
        <w:rPr>
          <w:rFonts w:ascii="Arial" w:cs="Arial" w:eastAsia="Arial" w:hAnsi="Arial"/>
          <w:color w:val="1F1F1F"/>
          <w:sz w:val="22"/>
          <w:szCs w:val="22"/>
        </w:rPr>
        <w:t xml:space="preserve">P95: Minimum Required Liquidity. The default OffPlan-recommended capital position.</w:t>
      </w:r>
    </w:p>
    <w:p>
      <w:pPr>
        <w:pStyle w:val="ListParagraph"/>
        <w:numPr>
          <w:ilvl w:val="0"/>
          <w:numId w:val="3"/>
        </w:numPr>
        <w:spacing w:after="30" w:before="30"/>
      </w:pPr>
      <w:r>
        <w:rPr>
          <w:rFonts w:ascii="Arial" w:cs="Arial" w:eastAsia="Arial" w:hAnsi="Arial"/>
          <w:color w:val="1F1F1F"/>
          <w:sz w:val="22"/>
          <w:szCs w:val="22"/>
        </w:rPr>
        <w:t xml:space="preserve">P99: tail risk. The worst month in a 100-month sample. Used for stress testing and disaster planning.</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Customers default-anchor on P95. The other four enable risk appetite conversations.</w:t>
      </w:r>
    </w:p>
    <w:p>
      <w:pPr>
        <w:pStyle w:val="Heading3"/>
        <w:spacing w:after="80" w:before="200"/>
      </w:pPr>
      <w:r>
        <w:rPr>
          <w:rFonts w:ascii="Arial" w:cs="Arial" w:eastAsia="Arial" w:hAnsi="Arial"/>
          <w:b/>
          <w:bCs/>
          <w:color w:val="1F1F1F"/>
          <w:sz w:val="24"/>
          <w:szCs w:val="24"/>
        </w:rPr>
        <w:t xml:space="preserve">9.3 Locked Output Formulas (v1.1)</w:t>
      </w:r>
    </w:p>
    <w:p>
      <w:pPr>
        <w:spacing w:after="80" w:before="80"/>
        <w:jc w:val="left"/>
      </w:pPr>
      <w:r>
        <w:rPr>
          <w:rFonts w:ascii="Arial" w:cs="Arial" w:eastAsia="Arial" w:hAnsi="Arial"/>
          <w:b/>
          <w:bCs/>
          <w:i w:val="false"/>
          <w:iCs w:val="false"/>
          <w:color w:val="1F1F1F"/>
          <w:sz w:val="22"/>
          <w:szCs w:val="22"/>
        </w:rPr>
        <w:t xml:space="preserve">The following formulas are locked. Implementation must produce these exact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Minimum Required Liquidity</w:t>
            </w:r>
          </w:p>
          <w:p>
            <w:pPr>
              <w:spacing w:after="0" w:before="0" w:line="240"/>
            </w:pPr>
            <w:r>
              <w:rPr>
                <w:rFonts w:ascii="Consolas" w:cs="Consolas" w:eastAsia="Consolas" w:hAnsi="Consolas"/>
                <w:b w:val="false"/>
                <w:bCs w:val="false"/>
                <w:i w:val="false"/>
                <w:iCs w:val="false"/>
                <w:color w:val="1F1F1F"/>
                <w:sz w:val="14"/>
                <w:szCs w:val="14"/>
              </w:rPr>
              <w:t xml:space="preserve">    = P95 of max rolling 30-day NET DRAWDOWN per simulation run</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Mean Monthly Outflow</w:t>
            </w:r>
          </w:p>
          <w:p>
            <w:pPr>
              <w:spacing w:after="0" w:before="0" w:line="240"/>
            </w:pPr>
            <w:r>
              <w:rPr>
                <w:rFonts w:ascii="Consolas" w:cs="Consolas" w:eastAsia="Consolas" w:hAnsi="Consolas"/>
                <w:b w:val="false"/>
                <w:bCs w:val="false"/>
                <w:i w:val="false"/>
                <w:iCs w:val="false"/>
                <w:color w:val="1F1F1F"/>
                <w:sz w:val="14"/>
                <w:szCs w:val="14"/>
              </w:rPr>
              <w:t xml:space="preserve">    = mean of rolling 30-day net outflows across all simulation runs</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Liquidity Coverage Ratio (LCR)</w:t>
            </w:r>
          </w:p>
          <w:p>
            <w:pPr>
              <w:spacing w:after="0" w:before="0" w:line="240"/>
            </w:pPr>
            <w:r>
              <w:rPr>
                <w:rFonts w:ascii="Consolas" w:cs="Consolas" w:eastAsia="Consolas" w:hAnsi="Consolas"/>
                <w:b w:val="false"/>
                <w:bCs w:val="false"/>
                <w:i w:val="false"/>
                <w:iCs w:val="false"/>
                <w:color w:val="1F1F1F"/>
                <w:sz w:val="14"/>
                <w:szCs w:val="14"/>
              </w:rPr>
              <w:t xml:space="preserve">    = Minimum Required Liquidity / Mean Monthly Outflow</w:t>
            </w:r>
          </w:p>
          <w:p>
            <w:pPr>
              <w:spacing w:after="0" w:before="0" w:line="240"/>
            </w:pPr>
            <w:r>
              <w:rPr>
                <w:rFonts w:ascii="Consolas" w:cs="Consolas" w:eastAsia="Consolas" w:hAnsi="Consolas"/>
                <w:b w:val="false"/>
                <w:bCs w:val="false"/>
                <w:i w:val="false"/>
                <w:iCs w:val="false"/>
                <w:color w:val="1F1F1F"/>
                <w:sz w:val="14"/>
                <w:szCs w:val="14"/>
              </w:rPr>
              <w:t xml:space="preserve">    Interpretation: 'Reserve covers N.N typical months of variable spend'</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Stress Coverage Ratio (SCR)</w:t>
            </w:r>
          </w:p>
          <w:p>
            <w:pPr>
              <w:spacing w:after="0" w:before="0" w:line="240"/>
            </w:pPr>
            <w:r>
              <w:rPr>
                <w:rFonts w:ascii="Consolas" w:cs="Consolas" w:eastAsia="Consolas" w:hAnsi="Consolas"/>
                <w:b w:val="false"/>
                <w:bCs w:val="false"/>
                <w:i w:val="false"/>
                <w:iCs w:val="false"/>
                <w:color w:val="1F1F1F"/>
                <w:sz w:val="14"/>
                <w:szCs w:val="14"/>
              </w:rPr>
              <w:t xml:space="preserve">    = Minimum Required Liquidity / P75 Monthly Outflow</w:t>
            </w:r>
          </w:p>
          <w:p>
            <w:pPr>
              <w:spacing w:after="0" w:before="0" w:line="240"/>
            </w:pPr>
            <w:r>
              <w:rPr>
                <w:rFonts w:ascii="Consolas" w:cs="Consolas" w:eastAsia="Consolas" w:hAnsi="Consolas"/>
                <w:b w:val="false"/>
                <w:bCs w:val="false"/>
                <w:i w:val="false"/>
                <w:iCs w:val="false"/>
                <w:color w:val="1F1F1F"/>
                <w:sz w:val="14"/>
                <w:szCs w:val="14"/>
              </w:rPr>
              <w:t xml:space="preserve">    Interpretation: 'Reserve covers N.N stress-level months</w:t>
            </w:r>
          </w:p>
          <w:p>
            <w:pPr>
              <w:spacing w:after="0" w:before="0" w:line="240"/>
            </w:pPr>
            <w:r>
              <w:rPr>
                <w:rFonts w:ascii="Consolas" w:cs="Consolas" w:eastAsia="Consolas" w:hAnsi="Consolas"/>
                <w:b w:val="false"/>
                <w:bCs w:val="false"/>
                <w:i w:val="false"/>
                <w:iCs w:val="false"/>
                <w:color w:val="1F1F1F"/>
                <w:sz w:val="14"/>
                <w:szCs w:val="14"/>
              </w:rPr>
              <w:t xml:space="preserve">                     (above typical but below extreme)'</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Capital Efficiency Ratio (CER)</w:t>
            </w:r>
          </w:p>
          <w:p>
            <w:pPr>
              <w:spacing w:after="0" w:before="0" w:line="240"/>
            </w:pPr>
            <w:r>
              <w:rPr>
                <w:rFonts w:ascii="Consolas" w:cs="Consolas" w:eastAsia="Consolas" w:hAnsi="Consolas"/>
                <w:b w:val="false"/>
                <w:bCs w:val="false"/>
                <w:i w:val="false"/>
                <w:iCs w:val="false"/>
                <w:color w:val="1F1F1F"/>
                <w:sz w:val="14"/>
                <w:szCs w:val="14"/>
              </w:rPr>
              <w:t xml:space="preserve">    = Equivalent Level-Funded Total Cost / Minimum Required Liquidity</w:t>
            </w:r>
          </w:p>
          <w:p>
            <w:pPr>
              <w:spacing w:after="0" w:before="0" w:line="240"/>
            </w:pPr>
            <w:r>
              <w:rPr>
                <w:rFonts w:ascii="Consolas" w:cs="Consolas" w:eastAsia="Consolas" w:hAnsi="Consolas"/>
                <w:b w:val="false"/>
                <w:bCs w:val="false"/>
                <w:i w:val="false"/>
                <w:iCs w:val="false"/>
                <w:color w:val="1F1F1F"/>
                <w:sz w:val="14"/>
                <w:szCs w:val="14"/>
              </w:rPr>
              <w:t xml:space="preserve">    Interpretation: 'OffPlan requires N.Nx less capital than level-funded'</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Liquidity Reduction</w:t>
            </w:r>
          </w:p>
          <w:p>
            <w:pPr>
              <w:spacing w:after="0" w:before="0" w:line="240"/>
            </w:pPr>
            <w:r>
              <w:rPr>
                <w:rFonts w:ascii="Consolas" w:cs="Consolas" w:eastAsia="Consolas" w:hAnsi="Consolas"/>
                <w:b w:val="false"/>
                <w:bCs w:val="false"/>
                <w:i w:val="false"/>
                <w:iCs w:val="false"/>
                <w:color w:val="1F1F1F"/>
                <w:sz w:val="14"/>
                <w:szCs w:val="14"/>
              </w:rPr>
              <w:t xml:space="preserve">    = (Equivalent Level-Funded Total Cost − Minimum Required Liquidity)</w:t>
            </w:r>
          </w:p>
          <w:p>
            <w:pPr>
              <w:spacing w:after="0" w:before="0" w:line="240"/>
            </w:pPr>
            <w:r>
              <w:rPr>
                <w:rFonts w:ascii="Consolas" w:cs="Consolas" w:eastAsia="Consolas" w:hAnsi="Consolas"/>
                <w:b w:val="false"/>
                <w:bCs w:val="false"/>
                <w:i w:val="false"/>
                <w:iCs w:val="false"/>
                <w:color w:val="1F1F1F"/>
                <w:sz w:val="14"/>
                <w:szCs w:val="14"/>
              </w:rPr>
              <w:t xml:space="preserve">      / Equivalent Level-Funded Total Cost</w:t>
            </w:r>
          </w:p>
          <w:p>
            <w:pPr>
              <w:spacing w:after="0" w:before="0" w:line="240"/>
            </w:pPr>
            <w:r>
              <w:rPr>
                <w:rFonts w:ascii="Consolas" w:cs="Consolas" w:eastAsia="Consolas" w:hAnsi="Consolas"/>
                <w:b w:val="false"/>
                <w:bCs w:val="false"/>
                <w:i w:val="false"/>
                <w:iCs w:val="false"/>
                <w:color w:val="1F1F1F"/>
                <w:sz w:val="14"/>
                <w:szCs w:val="14"/>
              </w:rPr>
              <w:t xml:space="preserve">    Interpretation: 'OffPlan reduces required capital by N%'</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Equivalence: CER = 1 / (1 − Liquidity Reduction)</w:t>
            </w:r>
          </w:p>
        </w:tc>
      </w:tr>
    </w:tbl>
    <w:p>
      <w:pPr>
        <w:pStyle w:val="Heading3"/>
        <w:spacing w:after="80" w:before="200"/>
      </w:pPr>
      <w:r>
        <w:rPr>
          <w:rFonts w:ascii="Arial" w:cs="Arial" w:eastAsia="Arial" w:hAnsi="Arial"/>
          <w:b/>
          <w:bCs/>
          <w:color w:val="1F1F1F"/>
          <w:sz w:val="24"/>
          <w:szCs w:val="24"/>
        </w:rPr>
        <w:t xml:space="preserve">9.4 Why Mean (Not Median) for LCR</w:t>
      </w:r>
    </w:p>
    <w:p>
      <w:pPr>
        <w:spacing w:after="80" w:before="80"/>
        <w:jc w:val="left"/>
      </w:pPr>
      <w:r>
        <w:rPr>
          <w:rFonts w:ascii="Arial" w:cs="Arial" w:eastAsia="Arial" w:hAnsi="Arial"/>
          <w:b w:val="false"/>
          <w:bCs w:val="false"/>
          <w:i w:val="false"/>
          <w:iCs w:val="false"/>
          <w:color w:val="1F1F1F"/>
          <w:sz w:val="22"/>
          <w:szCs w:val="22"/>
        </w:rPr>
        <w:t xml:space="preserve">LCR uses Mean Monthly Outflow as denominator by default. Median (P50) is supported as a secondary view but is not the default. Reasons:</w:t>
      </w:r>
    </w:p>
    <w:p>
      <w:pPr>
        <w:pStyle w:val="ListParagraph"/>
        <w:numPr>
          <w:ilvl w:val="0"/>
          <w:numId w:val="3"/>
        </w:numPr>
        <w:spacing w:after="30" w:before="30"/>
      </w:pPr>
      <w:r>
        <w:rPr>
          <w:rFonts w:ascii="Arial" w:cs="Arial" w:eastAsia="Arial" w:hAnsi="Arial"/>
          <w:color w:val="1F1F1F"/>
          <w:sz w:val="22"/>
          <w:szCs w:val="22"/>
        </w:rPr>
        <w:t xml:space="preserve">Mean ties directly to expected residual spend (the run-rate the CFO is funding via replenishment).</w:t>
      </w:r>
    </w:p>
    <w:p>
      <w:pPr>
        <w:pStyle w:val="ListParagraph"/>
        <w:numPr>
          <w:ilvl w:val="0"/>
          <w:numId w:val="3"/>
        </w:numPr>
        <w:spacing w:after="30" w:before="30"/>
      </w:pPr>
      <w:r>
        <w:rPr>
          <w:rFonts w:ascii="Arial" w:cs="Arial" w:eastAsia="Arial" w:hAnsi="Arial"/>
          <w:color w:val="1F1F1F"/>
          <w:sz w:val="22"/>
          <w:szCs w:val="22"/>
        </w:rPr>
        <w:t xml:space="preserve">Mean is consistent with financial modeling conventions (P&amp;L, cash forecasts, all use mean).</w:t>
      </w:r>
    </w:p>
    <w:p>
      <w:pPr>
        <w:pStyle w:val="ListParagraph"/>
        <w:numPr>
          <w:ilvl w:val="0"/>
          <w:numId w:val="3"/>
        </w:numPr>
        <w:spacing w:after="30" w:before="30"/>
      </w:pPr>
      <w:r>
        <w:rPr>
          <w:rFonts w:ascii="Arial" w:cs="Arial" w:eastAsia="Arial" w:hAnsi="Arial"/>
          <w:color w:val="1F1F1F"/>
          <w:sz w:val="22"/>
          <w:szCs w:val="22"/>
        </w:rPr>
        <w:t xml:space="preserve">Median is mathematically more stable for skewed distributions, but the conservatism story is cleaner with mean.</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In practice mean and median differ by 10–15% in most populations; both produce defensible LCR values. The spec requires mean as default and stores median as an alternate display.</w:t>
      </w:r>
    </w:p>
    <w:p>
      <w:pPr>
        <w:pStyle w:val="Heading1"/>
        <w:spacing w:after="160" w:before="360"/>
      </w:pPr>
      <w:r>
        <w:rPr>
          <w:rFonts w:ascii="Arial" w:cs="Arial" w:eastAsia="Arial" w:hAnsi="Arial"/>
          <w:b/>
          <w:bCs/>
          <w:color w:val="1F1F1F"/>
          <w:sz w:val="36"/>
          <w:szCs w:val="36"/>
        </w:rPr>
        <w:t xml:space="preserve">Part V.5 · Replenishment Model</w:t>
      </w:r>
    </w:p>
    <w:p>
      <w:pPr>
        <w:spacing w:after="80" w:before="80"/>
        <w:jc w:val="left"/>
      </w:pPr>
      <w:r>
        <w:rPr>
          <w:rFonts w:ascii="Arial" w:cs="Arial" w:eastAsia="Arial" w:hAnsi="Arial"/>
          <w:b/>
          <w:bCs/>
          <w:i w:val="false"/>
          <w:iCs w:val="false"/>
          <w:color w:val="1F1F1F"/>
          <w:sz w:val="22"/>
          <w:szCs w:val="22"/>
        </w:rPr>
        <w:t xml:space="preserve">New section in v1.1. Models how employers actually deploy and refill their liquidity reserve over the course of the year. Without this, the engine systematically overstates the required reserve by 20 to 35%.</w:t>
      </w:r>
    </w:p>
    <w:p>
      <w:pPr>
        <w:pStyle w:val="Heading2"/>
        <w:spacing w:after="120" w:before="280"/>
      </w:pPr>
      <w:r>
        <w:rPr>
          <w:rFonts w:ascii="Arial" w:cs="Arial" w:eastAsia="Arial" w:hAnsi="Arial"/>
          <w:b/>
          <w:bCs/>
          <w:color w:val="1F1F1F"/>
          <w:sz w:val="28"/>
          <w:szCs w:val="28"/>
        </w:rPr>
        <w:t xml:space="preserve">10. Why Replenishment Matters</w:t>
      </w:r>
    </w:p>
    <w:p>
      <w:pPr>
        <w:spacing w:after="80" w:before="80"/>
        <w:jc w:val="left"/>
      </w:pPr>
      <w:r>
        <w:rPr>
          <w:rFonts w:ascii="Arial" w:cs="Arial" w:eastAsia="Arial" w:hAnsi="Arial"/>
          <w:b w:val="false"/>
          <w:bCs w:val="false"/>
          <w:i w:val="false"/>
          <w:iCs w:val="false"/>
          <w:color w:val="1F1F1F"/>
          <w:sz w:val="22"/>
          <w:szCs w:val="22"/>
        </w:rPr>
        <w:t xml:space="preserve">v1.0 modeled the reserve as static: the employer holds the full P95 buffer for the entire year. That is operationally false. Real employers replenish the reserve monthly via payroll cycle. As long as the replenishment cadence keeps pace with the outflow rate over time, the reserve only needs to absorb the timing mismatch in any 30-day window — not the gross annual outflow.</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Modeling replenishment correctly:</w:t>
      </w:r>
    </w:p>
    <w:p>
      <w:pPr>
        <w:pStyle w:val="ListParagraph"/>
        <w:numPr>
          <w:ilvl w:val="0"/>
          <w:numId w:val="3"/>
        </w:numPr>
        <w:spacing w:after="30" w:before="30"/>
      </w:pPr>
      <w:r>
        <w:rPr>
          <w:rFonts w:ascii="Arial" w:cs="Arial" w:eastAsia="Arial" w:hAnsi="Arial"/>
          <w:color w:val="1F1F1F"/>
          <w:sz w:val="22"/>
          <w:szCs w:val="22"/>
        </w:rPr>
        <w:t xml:space="preserve">Reduces Minimum Required Liquidity by 20 to 35% in typical populations.</w:t>
      </w:r>
    </w:p>
    <w:p>
      <w:pPr>
        <w:pStyle w:val="ListParagraph"/>
        <w:numPr>
          <w:ilvl w:val="0"/>
          <w:numId w:val="3"/>
        </w:numPr>
        <w:spacing w:after="30" w:before="30"/>
      </w:pPr>
      <w:r>
        <w:rPr>
          <w:rFonts w:ascii="Arial" w:cs="Arial" w:eastAsia="Arial" w:hAnsi="Arial"/>
          <w:color w:val="1F1F1F"/>
          <w:sz w:val="22"/>
          <w:szCs w:val="22"/>
        </w:rPr>
        <w:t xml:space="preserve">Increases Capital Efficiency Ratio (CER) by the same proportion.</w:t>
      </w:r>
    </w:p>
    <w:p>
      <w:pPr>
        <w:pStyle w:val="ListParagraph"/>
        <w:numPr>
          <w:ilvl w:val="0"/>
          <w:numId w:val="3"/>
        </w:numPr>
        <w:spacing w:after="30" w:before="30"/>
      </w:pPr>
      <w:r>
        <w:rPr>
          <w:rFonts w:ascii="Arial" w:cs="Arial" w:eastAsia="Arial" w:hAnsi="Arial"/>
          <w:color w:val="1F1F1F"/>
          <w:sz w:val="22"/>
          <w:szCs w:val="22"/>
        </w:rPr>
        <w:t xml:space="preserve">Aligns the reserve number with how a CFO actually funds the plan.</w:t>
      </w:r>
    </w:p>
    <w:p>
      <w:pPr>
        <w:pStyle w:val="ListParagraph"/>
        <w:numPr>
          <w:ilvl w:val="0"/>
          <w:numId w:val="3"/>
        </w:numPr>
        <w:spacing w:after="30" w:before="30"/>
      </w:pPr>
      <w:r>
        <w:rPr>
          <w:rFonts w:ascii="Arial" w:cs="Arial" w:eastAsia="Arial" w:hAnsi="Arial"/>
          <w:color w:val="1F1F1F"/>
          <w:sz w:val="22"/>
          <w:szCs w:val="22"/>
        </w:rPr>
        <w:t xml:space="preserve">Does not weaken conservatism — the reserve still covers the worst rolling 30-day net drawdown at P95.</w:t>
      </w:r>
    </w:p>
    <w:p>
      <w:pPr>
        <w:pStyle w:val="Heading2"/>
        <w:spacing w:after="120" w:before="280"/>
      </w:pPr>
      <w:r>
        <w:rPr>
          <w:rFonts w:ascii="Arial" w:cs="Arial" w:eastAsia="Arial" w:hAnsi="Arial"/>
          <w:b/>
          <w:bCs/>
          <w:color w:val="1F1F1F"/>
          <w:sz w:val="28"/>
          <w:szCs w:val="28"/>
        </w:rPr>
        <w:t xml:space="preserve">11. The Locked Default Replenishment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bCs/>
                <w:i w:val="false"/>
                <w:iCs w:val="false"/>
                <w:color w:val="1F1F1F"/>
                <w:sz w:val="22"/>
                <w:szCs w:val="22"/>
              </w:rPr>
              <w:t xml:space="preserve">monthly_replenishment  =  Expected Residual Spend (PEPM)  ×  covered_lives</w:t>
            </w:r>
          </w:p>
          <w:p>
            <w:pPr>
              <w:spacing w:after="0" w:before="0" w:line="240"/>
            </w:pPr>
            <w:r>
              <w:rPr>
                <w:rFonts w:ascii="Consolas" w:cs="Consolas" w:eastAsia="Consolas" w:hAnsi="Consolas"/>
                <w:b/>
                <w:bCs/>
                <w:i w:val="false"/>
                <w:iCs w:val="false"/>
                <w:color w:val="1F1F1F"/>
                <w:sz w:val="22"/>
                <w:szCs w:val="22"/>
              </w:rPr>
              <w:t xml:space="preserve"> </w:t>
            </w:r>
          </w:p>
          <w:p>
            <w:pPr>
              <w:spacing w:after="0" w:before="0" w:line="240"/>
            </w:pPr>
            <w:r>
              <w:rPr>
                <w:rFonts w:ascii="Consolas" w:cs="Consolas" w:eastAsia="Consolas" w:hAnsi="Consolas"/>
                <w:b/>
                <w:bCs/>
                <w:i w:val="false"/>
                <w:iCs w:val="false"/>
                <w:color w:val="1F1F1F"/>
                <w:sz w:val="22"/>
                <w:szCs w:val="22"/>
              </w:rPr>
              <w:t xml:space="preserve">Replenishment cadence:  1st of each month</w:t>
            </w:r>
          </w:p>
          <w:p>
            <w:pPr>
              <w:spacing w:after="0" w:before="0" w:line="240"/>
            </w:pPr>
            <w:r>
              <w:rPr>
                <w:rFonts w:ascii="Consolas" w:cs="Consolas" w:eastAsia="Consolas" w:hAnsi="Consolas"/>
                <w:b/>
                <w:bCs/>
                <w:i w:val="false"/>
                <w:iCs w:val="false"/>
                <w:color w:val="1F1F1F"/>
                <w:sz w:val="22"/>
                <w:szCs w:val="22"/>
              </w:rPr>
              <w:t xml:space="preserve">Replenishment timing:   credited at the start of the day on the 1st</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Default rationale:</w:t>
      </w:r>
    </w:p>
    <w:p>
      <w:pPr>
        <w:pStyle w:val="ListParagraph"/>
        <w:numPr>
          <w:ilvl w:val="0"/>
          <w:numId w:val="3"/>
        </w:numPr>
        <w:spacing w:after="30" w:before="30"/>
      </w:pPr>
      <w:r>
        <w:rPr>
          <w:rFonts w:ascii="Arial" w:cs="Arial" w:eastAsia="Arial" w:hAnsi="Arial"/>
          <w:color w:val="1F1F1F"/>
          <w:sz w:val="22"/>
          <w:szCs w:val="22"/>
        </w:rPr>
        <w:t xml:space="preserve">Fixed monthly contribution equal to expected residual spend is the simplest, most conservative model.</w:t>
      </w:r>
    </w:p>
    <w:p>
      <w:pPr>
        <w:pStyle w:val="ListParagraph"/>
        <w:numPr>
          <w:ilvl w:val="0"/>
          <w:numId w:val="3"/>
        </w:numPr>
        <w:spacing w:after="30" w:before="30"/>
      </w:pPr>
      <w:r>
        <w:rPr>
          <w:rFonts w:ascii="Arial" w:cs="Arial" w:eastAsia="Arial" w:hAnsi="Arial"/>
          <w:color w:val="1F1F1F"/>
          <w:sz w:val="22"/>
          <w:szCs w:val="22"/>
        </w:rPr>
        <w:t xml:space="preserve">Aligns with payroll cycles; CFOs already operate on this cadence for benefits funding.</w:t>
      </w:r>
    </w:p>
    <w:p>
      <w:pPr>
        <w:pStyle w:val="ListParagraph"/>
        <w:numPr>
          <w:ilvl w:val="0"/>
          <w:numId w:val="3"/>
        </w:numPr>
        <w:spacing w:after="30" w:before="30"/>
      </w:pPr>
      <w:r>
        <w:rPr>
          <w:rFonts w:ascii="Arial" w:cs="Arial" w:eastAsia="Arial" w:hAnsi="Arial"/>
          <w:color w:val="1F1F1F"/>
          <w:sz w:val="22"/>
          <w:szCs w:val="22"/>
        </w:rPr>
        <w:t xml:space="preserve">Predictable cash demand for the employer; no variable monthly contribution sizing required.</w:t>
      </w:r>
    </w:p>
    <w:p>
      <w:pPr>
        <w:pStyle w:val="ListParagraph"/>
        <w:numPr>
          <w:ilvl w:val="0"/>
          <w:numId w:val="3"/>
        </w:numPr>
        <w:spacing w:after="30" w:before="30"/>
      </w:pPr>
      <w:r>
        <w:rPr>
          <w:rFonts w:ascii="Arial" w:cs="Arial" w:eastAsia="Arial" w:hAnsi="Arial"/>
          <w:color w:val="1F1F1F"/>
          <w:sz w:val="22"/>
          <w:szCs w:val="22"/>
        </w:rPr>
        <w:t xml:space="preserve">Conservative because it does not assume employer can true-up immediately after a high-outflow month.</w:t>
      </w:r>
    </w:p>
    <w:p>
      <w:pPr>
        <w:pStyle w:val="Heading2"/>
        <w:spacing w:after="120" w:before="280"/>
      </w:pPr>
      <w:r>
        <w:rPr>
          <w:rFonts w:ascii="Arial" w:cs="Arial" w:eastAsia="Arial" w:hAnsi="Arial"/>
          <w:b/>
          <w:bCs/>
          <w:color w:val="1F1F1F"/>
          <w:sz w:val="28"/>
          <w:szCs w:val="28"/>
        </w:rPr>
        <w:t xml:space="preserve">12. Replenishment Timing in the Simulator</w:t>
      </w:r>
    </w:p>
    <w:p>
      <w:pPr>
        <w:spacing w:after="80" w:before="80"/>
        <w:jc w:val="left"/>
      </w:pPr>
      <w:r>
        <w:rPr>
          <w:rFonts w:ascii="Arial" w:cs="Arial" w:eastAsia="Arial" w:hAnsi="Arial"/>
          <w:b w:val="false"/>
          <w:bCs w:val="false"/>
          <w:i w:val="false"/>
          <w:iCs w:val="false"/>
          <w:color w:val="1F1F1F"/>
          <w:sz w:val="22"/>
          <w:szCs w:val="22"/>
        </w:rPr>
        <w:t xml:space="preserve">The replenishment is a same-day inflow on day 1 of each month. The rolling 30-day window must account for the timing of replenishment relative to outflows.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 Default cadence: monthly fixed, 1st of month</w:t>
            </w:r>
          </w:p>
          <w:p>
            <w:pPr>
              <w:spacing w:after="0" w:before="0" w:line="240"/>
            </w:pPr>
            <w:r>
              <w:rPr>
                <w:rFonts w:ascii="Consolas" w:cs="Consolas" w:eastAsia="Consolas" w:hAnsi="Consolas"/>
                <w:b w:val="false"/>
                <w:bCs w:val="false"/>
                <w:i w:val="false"/>
                <w:iCs w:val="false"/>
                <w:color w:val="1F1F1F"/>
                <w:sz w:val="14"/>
                <w:szCs w:val="14"/>
              </w:rPr>
              <w:t xml:space="preserve">FOR each day d in the simulation year:</w:t>
            </w:r>
          </w:p>
          <w:p>
            <w:pPr>
              <w:spacing w:after="0" w:before="0" w:line="240"/>
            </w:pPr>
            <w:r>
              <w:rPr>
                <w:rFonts w:ascii="Consolas" w:cs="Consolas" w:eastAsia="Consolas" w:hAnsi="Consolas"/>
                <w:b w:val="false"/>
                <w:bCs w:val="false"/>
                <w:i w:val="false"/>
                <w:iCs w:val="false"/>
                <w:color w:val="1F1F1F"/>
                <w:sz w:val="14"/>
                <w:szCs w:val="14"/>
              </w:rPr>
              <w:t xml:space="preserve">  daily_outflow[d]      = sum of cash events on day d</w:t>
            </w:r>
          </w:p>
          <w:p>
            <w:pPr>
              <w:spacing w:after="0" w:before="0" w:line="240"/>
            </w:pPr>
            <w:r>
              <w:rPr>
                <w:rFonts w:ascii="Consolas" w:cs="Consolas" w:eastAsia="Consolas" w:hAnsi="Consolas"/>
                <w:b w:val="false"/>
                <w:bCs w:val="false"/>
                <w:i w:val="false"/>
                <w:iCs w:val="false"/>
                <w:color w:val="1F1F1F"/>
                <w:sz w:val="14"/>
                <w:szCs w:val="14"/>
              </w:rPr>
              <w:t xml:space="preserve">  daily_replenishment[d] = monthly_replenishment if (d is the 1st of a month) else 0</w:t>
            </w:r>
          </w:p>
          <w:p>
            <w:pPr>
              <w:spacing w:after="0" w:before="0" w:line="240"/>
            </w:pPr>
            <w:r>
              <w:rPr>
                <w:rFonts w:ascii="Consolas" w:cs="Consolas" w:eastAsia="Consolas" w:hAnsi="Consolas"/>
                <w:b w:val="false"/>
                <w:bCs w:val="false"/>
                <w:i w:val="false"/>
                <w:iCs w:val="false"/>
                <w:color w:val="1F1F1F"/>
                <w:sz w:val="14"/>
                <w:szCs w:val="14"/>
              </w:rPr>
              <w:t xml:space="preserve">  daily_net_flow[d]     = daily_outflow[d] − daily_replenishment[d]</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Rolling 30-day net drawdown:</w:t>
            </w:r>
          </w:p>
          <w:p>
            <w:pPr>
              <w:spacing w:after="0" w:before="0" w:line="240"/>
            </w:pPr>
            <w:r>
              <w:rPr>
                <w:rFonts w:ascii="Consolas" w:cs="Consolas" w:eastAsia="Consolas" w:hAnsi="Consolas"/>
                <w:b w:val="false"/>
                <w:bCs w:val="false"/>
                <w:i w:val="false"/>
                <w:iCs w:val="false"/>
                <w:color w:val="1F1F1F"/>
                <w:sz w:val="14"/>
                <w:szCs w:val="14"/>
              </w:rPr>
              <w:t xml:space="preserve">FOR each day d:</w:t>
            </w:r>
          </w:p>
          <w:p>
            <w:pPr>
              <w:spacing w:after="0" w:before="0" w:line="240"/>
            </w:pPr>
            <w:r>
              <w:rPr>
                <w:rFonts w:ascii="Consolas" w:cs="Consolas" w:eastAsia="Consolas" w:hAnsi="Consolas"/>
                <w:b w:val="false"/>
                <w:bCs w:val="false"/>
                <w:i w:val="false"/>
                <w:iCs w:val="false"/>
                <w:color w:val="1F1F1F"/>
                <w:sz w:val="14"/>
                <w:szCs w:val="14"/>
              </w:rPr>
              <w:t xml:space="preserve">  drawdown_30day[d] = sum(daily_net_flow over the 30-day window ending on d)</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Per-run worst-case:</w:t>
            </w:r>
          </w:p>
          <w:p>
            <w:pPr>
              <w:spacing w:after="0" w:before="0" w:line="240"/>
            </w:pPr>
            <w:r>
              <w:rPr>
                <w:rFonts w:ascii="Consolas" w:cs="Consolas" w:eastAsia="Consolas" w:hAnsi="Consolas"/>
                <w:b w:val="false"/>
                <w:bCs w:val="false"/>
                <w:i w:val="false"/>
                <w:iCs w:val="false"/>
                <w:color w:val="1F1F1F"/>
                <w:sz w:val="14"/>
                <w:szCs w:val="14"/>
              </w:rPr>
              <w:t xml:space="preserve">rolling_30day_max = max(drawdown_30day) over all days in the simulation year</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formulation correctly captures the case where outflows in week 3 of the month exceed available reserve before the next replenishment. That is the precise liquidity failure mode the reserve must protect against.</w:t>
      </w:r>
    </w:p>
    <w:p>
      <w:pPr>
        <w:pStyle w:val="Heading2"/>
        <w:spacing w:after="120" w:before="280"/>
      </w:pPr>
      <w:r>
        <w:rPr>
          <w:rFonts w:ascii="Arial" w:cs="Arial" w:eastAsia="Arial" w:hAnsi="Arial"/>
          <w:b/>
          <w:bCs/>
          <w:color w:val="1F1F1F"/>
          <w:sz w:val="28"/>
          <w:szCs w:val="28"/>
        </w:rPr>
        <w:t xml:space="preserve">13. Supplementary Replenishment Scenarios</w:t>
      </w:r>
    </w:p>
    <w:p>
      <w:pPr>
        <w:spacing w:after="80" w:before="80"/>
        <w:jc w:val="left"/>
      </w:pPr>
      <w:r>
        <w:rPr>
          <w:rFonts w:ascii="Arial" w:cs="Arial" w:eastAsia="Arial" w:hAnsi="Arial"/>
          <w:b w:val="false"/>
          <w:bCs w:val="false"/>
          <w:i w:val="false"/>
          <w:iCs w:val="false"/>
          <w:color w:val="1F1F1F"/>
          <w:sz w:val="22"/>
          <w:szCs w:val="22"/>
        </w:rPr>
        <w:t xml:space="preserve">The default is monthly fixed. Two supplementary scenarios are supported in v1.1 and surfaced as alternate views in the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Scenario</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Cadence</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Amount</w:t>
            </w:r>
          </w:p>
        </w:tc>
        <w:tc>
          <w:tcPr>
            <w:tcW w:type="dxa" w:w="23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Use Case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Default (locked)</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Monthly, 1st of month</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Expected Residual Spend × lives</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Default for all employers</w:t>
            </w:r>
          </w:p>
        </w:tc>
      </w:tr>
      <w:tr>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Bi-weekly aligned</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Every 14 days</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Expected Residual Spend × lives × 14/30</w:t>
            </w:r>
          </w:p>
        </w:tc>
        <w:tc>
          <w:tcPr>
            <w:tcW w:type="dxa" w:w="2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Employers on bi-weekly payroll</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True-up (Phase 2)</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Monthly, true-up to actual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Prior month's actual outflow</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Sophisticated CFOs; lower reserve possible</w:t>
            </w:r>
          </w:p>
        </w:tc>
      </w:tr>
      <w:tr>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As-needed (Phase 2)</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When reserve falls below threshold</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Replenish to target level</w:t>
            </w:r>
          </w:p>
        </w:tc>
        <w:tc>
          <w:tcPr>
            <w:tcW w:type="dxa" w:w="2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Employers with strong banking relationships</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The default cadence (monthly, 1st of month) is the production baseline. Bi-weekly is supported as a parameter in v1.1; true-up and as-needed are Phase 2 enhancements requiring explicit admin opt-in. They produce lower reserves but add operational complexity that small-to-mid-market employers typically cannot manage.</w:t>
      </w:r>
    </w:p>
    <w:p>
      <w:pPr>
        <w:pStyle w:val="Heading2"/>
        <w:spacing w:after="120" w:before="280"/>
      </w:pPr>
      <w:r>
        <w:rPr>
          <w:rFonts w:ascii="Arial" w:cs="Arial" w:eastAsia="Arial" w:hAnsi="Arial"/>
          <w:b/>
          <w:bCs/>
          <w:color w:val="1F1F1F"/>
          <w:sz w:val="28"/>
          <w:szCs w:val="28"/>
        </w:rPr>
        <w:t xml:space="preserve">14. Reserve Under Replenishment</w:t>
      </w:r>
    </w:p>
    <w:p>
      <w:pPr>
        <w:spacing w:after="80" w:before="80"/>
        <w:jc w:val="left"/>
      </w:pPr>
      <w:r>
        <w:rPr>
          <w:rFonts w:ascii="Arial" w:cs="Arial" w:eastAsia="Arial" w:hAnsi="Arial"/>
          <w:b w:val="false"/>
          <w:bCs w:val="false"/>
          <w:i w:val="false"/>
          <w:iCs w:val="false"/>
          <w:color w:val="1F1F1F"/>
          <w:sz w:val="22"/>
          <w:szCs w:val="22"/>
        </w:rPr>
        <w:t xml:space="preserve">With the default replenishment model in place, the reserve sizing changes meaningfully: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00"/>
        <w:gridCol w:w="2200"/>
        <w:gridCol w:w="2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Population</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Static Reserve (v1.0)</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Replenished Reserve (v1.1)</w:t>
            </w:r>
          </w:p>
        </w:tc>
        <w:tc>
          <w:tcPr>
            <w:tcW w:type="dxa" w:w="2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Reduction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100 lives, low chronic</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$78 PEPM equivalent</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$54 PEPM equivalent</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−31%</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100 lives, mid chronic</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$132 PEPM equivalent</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$95 PEPM equivalent</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−28%</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250 lives, mid chronic</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$108 PEPM equivalent</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$73 PEPM equivalent</w:t>
            </w:r>
          </w:p>
        </w:tc>
        <w:tc>
          <w:tcPr>
            <w:tcW w:type="dxa" w:w="2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−32%</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50 lives, high chronic</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$215 PEPM equivalent</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$165 PEPM equivalent</w:t>
            </w:r>
          </w:p>
        </w:tc>
        <w:tc>
          <w:tcPr>
            <w:tcW w:type="dxa" w:w="2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−23%</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Numbers are illustrative based on standard actuarial benchmarks. Actual values are simulated per employer. The pattern is consistent: replenishment reduces required reserve by 20 to 35% across typical SMB populations.</w:t>
      </w:r>
    </w:p>
    <w:p>
      <w:pPr>
        <w:pStyle w:val="Heading2"/>
        <w:spacing w:after="120" w:before="280"/>
      </w:pPr>
      <w:r>
        <w:rPr>
          <w:rFonts w:ascii="Arial" w:cs="Arial" w:eastAsia="Arial" w:hAnsi="Arial"/>
          <w:b/>
          <w:bCs/>
          <w:color w:val="1F1F1F"/>
          <w:sz w:val="28"/>
          <w:szCs w:val="28"/>
        </w:rPr>
        <w:t xml:space="preserve">15. Reserve Verification</w:t>
      </w:r>
    </w:p>
    <w:p>
      <w:pPr>
        <w:spacing w:after="80" w:before="80"/>
        <w:jc w:val="left"/>
      </w:pPr>
      <w:r>
        <w:rPr>
          <w:rFonts w:ascii="Arial" w:cs="Arial" w:eastAsia="Arial" w:hAnsi="Arial"/>
          <w:b/>
          <w:bCs/>
          <w:i w:val="false"/>
          <w:iCs w:val="false"/>
          <w:color w:val="1F1F1F"/>
          <w:sz w:val="22"/>
          <w:szCs w:val="22"/>
        </w:rPr>
        <w:t xml:space="preserve">The acceptance criteria require an explicit test that disabling replenishment increases P95 by 20 to 35%. This is a regression gate — if a future implementation change accidentally disables or weakens replenishment, the test fails immediately. Without this test, replenishment can quietly degrade and customers see inflated reserve numbers.</w:t>
      </w:r>
    </w:p>
    <w:p>
      <w:pPr>
        <w:pStyle w:val="Heading1"/>
        <w:spacing w:after="160" w:before="360"/>
      </w:pPr>
      <w:r>
        <w:rPr>
          <w:rFonts w:ascii="Arial" w:cs="Arial" w:eastAsia="Arial" w:hAnsi="Arial"/>
          <w:b/>
          <w:bCs/>
          <w:color w:val="1F1F1F"/>
          <w:sz w:val="36"/>
          <w:szCs w:val="36"/>
        </w:rPr>
        <w:t xml:space="preserve">Part VI · Correlation &amp; Clustering</w:t>
      </w:r>
    </w:p>
    <w:p>
      <w:pPr>
        <w:spacing w:after="80" w:before="80"/>
        <w:jc w:val="left"/>
      </w:pPr>
      <w:r>
        <w:rPr>
          <w:rFonts w:ascii="Arial" w:cs="Arial" w:eastAsia="Arial" w:hAnsi="Arial"/>
          <w:b w:val="false"/>
          <w:bCs w:val="false"/>
          <w:i w:val="false"/>
          <w:iCs w:val="false"/>
          <w:color w:val="1F1F1F"/>
          <w:sz w:val="22"/>
          <w:szCs w:val="22"/>
        </w:rPr>
        <w:t xml:space="preserve">Independence assumptions in event sampling produce systematic underestimates of liquidity requirements. Real populations cluster. The simulator must model this explicitly.</w:t>
      </w:r>
    </w:p>
    <w:p>
      <w:pPr>
        <w:pStyle w:val="Heading2"/>
        <w:spacing w:after="120" w:before="280"/>
      </w:pPr>
      <w:r>
        <w:rPr>
          <w:rFonts w:ascii="Arial" w:cs="Arial" w:eastAsia="Arial" w:hAnsi="Arial"/>
          <w:b/>
          <w:bCs/>
          <w:color w:val="1F1F1F"/>
          <w:sz w:val="28"/>
          <w:szCs w:val="28"/>
        </w:rPr>
        <w:t xml:space="preserve">16. Sources of Correlation</w:t>
      </w:r>
    </w:p>
    <w:p>
      <w:pPr>
        <w:pStyle w:val="Heading3"/>
        <w:spacing w:after="80" w:before="200"/>
      </w:pPr>
      <w:r>
        <w:rPr>
          <w:rFonts w:ascii="Arial" w:cs="Arial" w:eastAsia="Arial" w:hAnsi="Arial"/>
          <w:b/>
          <w:bCs/>
          <w:color w:val="1F1F1F"/>
          <w:sz w:val="24"/>
          <w:szCs w:val="24"/>
        </w:rPr>
        <w:t xml:space="preserve">16.1 Within-Member Sequential Clustering (NEW in v1.1)</w:t>
      </w:r>
    </w:p>
    <w:p>
      <w:pPr>
        <w:spacing w:after="80" w:before="80"/>
        <w:jc w:val="left"/>
      </w:pPr>
      <w:r>
        <w:rPr>
          <w:rFonts w:ascii="Arial" w:cs="Arial" w:eastAsia="Arial" w:hAnsi="Arial"/>
          <w:b/>
          <w:bCs/>
          <w:i w:val="false"/>
          <w:iCs w:val="false"/>
          <w:color w:val="1F1F1F"/>
          <w:sz w:val="22"/>
          <w:szCs w:val="22"/>
        </w:rPr>
        <w:t xml:space="preserve">A single high-acuity event creates elevated probability of a follow-on event within a defined lag window. Surgery may produce post-operative complications, infection, or readmission. Inpatient admission may produce readmission within 30 days. Cardiac events may produce subsequent procedures.</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Implementation: per-tier complication parameters defined in Section 4.1:</w:t>
      </w:r>
    </w:p>
    <w:p>
      <w:pPr>
        <w:pStyle w:val="ListParagraph"/>
        <w:numPr>
          <w:ilvl w:val="0"/>
          <w:numId w:val="3"/>
        </w:numPr>
        <w:spacing w:after="30" w:before="30"/>
      </w:pPr>
      <w:r>
        <w:rPr>
          <w:rFonts w:ascii="Arial" w:cs="Arial" w:eastAsia="Arial" w:hAnsi="Arial"/>
          <w:color w:val="1F1F1F"/>
          <w:sz w:val="22"/>
          <w:szCs w:val="22"/>
        </w:rPr>
        <w:t xml:space="preserve">complication_probability: probability that this event triggers a follow-on event.</w:t>
      </w:r>
    </w:p>
    <w:p>
      <w:pPr>
        <w:pStyle w:val="ListParagraph"/>
        <w:numPr>
          <w:ilvl w:val="0"/>
          <w:numId w:val="3"/>
        </w:numPr>
        <w:spacing w:after="30" w:before="30"/>
      </w:pPr>
      <w:r>
        <w:rPr>
          <w:rFonts w:ascii="Arial" w:cs="Arial" w:eastAsia="Arial" w:hAnsi="Arial"/>
          <w:color w:val="1F1F1F"/>
          <w:sz w:val="22"/>
          <w:szCs w:val="22"/>
        </w:rPr>
        <w:t xml:space="preserve">complication_lag_days_distribution: log-normal distribution of lag days from index to follow-on event.</w:t>
      </w:r>
    </w:p>
    <w:p>
      <w:pPr>
        <w:pStyle w:val="ListParagraph"/>
        <w:numPr>
          <w:ilvl w:val="0"/>
          <w:numId w:val="3"/>
        </w:numPr>
        <w:spacing w:after="30" w:before="30"/>
      </w:pPr>
      <w:r>
        <w:rPr>
          <w:rFonts w:ascii="Arial" w:cs="Arial" w:eastAsia="Arial" w:hAnsi="Arial"/>
          <w:color w:val="1F1F1F"/>
          <w:sz w:val="22"/>
          <w:szCs w:val="22"/>
        </w:rPr>
        <w:t xml:space="preserve">Follow-on event tier: typically same tier or one tier higher in cost (T7 ER may trigger T8 admission).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FOR each event in the simulation:</w:t>
            </w:r>
          </w:p>
          <w:p>
            <w:pPr>
              <w:spacing w:after="0" w:before="0" w:line="240"/>
            </w:pPr>
            <w:r>
              <w:rPr>
                <w:rFonts w:ascii="Consolas" w:cs="Consolas" w:eastAsia="Consolas" w:hAnsi="Consolas"/>
                <w:b w:val="false"/>
                <w:bCs w:val="false"/>
                <w:i w:val="false"/>
                <w:iCs w:val="false"/>
                <w:color w:val="1F1F1F"/>
                <w:sz w:val="16"/>
                <w:szCs w:val="16"/>
              </w:rPr>
              <w:t xml:space="preserve">  IF random() &lt; tier.complication_probability:</w:t>
            </w:r>
          </w:p>
          <w:p>
            <w:pPr>
              <w:spacing w:after="0" w:before="0" w:line="240"/>
            </w:pPr>
            <w:r>
              <w:rPr>
                <w:rFonts w:ascii="Consolas" w:cs="Consolas" w:eastAsia="Consolas" w:hAnsi="Consolas"/>
                <w:b w:val="false"/>
                <w:bCs w:val="false"/>
                <w:i w:val="false"/>
                <w:iCs w:val="false"/>
                <w:color w:val="1F1F1F"/>
                <w:sz w:val="16"/>
                <w:szCs w:val="16"/>
              </w:rPr>
              <w:t xml:space="preserve">    lag_days = sample_lognormal(tier.complication_lag_days_distribution)</w:t>
            </w:r>
          </w:p>
          <w:p>
            <w:pPr>
              <w:spacing w:after="0" w:before="0" w:line="240"/>
            </w:pPr>
            <w:r>
              <w:rPr>
                <w:rFonts w:ascii="Consolas" w:cs="Consolas" w:eastAsia="Consolas" w:hAnsi="Consolas"/>
                <w:b w:val="false"/>
                <w:bCs w:val="false"/>
                <w:i w:val="false"/>
                <w:iCs w:val="false"/>
                <w:color w:val="1F1F1F"/>
                <w:sz w:val="16"/>
                <w:szCs w:val="16"/>
              </w:rPr>
              <w:t xml:space="preserve">    follow_on_event = generate_event(</w:t>
            </w:r>
          </w:p>
          <w:p>
            <w:pPr>
              <w:spacing w:after="0" w:before="0" w:line="240"/>
            </w:pPr>
            <w:r>
              <w:rPr>
                <w:rFonts w:ascii="Consolas" w:cs="Consolas" w:eastAsia="Consolas" w:hAnsi="Consolas"/>
                <w:b w:val="false"/>
                <w:bCs w:val="false"/>
                <w:i w:val="false"/>
                <w:iCs w:val="false"/>
                <w:color w:val="1F1F1F"/>
                <w:sz w:val="16"/>
                <w:szCs w:val="16"/>
              </w:rPr>
              <w:t xml:space="preserve">      tier = tier.complication_target_tier,</w:t>
            </w:r>
          </w:p>
          <w:p>
            <w:pPr>
              <w:spacing w:after="0" w:before="0" w:line="240"/>
            </w:pPr>
            <w:r>
              <w:rPr>
                <w:rFonts w:ascii="Consolas" w:cs="Consolas" w:eastAsia="Consolas" w:hAnsi="Consolas"/>
                <w:b w:val="false"/>
                <w:bCs w:val="false"/>
                <w:i w:val="false"/>
                <w:iCs w:val="false"/>
                <w:color w:val="1F1F1F"/>
                <w:sz w:val="16"/>
                <w:szCs w:val="16"/>
              </w:rPr>
              <w:t xml:space="preserve">      member = current_member,</w:t>
            </w:r>
          </w:p>
          <w:p>
            <w:pPr>
              <w:spacing w:after="0" w:before="0" w:line="240"/>
            </w:pPr>
            <w:r>
              <w:rPr>
                <w:rFonts w:ascii="Consolas" w:cs="Consolas" w:eastAsia="Consolas" w:hAnsi="Consolas"/>
                <w:b w:val="false"/>
                <w:bCs w:val="false"/>
                <w:i w:val="false"/>
                <w:iCs w:val="false"/>
                <w:color w:val="1F1F1F"/>
                <w:sz w:val="16"/>
                <w:szCs w:val="16"/>
              </w:rPr>
              <w:t xml:space="preserve">      date = current_event.date + lag_days</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emit follow_on_event</w:t>
            </w:r>
          </w:p>
          <w:p>
            <w:pPr>
              <w:spacing w:after="0" w:before="0" w:line="240"/>
            </w:pPr>
            <w:r>
              <w:rPr>
                <w:rFonts w:ascii="Consolas" w:cs="Consolas" w:eastAsia="Consolas" w:hAnsi="Consolas"/>
                <w:b w:val="false"/>
                <w:bCs w:val="false"/>
                <w:i w:val="false"/>
                <w:iCs w:val="false"/>
                <w:color w:val="1F1F1F"/>
                <w:sz w:val="16"/>
                <w:szCs w:val="16"/>
              </w:rPr>
              <w:t xml:space="preserve">  END</w:t>
            </w:r>
          </w:p>
          <w:p>
            <w:pPr>
              <w:spacing w:after="0" w:before="0" w:line="240"/>
            </w:pPr>
            <w:r>
              <w:rPr>
                <w:rFonts w:ascii="Consolas" w:cs="Consolas" w:eastAsia="Consolas" w:hAnsi="Consolas"/>
                <w:b w:val="false"/>
                <w:bCs w:val="false"/>
                <w:i w:val="false"/>
                <w:iCs w:val="false"/>
                <w:color w:val="1F1F1F"/>
                <w:sz w:val="16"/>
                <w:szCs w:val="16"/>
              </w:rPr>
              <w:t xml:space="preserve">END</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Effect: in chronic-heavy populations, P95 increases by 6 to 10% with within-member sequential clustering modeled correctly. The acceptance criteria require an explicit test verifying this range.</w:t>
      </w:r>
    </w:p>
    <w:p>
      <w:pPr>
        <w:pStyle w:val="Heading3"/>
        <w:spacing w:after="80" w:before="200"/>
      </w:pPr>
      <w:r>
        <w:rPr>
          <w:rFonts w:ascii="Arial" w:cs="Arial" w:eastAsia="Arial" w:hAnsi="Arial"/>
          <w:b/>
          <w:bCs/>
          <w:color w:val="1F1F1F"/>
          <w:sz w:val="24"/>
          <w:szCs w:val="24"/>
        </w:rPr>
        <w:t xml:space="preserve">16.2 Within-Member Chronic Flare Window</w:t>
      </w:r>
    </w:p>
    <w:p>
      <w:pPr>
        <w:spacing w:after="80" w:before="80"/>
        <w:jc w:val="left"/>
      </w:pPr>
      <w:r>
        <w:rPr>
          <w:rFonts w:ascii="Arial" w:cs="Arial" w:eastAsia="Arial" w:hAnsi="Arial"/>
          <w:b w:val="false"/>
          <w:bCs w:val="false"/>
          <w:i w:val="false"/>
          <w:iCs w:val="false"/>
          <w:color w:val="1F1F1F"/>
          <w:sz w:val="22"/>
          <w:szCs w:val="22"/>
        </w:rPr>
        <w:t xml:space="preserve">A chronic condition produces clustered events within a flare window: a CHF exacerbation produces ER visit + admission + readmission within ~60 days. The simulator's chronic_factor multipliers are applied jointly across tiers within a member; this section formalizes the time-clustering aspect.</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flare_window_days: configured per chronic-affected tier (default 60 days for tiers 3, 4, 7, 8).</w:t>
      </w:r>
    </w:p>
    <w:p>
      <w:pPr>
        <w:pStyle w:val="ListParagraph"/>
        <w:numPr>
          <w:ilvl w:val="0"/>
          <w:numId w:val="3"/>
        </w:numPr>
        <w:spacing w:after="30" w:before="30"/>
      </w:pPr>
      <w:r>
        <w:rPr>
          <w:rFonts w:ascii="Arial" w:cs="Arial" w:eastAsia="Arial" w:hAnsi="Arial"/>
          <w:color w:val="1F1F1F"/>
          <w:sz w:val="22"/>
          <w:szCs w:val="22"/>
        </w:rPr>
        <w:t xml:space="preserve">Within the flare window, chronic-flagged members receive their normal chronic-boosted frequency, but events are temporally concentrated rather than uniformly distributed across the year.</w:t>
      </w:r>
    </w:p>
    <w:p>
      <w:pPr>
        <w:pStyle w:val="ListParagraph"/>
        <w:numPr>
          <w:ilvl w:val="0"/>
          <w:numId w:val="3"/>
        </w:numPr>
        <w:spacing w:after="30" w:before="30"/>
      </w:pPr>
      <w:r>
        <w:rPr>
          <w:rFonts w:ascii="Arial" w:cs="Arial" w:eastAsia="Arial" w:hAnsi="Arial"/>
          <w:color w:val="1F1F1F"/>
          <w:sz w:val="22"/>
          <w:szCs w:val="22"/>
        </w:rPr>
        <w:t xml:space="preserve">Implementation: when chronic_flag triggers, sample 1–2 flare windows per year and concentrate the chronic-boosted event count within those windows.</w:t>
      </w:r>
    </w:p>
    <w:p>
      <w:pPr>
        <w:pStyle w:val="Heading3"/>
        <w:spacing w:after="80" w:before="200"/>
      </w:pPr>
      <w:r>
        <w:rPr>
          <w:rFonts w:ascii="Arial" w:cs="Arial" w:eastAsia="Arial" w:hAnsi="Arial"/>
          <w:b/>
          <w:bCs/>
          <w:color w:val="1F1F1F"/>
          <w:sz w:val="24"/>
          <w:szCs w:val="24"/>
        </w:rPr>
        <w:t xml:space="preserve">16.3 Cross-Member Exogenous Clustering</w:t>
      </w:r>
    </w:p>
    <w:p>
      <w:pPr>
        <w:spacing w:after="80" w:before="80"/>
        <w:jc w:val="left"/>
      </w:pPr>
      <w:r>
        <w:rPr>
          <w:rFonts w:ascii="Arial" w:cs="Arial" w:eastAsia="Arial" w:hAnsi="Arial"/>
          <w:b w:val="false"/>
          <w:bCs w:val="false"/>
          <w:i w:val="false"/>
          <w:iCs w:val="false"/>
          <w:color w:val="1F1F1F"/>
          <w:sz w:val="22"/>
          <w:szCs w:val="22"/>
        </w:rPr>
        <w:t xml:space="preserve">Bad months happen. A flu season concentrates ER visits. A workplace exposure event clusters claims. An adverse weather event spikes orthopedic procedures. The simulator must allow seasonal and shock factors that affect multiple members simultaneously.</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Seasonal factor: tier 7 (high-acuity ER) frequency varies by month with a winter peak.</w:t>
      </w:r>
    </w:p>
    <w:p>
      <w:pPr>
        <w:pStyle w:val="ListParagraph"/>
        <w:numPr>
          <w:ilvl w:val="0"/>
          <w:numId w:val="3"/>
        </w:numPr>
        <w:spacing w:after="30" w:before="30"/>
      </w:pPr>
      <w:r>
        <w:rPr>
          <w:rFonts w:ascii="Arial" w:cs="Arial" w:eastAsia="Arial" w:hAnsi="Arial"/>
          <w:color w:val="1F1F1F"/>
          <w:sz w:val="22"/>
          <w:szCs w:val="22"/>
        </w:rPr>
        <w:t xml:space="preserve">Shock factor: optional input for stress testing — a defined month receives a multiplier on tier 6/7/8 frequency.</w:t>
      </w:r>
    </w:p>
    <w:p>
      <w:pPr>
        <w:pStyle w:val="ListParagraph"/>
        <w:numPr>
          <w:ilvl w:val="0"/>
          <w:numId w:val="3"/>
        </w:numPr>
        <w:spacing w:after="30" w:before="30"/>
      </w:pPr>
      <w:r>
        <w:rPr>
          <w:rFonts w:ascii="Arial" w:cs="Arial" w:eastAsia="Arial" w:hAnsi="Arial"/>
          <w:color w:val="1F1F1F"/>
          <w:sz w:val="22"/>
          <w:szCs w:val="22"/>
        </w:rPr>
        <w:t xml:space="preserve">Pandemic-class shock: optional (Phase 2) — broad multiplier across all tiers for a defined window.</w:t>
      </w:r>
    </w:p>
    <w:p>
      <w:pPr>
        <w:pStyle w:val="Heading3"/>
        <w:spacing w:after="80" w:before="200"/>
      </w:pPr>
      <w:r>
        <w:rPr>
          <w:rFonts w:ascii="Arial" w:cs="Arial" w:eastAsia="Arial" w:hAnsi="Arial"/>
          <w:b/>
          <w:bCs/>
          <w:color w:val="1F1F1F"/>
          <w:sz w:val="24"/>
          <w:szCs w:val="24"/>
        </w:rPr>
        <w:t xml:space="preserve">16.4 Demographic Concentration</w:t>
      </w:r>
    </w:p>
    <w:p>
      <w:pPr>
        <w:spacing w:after="80" w:before="80"/>
        <w:jc w:val="left"/>
      </w:pPr>
      <w:r>
        <w:rPr>
          <w:rFonts w:ascii="Arial" w:cs="Arial" w:eastAsia="Arial" w:hAnsi="Arial"/>
          <w:b w:val="false"/>
          <w:bCs w:val="false"/>
          <w:i w:val="false"/>
          <w:iCs w:val="false"/>
          <w:color w:val="1F1F1F"/>
          <w:sz w:val="22"/>
          <w:szCs w:val="22"/>
        </w:rPr>
        <w:t xml:space="preserve">Small employers carry concentration risk. A 50-life employer with one diabetic member and one cancer patient has fundamentally different distributions than a 50-life employer with no chronic conditions. The simulator must use the actual member roster when available, not just average demographics.</w:t>
      </w:r>
    </w:p>
    <w:p>
      <w:pPr>
        <w:pStyle w:val="Heading3"/>
        <w:spacing w:after="80" w:before="200"/>
      </w:pPr>
      <w:r>
        <w:rPr>
          <w:rFonts w:ascii="Arial" w:cs="Arial" w:eastAsia="Arial" w:hAnsi="Arial"/>
          <w:b/>
          <w:bCs/>
          <w:color w:val="1F1F1F"/>
          <w:sz w:val="24"/>
          <w:szCs w:val="24"/>
        </w:rPr>
        <w:t xml:space="preserve">16.5 Chronic Flag Ingestion (NEW in v1.2)</w:t>
      </w:r>
    </w:p>
    <w:p>
      <w:pPr>
        <w:spacing w:after="80" w:before="80"/>
        <w:jc w:val="left"/>
      </w:pPr>
      <w:r>
        <w:rPr>
          <w:rFonts w:ascii="Arial" w:cs="Arial" w:eastAsia="Arial" w:hAnsi="Arial"/>
          <w:b/>
          <w:bCs/>
          <w:i w:val="false"/>
          <w:iCs w:val="false"/>
          <w:color w:val="1F1F1F"/>
          <w:sz w:val="22"/>
          <w:szCs w:val="22"/>
        </w:rPr>
        <w:t xml:space="preserve">v1.1 referenced chronic flags throughout the simulator design but did not specify how chronic status reaches the simulator. v1.2 closes this gap with three ingestion paths covering the three input modes.</w:t>
      </w:r>
    </w:p>
    <w:p>
      <w:pPr>
        <w:spacing w:after="60" w:before="160"/>
      </w:pPr>
      <w:r>
        <w:rPr>
          <w:rFonts w:ascii="Arial" w:cs="Arial" w:eastAsia="Arial" w:hAnsi="Arial"/>
          <w:b/>
          <w:bCs/>
          <w:color w:val="1F1F1F"/>
          <w:sz w:val="22"/>
          <w:szCs w:val="22"/>
        </w:rPr>
        <w:t xml:space="preserve">16.5.1 Mode 1 (Full Claims) — Two Paths</w:t>
      </w:r>
    </w:p>
    <w:p>
      <w:pPr>
        <w:spacing w:after="80" w:before="80"/>
        <w:jc w:val="left"/>
      </w:pPr>
      <w:r>
        <w:rPr>
          <w:rFonts w:ascii="Arial" w:cs="Arial" w:eastAsia="Arial" w:hAnsi="Arial"/>
          <w:b w:val="false"/>
          <w:bCs w:val="false"/>
          <w:i w:val="false"/>
          <w:iCs w:val="false"/>
          <w:color w:val="1F1F1F"/>
          <w:sz w:val="22"/>
          <w:szCs w:val="22"/>
        </w:rPr>
        <w:t xml:space="preserve">CSV Template 1 supports two complementary chronic flag inputs:</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chronic_flag (boolean): explicit per-member-claim flag if available from the source system. Trusted as authoritative when present.</w:t>
      </w:r>
    </w:p>
    <w:p>
      <w:pPr>
        <w:pStyle w:val="ListParagraph"/>
        <w:numPr>
          <w:ilvl w:val="0"/>
          <w:numId w:val="3"/>
        </w:numPr>
        <w:spacing w:after="30" w:before="30"/>
      </w:pPr>
      <w:r>
        <w:rPr>
          <w:rFonts w:ascii="Arial" w:cs="Arial" w:eastAsia="Arial" w:hAnsi="Arial"/>
          <w:color w:val="1F1F1F"/>
          <w:sz w:val="22"/>
          <w:szCs w:val="22"/>
        </w:rPr>
        <w:t xml:space="preserve">chronic_conditions (string, optional): comma-separated condition codes from the canonical condition list (diabetes | chf | copd | ckd | oncology). Used when chronic_flag is null.</w:t>
      </w:r>
    </w:p>
    <w:p>
      <w:pPr>
        <w:pStyle w:val="ListParagraph"/>
        <w:numPr>
          <w:ilvl w:val="0"/>
          <w:numId w:val="3"/>
        </w:numPr>
        <w:spacing w:after="30" w:before="30"/>
      </w:pPr>
      <w:r>
        <w:rPr>
          <w:rFonts w:ascii="Arial" w:cs="Arial" w:eastAsia="Arial" w:hAnsi="Arial"/>
          <w:color w:val="1F1F1F"/>
          <w:sz w:val="22"/>
          <w:szCs w:val="22"/>
        </w:rPr>
        <w:t xml:space="preserve">Derivation from icd10_primary and icd10_secondary: when both chronic_flag and chronic_conditions are absent, the simulator derives chronic status from ICD-10 codes per the locked mapping in Section 16.5.3.</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Resolution priority (per claim):</w:t>
      </w:r>
    </w:p>
    <w:p>
      <w:pPr>
        <w:pStyle w:val="ListParagraph"/>
        <w:numPr>
          <w:ilvl w:val="0"/>
          <w:numId w:val="2"/>
        </w:numPr>
        <w:spacing w:after="30" w:before="30"/>
      </w:pPr>
      <w:r>
        <w:rPr>
          <w:rFonts w:ascii="Arial" w:cs="Arial" w:eastAsia="Arial" w:hAnsi="Arial"/>
          <w:color w:val="1F1F1F"/>
          <w:sz w:val="22"/>
          <w:szCs w:val="22"/>
        </w:rPr>
        <w:t xml:space="preserve">If chronic_flag is present and non-null, use it.</w:t>
      </w:r>
    </w:p>
    <w:p>
      <w:pPr>
        <w:pStyle w:val="ListParagraph"/>
        <w:numPr>
          <w:ilvl w:val="0"/>
          <w:numId w:val="2"/>
        </w:numPr>
        <w:spacing w:after="30" w:before="30"/>
      </w:pPr>
      <w:r>
        <w:rPr>
          <w:rFonts w:ascii="Arial" w:cs="Arial" w:eastAsia="Arial" w:hAnsi="Arial"/>
          <w:color w:val="1F1F1F"/>
          <w:sz w:val="22"/>
          <w:szCs w:val="22"/>
        </w:rPr>
        <w:t xml:space="preserve">Else if chronic_conditions is present and non-empty, derive chronic_flag = true and store conditions.</w:t>
      </w:r>
    </w:p>
    <w:p>
      <w:pPr>
        <w:pStyle w:val="ListParagraph"/>
        <w:numPr>
          <w:ilvl w:val="0"/>
          <w:numId w:val="2"/>
        </w:numPr>
        <w:spacing w:after="30" w:before="30"/>
      </w:pPr>
      <w:r>
        <w:rPr>
          <w:rFonts w:ascii="Arial" w:cs="Arial" w:eastAsia="Arial" w:hAnsi="Arial"/>
          <w:color w:val="1F1F1F"/>
          <w:sz w:val="22"/>
          <w:szCs w:val="22"/>
        </w:rPr>
        <w:t xml:space="preserve">Else apply ICD-10 mapping (Section 16.5.3).</w:t>
      </w:r>
    </w:p>
    <w:p>
      <w:pPr>
        <w:pStyle w:val="ListParagraph"/>
        <w:numPr>
          <w:ilvl w:val="0"/>
          <w:numId w:val="2"/>
        </w:numPr>
        <w:spacing w:after="30" w:before="30"/>
      </w:pPr>
      <w:r>
        <w:rPr>
          <w:rFonts w:ascii="Arial" w:cs="Arial" w:eastAsia="Arial" w:hAnsi="Arial"/>
          <w:color w:val="1F1F1F"/>
          <w:sz w:val="22"/>
          <w:szCs w:val="22"/>
        </w:rPr>
        <w:t xml:space="preserve">Else chronic_flag = false.</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Member-level rollup: a member is chronic-flagged if any claim for that member resolves to chronic = true under the rules above. The conditions are unioned across the member's claims.</w:t>
      </w:r>
    </w:p>
    <w:p>
      <w:pPr>
        <w:spacing w:after="60" w:before="160"/>
      </w:pPr>
      <w:r>
        <w:rPr>
          <w:rFonts w:ascii="Arial" w:cs="Arial" w:eastAsia="Arial" w:hAnsi="Arial"/>
          <w:b/>
          <w:bCs/>
          <w:color w:val="1F1F1F"/>
          <w:sz w:val="22"/>
          <w:szCs w:val="22"/>
        </w:rPr>
        <w:t xml:space="preserve">16.5.2 Mode 2 (Partial Summary) — Optional Field</w:t>
      </w:r>
    </w:p>
    <w:p>
      <w:pPr>
        <w:spacing w:after="80" w:before="80"/>
        <w:jc w:val="left"/>
      </w:pPr>
      <w:r>
        <w:rPr>
          <w:rFonts w:ascii="Arial" w:cs="Arial" w:eastAsia="Arial" w:hAnsi="Arial"/>
          <w:b w:val="false"/>
          <w:bCs w:val="false"/>
          <w:i w:val="false"/>
          <w:iCs w:val="false"/>
          <w:color w:val="1F1F1F"/>
          <w:sz w:val="22"/>
          <w:szCs w:val="22"/>
        </w:rPr>
        <w:t xml:space="preserve">CSV Template 2 supports an optional chronic_prevalence_pct field per category row. When provided, the engine scales the synthesized member roster to match the stated prevalence. When absent, default benchmark prevalence is used (typically 18 to 22% chronic prevalence depending on industry and demographics).</w:t>
      </w:r>
    </w:p>
    <w:p>
      <w:pPr>
        <w:spacing w:after="60" w:before="160"/>
      </w:pPr>
      <w:r>
        <w:rPr>
          <w:rFonts w:ascii="Arial" w:cs="Arial" w:eastAsia="Arial" w:hAnsi="Arial"/>
          <w:b/>
          <w:bCs/>
          <w:color w:val="1F1F1F"/>
          <w:sz w:val="22"/>
          <w:szCs w:val="22"/>
        </w:rPr>
        <w:t xml:space="preserve">16.5.3 ICD-10 to Chronic Condition Mapping (Locked)</w:t>
      </w:r>
    </w:p>
    <w:p>
      <w:pPr>
        <w:spacing w:after="80" w:before="80"/>
        <w:jc w:val="left"/>
      </w:pPr>
      <w:r>
        <w:rPr>
          <w:rFonts w:ascii="Arial" w:cs="Arial" w:eastAsia="Arial" w:hAnsi="Arial"/>
          <w:b/>
          <w:bCs/>
          <w:i w:val="false"/>
          <w:iCs w:val="false"/>
          <w:color w:val="1F1F1F"/>
          <w:sz w:val="22"/>
          <w:szCs w:val="22"/>
        </w:rPr>
        <w:t xml:space="preserve">The following mapping is locked in v1.2 and version-controlled per the standard versioning workflow. Mapping updates create a new event_tier_versions row.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00"/>
        <w:gridCol w:w="45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ICD-10 Code Range</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Condition</w:t>
            </w:r>
          </w:p>
        </w:tc>
        <w:tc>
          <w:tcPr>
            <w:tcW w:type="dxa" w:w="45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Notes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E10 – E13</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Diabetes</w:t>
            </w:r>
          </w:p>
        </w:tc>
        <w:tc>
          <w:tcPr>
            <w:tcW w:type="dxa" w:w="4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Includes type 1 (E10), type 2 (E11), other specified (E13)</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I50.0 – I50.9</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CHF</w:t>
            </w:r>
          </w:p>
        </w:tc>
        <w:tc>
          <w:tcPr>
            <w:tcW w:type="dxa" w:w="4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Heart failure all classifications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J44.0 – J44.9</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COPD</w:t>
            </w:r>
          </w:p>
        </w:tc>
        <w:tc>
          <w:tcPr>
            <w:tcW w:type="dxa" w:w="4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Chronic obstructive pulmonary disease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N18.3 – N18.6</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CKD</w:t>
            </w:r>
          </w:p>
        </w:tc>
        <w:tc>
          <w:tcPr>
            <w:tcW w:type="dxa" w:w="45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Stage 3 through 5 chronic kidney disease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C00 – C97</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Oncology</w:t>
            </w:r>
          </w:p>
        </w:tc>
        <w:tc>
          <w:tcPr>
            <w:tcW w:type="dxa" w:w="45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All malignant neoplasms; includes active treatment and surveillance</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is a deliberately small mapping. v1.2 covers the five conditions that drive most of the chronic correlation effect on capital sizing. Additional conditions (autoimmune, mental health, substance use disorder) are Phase 2 additions; their incremental impact on P95 is below the noise floor for typical SMB populations.</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Mapping precision: the spec uses ICD-10 prefix matching. icd10_primary value 'E11.65' matches the E10-E13 range and resolves to diabetes. The matching implementation is left- to-right longest-prefix match against the configured ranges.</w:t>
      </w:r>
    </w:p>
    <w:p>
      <w:pPr>
        <w:spacing w:after="60" w:before="160"/>
      </w:pPr>
      <w:r>
        <w:rPr>
          <w:rFonts w:ascii="Arial" w:cs="Arial" w:eastAsia="Arial" w:hAnsi="Arial"/>
          <w:b/>
          <w:bCs/>
          <w:color w:val="1F1F1F"/>
          <w:sz w:val="22"/>
          <w:szCs w:val="22"/>
        </w:rPr>
        <w:t xml:space="preserve">16.5.4 Mode 3 Limitation (NEW in v1.2)</w:t>
      </w:r>
    </w:p>
    <w:p>
      <w:pPr>
        <w:spacing w:after="80" w:before="80"/>
        <w:jc w:val="left"/>
      </w:pPr>
      <w:r>
        <w:rPr>
          <w:rFonts w:ascii="Arial" w:cs="Arial" w:eastAsia="Arial" w:hAnsi="Arial"/>
          <w:b/>
          <w:bCs/>
          <w:i w:val="false"/>
          <w:iCs w:val="false"/>
          <w:color w:val="1F1F1F"/>
          <w:sz w:val="22"/>
          <w:szCs w:val="22"/>
        </w:rPr>
        <w:t xml:space="preserve">Mode 3 (modeled profile, no claims data) does NOT model chronic concentration variance in v1.2. The simulator uses average chronic prevalence assumptions for the matched benchmark profile but does not vary that prevalence across simulation runs. As a result, Mode 3 outputs should be interpreted as population-average estimates, not concentration-sensitive projections.</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Mode 3 reports must carry an explicit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DISCLAIMER (Mode 3 only):</w:t>
            </w:r>
          </w:p>
          <w:p>
            <w:pPr>
              <w:spacing w:after="0" w:before="0" w:line="240"/>
            </w:pPr>
            <w:r>
              <w:rPr>
                <w:rFonts w:ascii="Consolas" w:cs="Consolas" w:eastAsia="Consolas" w:hAnsi="Consolas"/>
                <w:b w:val="false"/>
                <w:bCs w:val="false"/>
                <w:i w:val="false"/>
                <w:iCs w:val="false"/>
                <w:color w:val="1F1F1F"/>
                <w:sz w:val="14"/>
                <w:szCs w:val="14"/>
              </w:rPr>
              <w:t xml:space="preserve">Outputs are illustrative based on benchmark population assumptions.</w:t>
            </w:r>
          </w:p>
          <w:p>
            <w:pPr>
              <w:spacing w:after="0" w:before="0" w:line="240"/>
            </w:pPr>
            <w:r>
              <w:rPr>
                <w:rFonts w:ascii="Consolas" w:cs="Consolas" w:eastAsia="Consolas" w:hAnsi="Consolas"/>
                <w:b w:val="false"/>
                <w:bCs w:val="false"/>
                <w:i w:val="false"/>
                <w:iCs w:val="false"/>
                <w:color w:val="1F1F1F"/>
                <w:sz w:val="14"/>
                <w:szCs w:val="14"/>
              </w:rPr>
              <w:t xml:space="preserve">Chronic condition concentration is modeled at the population-average level.</w:t>
            </w:r>
          </w:p>
          <w:p>
            <w:pPr>
              <w:spacing w:after="0" w:before="0" w:line="240"/>
            </w:pPr>
            <w:r>
              <w:rPr>
                <w:rFonts w:ascii="Consolas" w:cs="Consolas" w:eastAsia="Consolas" w:hAnsi="Consolas"/>
                <w:b w:val="false"/>
                <w:bCs w:val="false"/>
                <w:i w:val="false"/>
                <w:iCs w:val="false"/>
                <w:color w:val="1F1F1F"/>
                <w:sz w:val="14"/>
                <w:szCs w:val="14"/>
              </w:rPr>
              <w:t xml:space="preserve">Concentration-sensitive scenarios (e.g., a single 50-life population with</w:t>
            </w:r>
          </w:p>
          <w:p>
            <w:pPr>
              <w:spacing w:after="0" w:before="0" w:line="240"/>
            </w:pPr>
            <w:r>
              <w:rPr>
                <w:rFonts w:ascii="Consolas" w:cs="Consolas" w:eastAsia="Consolas" w:hAnsi="Consolas"/>
                <w:b w:val="false"/>
                <w:bCs w:val="false"/>
                <w:i w:val="false"/>
                <w:iCs w:val="false"/>
                <w:color w:val="1F1F1F"/>
                <w:sz w:val="14"/>
                <w:szCs w:val="14"/>
              </w:rPr>
              <w:t xml:space="preserve">two oncology patients) may produce materially different liquidity needs</w:t>
            </w:r>
          </w:p>
          <w:p>
            <w:pPr>
              <w:spacing w:after="0" w:before="0" w:line="240"/>
            </w:pPr>
            <w:r>
              <w:rPr>
                <w:rFonts w:ascii="Consolas" w:cs="Consolas" w:eastAsia="Consolas" w:hAnsi="Consolas"/>
                <w:b w:val="false"/>
                <w:bCs w:val="false"/>
                <w:i w:val="false"/>
                <w:iCs w:val="false"/>
                <w:color w:val="1F1F1F"/>
                <w:sz w:val="14"/>
                <w:szCs w:val="14"/>
              </w:rPr>
              <w:t xml:space="preserve">than this output suggests. Underwriting-grade analysis requires actual</w:t>
            </w:r>
          </w:p>
          <w:p>
            <w:pPr>
              <w:spacing w:after="0" w:before="0" w:line="240"/>
            </w:pPr>
            <w:r>
              <w:rPr>
                <w:rFonts w:ascii="Consolas" w:cs="Consolas" w:eastAsia="Consolas" w:hAnsi="Consolas"/>
                <w:b w:val="false"/>
                <w:bCs w:val="false"/>
                <w:i w:val="false"/>
                <w:iCs w:val="false"/>
                <w:color w:val="1F1F1F"/>
                <w:sz w:val="14"/>
                <w:szCs w:val="14"/>
              </w:rPr>
              <w:t xml:space="preserve">claims data (Mode 1) or category-level claims (Mode 2 with chronic</w:t>
            </w:r>
          </w:p>
          <w:p>
            <w:pPr>
              <w:spacing w:after="0" w:before="0" w:line="240"/>
            </w:pPr>
            <w:r>
              <w:rPr>
                <w:rFonts w:ascii="Consolas" w:cs="Consolas" w:eastAsia="Consolas" w:hAnsi="Consolas"/>
                <w:b w:val="false"/>
                <w:bCs w:val="false"/>
                <w:i w:val="false"/>
                <w:iCs w:val="false"/>
                <w:color w:val="1F1F1F"/>
                <w:sz w:val="14"/>
                <w:szCs w:val="14"/>
              </w:rPr>
              <w:t xml:space="preserve">prevalence specified).</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Concentration-sensitive Mode 3 modeling is a Phase 2 enhancement.</w:t>
      </w:r>
    </w:p>
    <w:p>
      <w:pPr>
        <w:pStyle w:val="Heading2"/>
        <w:spacing w:after="120" w:before="280"/>
      </w:pPr>
      <w:r>
        <w:rPr>
          <w:rFonts w:ascii="Arial" w:cs="Arial" w:eastAsia="Arial" w:hAnsi="Arial"/>
          <w:b/>
          <w:bCs/>
          <w:color w:val="1F1F1F"/>
          <w:sz w:val="28"/>
          <w:szCs w:val="28"/>
        </w:rPr>
        <w:t xml:space="preserve">17.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 Per-member chronic flags applied JOINTLY:</w:t>
            </w:r>
          </w:p>
          <w:p>
            <w:pPr>
              <w:spacing w:after="0" w:before="0" w:line="240"/>
            </w:pPr>
            <w:r>
              <w:rPr>
                <w:rFonts w:ascii="Consolas" w:cs="Consolas" w:eastAsia="Consolas" w:hAnsi="Consolas"/>
                <w:b w:val="false"/>
                <w:bCs w:val="false"/>
                <w:i w:val="false"/>
                <w:iCs w:val="false"/>
                <w:color w:val="1F1F1F"/>
                <w:sz w:val="16"/>
                <w:szCs w:val="16"/>
              </w:rPr>
              <w:t xml:space="preserve">if (member.chronic_flags.includes('diabetes')):</w:t>
            </w:r>
          </w:p>
          <w:p>
            <w:pPr>
              <w:spacing w:after="0" w:before="0" w:line="240"/>
            </w:pPr>
            <w:r>
              <w:rPr>
                <w:rFonts w:ascii="Consolas" w:cs="Consolas" w:eastAsia="Consolas" w:hAnsi="Consolas"/>
                <w:b w:val="false"/>
                <w:bCs w:val="false"/>
                <w:i w:val="false"/>
                <w:iCs w:val="false"/>
                <w:color w:val="1F1F1F"/>
                <w:sz w:val="16"/>
                <w:szCs w:val="16"/>
              </w:rPr>
              <w:t xml:space="preserve">    multiplier_tier_3 *= 1.4   // labs</w:t>
            </w:r>
          </w:p>
          <w:p>
            <w:pPr>
              <w:spacing w:after="0" w:before="0" w:line="240"/>
            </w:pPr>
            <w:r>
              <w:rPr>
                <w:rFonts w:ascii="Consolas" w:cs="Consolas" w:eastAsia="Consolas" w:hAnsi="Consolas"/>
                <w:b w:val="false"/>
                <w:bCs w:val="false"/>
                <w:i w:val="false"/>
                <w:iCs w:val="false"/>
                <w:color w:val="1F1F1F"/>
                <w:sz w:val="16"/>
                <w:szCs w:val="16"/>
              </w:rPr>
              <w:t xml:space="preserve">    multiplier_tier_4 *= 1.2   // imaging</w:t>
            </w:r>
          </w:p>
          <w:p>
            <w:pPr>
              <w:spacing w:after="0" w:before="0" w:line="240"/>
            </w:pPr>
            <w:r>
              <w:rPr>
                <w:rFonts w:ascii="Consolas" w:cs="Consolas" w:eastAsia="Consolas" w:hAnsi="Consolas"/>
                <w:b w:val="false"/>
                <w:bCs w:val="false"/>
                <w:i w:val="false"/>
                <w:iCs w:val="false"/>
                <w:color w:val="1F1F1F"/>
                <w:sz w:val="16"/>
                <w:szCs w:val="16"/>
              </w:rPr>
              <w:t xml:space="preserve">    multiplier_tier_8 *= 2.5   // inpatient</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Seasonal factor applied per-month:</w:t>
            </w:r>
          </w:p>
          <w:p>
            <w:pPr>
              <w:spacing w:after="0" w:before="0" w:line="240"/>
            </w:pPr>
            <w:r>
              <w:rPr>
                <w:rFonts w:ascii="Consolas" w:cs="Consolas" w:eastAsia="Consolas" w:hAnsi="Consolas"/>
                <w:b w:val="false"/>
                <w:bCs w:val="false"/>
                <w:i w:val="false"/>
                <w:iCs w:val="false"/>
                <w:color w:val="1F1F1F"/>
                <w:sz w:val="16"/>
                <w:szCs w:val="16"/>
              </w:rPr>
              <w:t xml:space="preserve">tier_7_lambda *= season_factor[month]</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Shock factor (optional, scenario-controlled):</w:t>
            </w:r>
          </w:p>
          <w:p>
            <w:pPr>
              <w:spacing w:after="0" w:before="0" w:line="240"/>
            </w:pPr>
            <w:r>
              <w:rPr>
                <w:rFonts w:ascii="Consolas" w:cs="Consolas" w:eastAsia="Consolas" w:hAnsi="Consolas"/>
                <w:b w:val="false"/>
                <w:bCs w:val="false"/>
                <w:i w:val="false"/>
                <w:iCs w:val="false"/>
                <w:color w:val="1F1F1F"/>
                <w:sz w:val="16"/>
                <w:szCs w:val="16"/>
              </w:rPr>
              <w:t xml:space="preserve">if (scenario.shock_enabled and month == scenario.shock_month):</w:t>
            </w:r>
          </w:p>
          <w:p>
            <w:pPr>
              <w:spacing w:after="0" w:before="0" w:line="240"/>
            </w:pPr>
            <w:r>
              <w:rPr>
                <w:rFonts w:ascii="Consolas" w:cs="Consolas" w:eastAsia="Consolas" w:hAnsi="Consolas"/>
                <w:b w:val="false"/>
                <w:bCs w:val="false"/>
                <w:i w:val="false"/>
                <w:iCs w:val="false"/>
                <w:color w:val="1F1F1F"/>
                <w:sz w:val="16"/>
                <w:szCs w:val="16"/>
              </w:rPr>
              <w:t xml:space="preserve">    tier_6_lambda *= scenario.shock_multiplier</w:t>
            </w:r>
          </w:p>
          <w:p>
            <w:pPr>
              <w:spacing w:after="0" w:before="0" w:line="240"/>
            </w:pPr>
            <w:r>
              <w:rPr>
                <w:rFonts w:ascii="Consolas" w:cs="Consolas" w:eastAsia="Consolas" w:hAnsi="Consolas"/>
                <w:b w:val="false"/>
                <w:bCs w:val="false"/>
                <w:i w:val="false"/>
                <w:iCs w:val="false"/>
                <w:color w:val="1F1F1F"/>
                <w:sz w:val="16"/>
                <w:szCs w:val="16"/>
              </w:rPr>
              <w:t xml:space="preserve">    tier_7_lambda *= scenario.shock_multiplier</w:t>
            </w:r>
          </w:p>
          <w:p>
            <w:pPr>
              <w:spacing w:after="0" w:before="0" w:line="240"/>
            </w:pPr>
            <w:r>
              <w:rPr>
                <w:rFonts w:ascii="Consolas" w:cs="Consolas" w:eastAsia="Consolas" w:hAnsi="Consolas"/>
                <w:b w:val="false"/>
                <w:bCs w:val="false"/>
                <w:i w:val="false"/>
                <w:iCs w:val="false"/>
                <w:color w:val="1F1F1F"/>
                <w:sz w:val="16"/>
                <w:szCs w:val="16"/>
              </w:rPr>
              <w:t xml:space="preserve">    tier_8_lambda *= scenario.shock_multiplier</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Within-member sequential clustering (NEW in v1.1):</w:t>
            </w:r>
          </w:p>
          <w:p>
            <w:pPr>
              <w:spacing w:after="0" w:before="0" w:line="240"/>
            </w:pPr>
            <w:r>
              <w:rPr>
                <w:rFonts w:ascii="Consolas" w:cs="Consolas" w:eastAsia="Consolas" w:hAnsi="Consolas"/>
                <w:b w:val="false"/>
                <w:bCs w:val="false"/>
                <w:i w:val="false"/>
                <w:iCs w:val="false"/>
                <w:color w:val="1F1F1F"/>
                <w:sz w:val="16"/>
                <w:szCs w:val="16"/>
              </w:rPr>
              <w:t xml:space="preserve">for each event:</w:t>
            </w:r>
          </w:p>
          <w:p>
            <w:pPr>
              <w:spacing w:after="0" w:before="0" w:line="240"/>
            </w:pPr>
            <w:r>
              <w:rPr>
                <w:rFonts w:ascii="Consolas" w:cs="Consolas" w:eastAsia="Consolas" w:hAnsi="Consolas"/>
                <w:b w:val="false"/>
                <w:bCs w:val="false"/>
                <w:i w:val="false"/>
                <w:iCs w:val="false"/>
                <w:color w:val="1F1F1F"/>
                <w:sz w:val="16"/>
                <w:szCs w:val="16"/>
              </w:rPr>
              <w:t xml:space="preserve">    if random() &lt; tier.complication_probability:</w:t>
            </w:r>
          </w:p>
          <w:p>
            <w:pPr>
              <w:spacing w:after="0" w:before="0" w:line="240"/>
            </w:pPr>
            <w:r>
              <w:rPr>
                <w:rFonts w:ascii="Consolas" w:cs="Consolas" w:eastAsia="Consolas" w:hAnsi="Consolas"/>
                <w:b w:val="false"/>
                <w:bCs w:val="false"/>
                <w:i w:val="false"/>
                <w:iCs w:val="false"/>
                <w:color w:val="1F1F1F"/>
                <w:sz w:val="16"/>
                <w:szCs w:val="16"/>
              </w:rPr>
              <w:t xml:space="preserve">        emit_follow_on_event_after_lag(tier, member, lag_days)</w:t>
            </w:r>
          </w:p>
        </w:tc>
      </w:tr>
    </w:tbl>
    <w:p>
      <w:pPr>
        <w:pStyle w:val="Heading2"/>
        <w:spacing w:after="120" w:before="280"/>
      </w:pPr>
      <w:r>
        <w:rPr>
          <w:rFonts w:ascii="Arial" w:cs="Arial" w:eastAsia="Arial" w:hAnsi="Arial"/>
          <w:b/>
          <w:bCs/>
          <w:color w:val="1F1F1F"/>
          <w:sz w:val="28"/>
          <w:szCs w:val="28"/>
        </w:rPr>
        <w:t xml:space="preserve">18. Conservative Default</w:t>
      </w:r>
    </w:p>
    <w:p>
      <w:pPr>
        <w:spacing w:after="80" w:before="80"/>
        <w:jc w:val="left"/>
      </w:pPr>
      <w:r>
        <w:rPr>
          <w:rFonts w:ascii="Arial" w:cs="Arial" w:eastAsia="Arial" w:hAnsi="Arial"/>
          <w:b/>
          <w:bCs/>
          <w:i w:val="false"/>
          <w:iCs w:val="false"/>
          <w:color w:val="1F1F1F"/>
          <w:sz w:val="22"/>
          <w:szCs w:val="22"/>
        </w:rPr>
        <w:t xml:space="preserve">When in doubt, the simulator defaults to the more conservative (higher liquidity requirement) option. Underestimating liquidity is a worse error than overestimating; the cost of holding marginally more buffer is small, the cost of running out of cash mid-year is catastrophic.</w:t>
      </w:r>
    </w:p>
    <w:p>
      <w:pPr>
        <w:pStyle w:val="Heading1"/>
        <w:spacing w:after="160" w:before="360"/>
      </w:pPr>
      <w:r>
        <w:rPr>
          <w:rFonts w:ascii="Arial" w:cs="Arial" w:eastAsia="Arial" w:hAnsi="Arial"/>
          <w:b/>
          <w:bCs/>
          <w:color w:val="1F1F1F"/>
          <w:sz w:val="36"/>
          <w:szCs w:val="36"/>
        </w:rPr>
        <w:t xml:space="preserve">Part VII · Indemnity Layer</w:t>
      </w:r>
    </w:p>
    <w:p>
      <w:pPr>
        <w:pStyle w:val="Heading2"/>
        <w:spacing w:after="120" w:before="280"/>
      </w:pPr>
      <w:r>
        <w:rPr>
          <w:rFonts w:ascii="Arial" w:cs="Arial" w:eastAsia="Arial" w:hAnsi="Arial"/>
          <w:b/>
          <w:bCs/>
          <w:color w:val="1F1F1F"/>
          <w:sz w:val="28"/>
          <w:szCs w:val="28"/>
        </w:rPr>
        <w:t xml:space="preserve">19. Module 8 — Indemnity Offset Engine</w:t>
      </w:r>
    </w:p>
    <w:p>
      <w:pPr>
        <w:spacing w:after="80" w:before="80"/>
        <w:jc w:val="left"/>
      </w:pPr>
      <w:r>
        <w:rPr>
          <w:rFonts w:ascii="Arial" w:cs="Arial" w:eastAsia="Arial" w:hAnsi="Arial"/>
          <w:b w:val="false"/>
          <w:bCs w:val="false"/>
          <w:i w:val="false"/>
          <w:iCs w:val="false"/>
          <w:color w:val="1F1F1F"/>
          <w:sz w:val="22"/>
          <w:szCs w:val="22"/>
        </w:rPr>
        <w:t xml:space="preserve">The v3.0 engine acknowledges indemnity but does not properly model the variance impact. Indemnity dramatically reduces variance because it converts variable cost into a fixed offset on triggering events.</w:t>
      </w:r>
    </w:p>
    <w:p>
      <w:pPr>
        <w:pStyle w:val="Heading3"/>
        <w:spacing w:after="80" w:before="200"/>
      </w:pPr>
      <w:r>
        <w:rPr>
          <w:rFonts w:ascii="Arial" w:cs="Arial" w:eastAsia="Arial" w:hAnsi="Arial"/>
          <w:b/>
          <w:bCs/>
          <w:color w:val="1F1F1F"/>
          <w:sz w:val="24"/>
          <w:szCs w:val="24"/>
        </w:rPr>
        <w:t xml:space="preserve">19.1 Per-Event Net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bCs/>
                <w:i w:val="false"/>
                <w:iCs w:val="false"/>
                <w:color w:val="1F1F1F"/>
                <w:sz w:val="22"/>
                <w:szCs w:val="22"/>
              </w:rPr>
              <w:t xml:space="preserve">Net Cost  =  max(  Gross Cost  −  Indemnity Payout  ,  0  )</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Example: an ER visit costs $2,000 gross. Indemnity pays $1,500 on any qualifying ER visit. Net cost to the employer's residual fund is $500.</w:t>
      </w:r>
    </w:p>
    <w:p>
      <w:pPr>
        <w:pStyle w:val="Heading3"/>
        <w:spacing w:after="80" w:before="200"/>
      </w:pPr>
      <w:r>
        <w:rPr>
          <w:rFonts w:ascii="Arial" w:cs="Arial" w:eastAsia="Arial" w:hAnsi="Arial"/>
          <w:b/>
          <w:bCs/>
          <w:color w:val="1F1F1F"/>
          <w:sz w:val="24"/>
          <w:szCs w:val="24"/>
        </w:rPr>
        <w:t xml:space="preserve">19.2 Variance Reduction</w:t>
      </w:r>
    </w:p>
    <w:p>
      <w:pPr>
        <w:spacing w:after="80" w:before="80"/>
        <w:jc w:val="left"/>
      </w:pPr>
      <w:r>
        <w:rPr>
          <w:rFonts w:ascii="Arial" w:cs="Arial" w:eastAsia="Arial" w:hAnsi="Arial"/>
          <w:b w:val="false"/>
          <w:bCs w:val="false"/>
          <w:i w:val="false"/>
          <w:iCs w:val="false"/>
          <w:color w:val="1F1F1F"/>
          <w:sz w:val="22"/>
          <w:szCs w:val="22"/>
        </w:rPr>
        <w:t xml:space="preserve">Indemnity reduces both the mean and the variance of the residual exposure. The variance reduction is what matters for liquidity.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Without indemnity:</w:t>
            </w:r>
          </w:p>
          <w:p>
            <w:pPr>
              <w:spacing w:after="0" w:before="0" w:line="240"/>
            </w:pPr>
            <w:r>
              <w:rPr>
                <w:rFonts w:ascii="Consolas" w:cs="Consolas" w:eastAsia="Consolas" w:hAnsi="Consolas"/>
                <w:b w:val="false"/>
                <w:bCs w:val="false"/>
                <w:i w:val="false"/>
                <w:iCs w:val="false"/>
                <w:color w:val="1F1F1F"/>
                <w:sz w:val="16"/>
                <w:szCs w:val="16"/>
              </w:rPr>
              <w:t xml:space="preserve">  ER tier mean = $2,000, σ = $1,200</w:t>
            </w:r>
          </w:p>
          <w:p>
            <w:pPr>
              <w:spacing w:after="0" w:before="0" w:line="240"/>
            </w:pPr>
            <w:r>
              <w:rPr>
                <w:rFonts w:ascii="Consolas" w:cs="Consolas" w:eastAsia="Consolas" w:hAnsi="Consolas"/>
                <w:b w:val="false"/>
                <w:bCs w:val="false"/>
                <w:i w:val="false"/>
                <w:iCs w:val="false"/>
                <w:color w:val="1F1F1F"/>
                <w:sz w:val="16"/>
                <w:szCs w:val="16"/>
              </w:rPr>
              <w:t xml:space="preserve">  10 ER events:  E[total] = $20,000, σ[total] ≈ $3,800</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With $1,500 indemnity:</w:t>
            </w:r>
          </w:p>
          <w:p>
            <w:pPr>
              <w:spacing w:after="0" w:before="0" w:line="240"/>
            </w:pPr>
            <w:r>
              <w:rPr>
                <w:rFonts w:ascii="Consolas" w:cs="Consolas" w:eastAsia="Consolas" w:hAnsi="Consolas"/>
                <w:b w:val="false"/>
                <w:bCs w:val="false"/>
                <w:i w:val="false"/>
                <w:iCs w:val="false"/>
                <w:color w:val="1F1F1F"/>
                <w:sz w:val="16"/>
                <w:szCs w:val="16"/>
              </w:rPr>
              <w:t xml:space="preserve">  Net mean = $500, σ = $1,200 (variance unchanged in nominal $)</w:t>
            </w:r>
          </w:p>
          <w:p>
            <w:pPr>
              <w:spacing w:after="0" w:before="0" w:line="240"/>
            </w:pPr>
            <w:r>
              <w:rPr>
                <w:rFonts w:ascii="Consolas" w:cs="Consolas" w:eastAsia="Consolas" w:hAnsi="Consolas"/>
                <w:b w:val="false"/>
                <w:bCs w:val="false"/>
                <w:i w:val="false"/>
                <w:iCs w:val="false"/>
                <w:color w:val="1F1F1F"/>
                <w:sz w:val="16"/>
                <w:szCs w:val="16"/>
              </w:rPr>
              <w:t xml:space="preserve">  But as % of net: σ/μ jumps from 0.6 to 2.4</w:t>
            </w:r>
          </w:p>
          <w:p>
            <w:pPr>
              <w:spacing w:after="0" w:before="0" w:line="240"/>
            </w:pPr>
            <w:r>
              <w:rPr>
                <w:rFonts w:ascii="Consolas" w:cs="Consolas" w:eastAsia="Consolas" w:hAnsi="Consolas"/>
                <w:b w:val="false"/>
                <w:bCs w:val="false"/>
                <w:i w:val="false"/>
                <w:iCs w:val="false"/>
                <w:color w:val="1F1F1F"/>
                <w:sz w:val="16"/>
                <w:szCs w:val="16"/>
              </w:rPr>
              <w:t xml:space="preserve">  Tail behavior dominates — indemnity caps the floor, not the ceiling</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Conclusion: indemnity reduces low-cost variance dramatically;</w:t>
            </w:r>
          </w:p>
          <w:p>
            <w:pPr>
              <w:spacing w:after="0" w:before="0" w:line="240"/>
            </w:pPr>
            <w:r>
              <w:rPr>
                <w:rFonts w:ascii="Consolas" w:cs="Consolas" w:eastAsia="Consolas" w:hAnsi="Consolas"/>
                <w:b w:val="false"/>
                <w:bCs w:val="false"/>
                <w:i w:val="false"/>
                <w:iCs w:val="false"/>
                <w:color w:val="1F1F1F"/>
                <w:sz w:val="16"/>
                <w:szCs w:val="16"/>
              </w:rPr>
              <w:t xml:space="preserve">high-cost variance (the liquidity-driving variance) is mostly untouched.</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is a critical insight: indemnity is a great tool for reducing employer exposure to ordinary events but does not materially reduce the catastrophic-tail liquidity requirement. Stop-loss does that.</w:t>
      </w:r>
    </w:p>
    <w:p>
      <w:pPr>
        <w:pStyle w:val="Heading3"/>
        <w:spacing w:after="80" w:before="200"/>
      </w:pPr>
      <w:r>
        <w:rPr>
          <w:rFonts w:ascii="Arial" w:cs="Arial" w:eastAsia="Arial" w:hAnsi="Arial"/>
          <w:b/>
          <w:bCs/>
          <w:color w:val="1F1F1F"/>
          <w:sz w:val="24"/>
          <w:szCs w:val="24"/>
        </w:rPr>
        <w:t xml:space="preserve">19.3 Implementation</w:t>
      </w:r>
    </w:p>
    <w:p>
      <w:pPr>
        <w:pStyle w:val="ListParagraph"/>
        <w:numPr>
          <w:ilvl w:val="0"/>
          <w:numId w:val="3"/>
        </w:numPr>
        <w:spacing w:after="30" w:before="30"/>
      </w:pPr>
      <w:r>
        <w:rPr>
          <w:rFonts w:ascii="Arial" w:cs="Arial" w:eastAsia="Arial" w:hAnsi="Arial"/>
          <w:color w:val="1F1F1F"/>
          <w:sz w:val="22"/>
          <w:szCs w:val="22"/>
        </w:rPr>
        <w:t xml:space="preserve">Indemnity benefit table (existing, version-controlled per indemnity_versions): event_type → benefit_amount.</w:t>
      </w:r>
    </w:p>
    <w:p>
      <w:pPr>
        <w:pStyle w:val="ListParagraph"/>
        <w:numPr>
          <w:ilvl w:val="0"/>
          <w:numId w:val="3"/>
        </w:numPr>
        <w:spacing w:after="30" w:before="30"/>
      </w:pPr>
      <w:r>
        <w:rPr>
          <w:rFonts w:ascii="Arial" w:cs="Arial" w:eastAsia="Arial" w:hAnsi="Arial"/>
          <w:color w:val="1F1F1F"/>
          <w:sz w:val="22"/>
          <w:szCs w:val="22"/>
        </w:rPr>
        <w:t xml:space="preserve">Per-simulation event: lookup applicable benefit, subtract from gross cost, floor at zero.</w:t>
      </w:r>
    </w:p>
    <w:p>
      <w:pPr>
        <w:pStyle w:val="ListParagraph"/>
        <w:numPr>
          <w:ilvl w:val="0"/>
          <w:numId w:val="3"/>
        </w:numPr>
        <w:spacing w:after="30" w:before="30"/>
      </w:pPr>
      <w:r>
        <w:rPr>
          <w:rFonts w:ascii="Arial" w:cs="Arial" w:eastAsia="Arial" w:hAnsi="Arial"/>
          <w:color w:val="1F1F1F"/>
          <w:sz w:val="22"/>
          <w:szCs w:val="22"/>
        </w:rPr>
        <w:t xml:space="preserve">Indemnity premium (fixed monthly cost) is added to the fixed_funded_components in the liquidity engine.</w:t>
      </w:r>
    </w:p>
    <w:p>
      <w:pPr>
        <w:pStyle w:val="ListParagraph"/>
        <w:numPr>
          <w:ilvl w:val="0"/>
          <w:numId w:val="3"/>
        </w:numPr>
        <w:spacing w:after="30" w:before="30"/>
      </w:pPr>
      <w:r>
        <w:rPr>
          <w:rFonts w:ascii="Arial" w:cs="Arial" w:eastAsia="Arial" w:hAnsi="Arial"/>
          <w:color w:val="1F1F1F"/>
          <w:sz w:val="22"/>
          <w:szCs w:val="22"/>
        </w:rPr>
        <w:t xml:space="preserve">Annual benefit caps per member are enforced (rare for ER, applicable for some accident benefits).</w:t>
      </w:r>
    </w:p>
    <w:p>
      <w:pPr>
        <w:pStyle w:val="Heading1"/>
        <w:spacing w:after="160" w:before="360"/>
      </w:pPr>
      <w:r>
        <w:rPr>
          <w:rFonts w:ascii="Arial" w:cs="Arial" w:eastAsia="Arial" w:hAnsi="Arial"/>
          <w:b/>
          <w:bCs/>
          <w:color w:val="1F1F1F"/>
          <w:sz w:val="36"/>
          <w:szCs w:val="36"/>
        </w:rPr>
        <w:t xml:space="preserve">Part VIII · Stop-Loss Interaction</w:t>
      </w:r>
    </w:p>
    <w:p>
      <w:pPr>
        <w:pStyle w:val="Heading2"/>
        <w:spacing w:after="120" w:before="280"/>
      </w:pPr>
      <w:r>
        <w:rPr>
          <w:rFonts w:ascii="Arial" w:cs="Arial" w:eastAsia="Arial" w:hAnsi="Arial"/>
          <w:b/>
          <w:bCs/>
          <w:color w:val="1F1F1F"/>
          <w:sz w:val="28"/>
          <w:szCs w:val="28"/>
        </w:rPr>
        <w:t xml:space="preserve">20. The v3.0 Simplification</w:t>
      </w:r>
    </w:p>
    <w:p>
      <w:pPr>
        <w:spacing w:after="80" w:before="80"/>
        <w:jc w:val="left"/>
      </w:pPr>
      <w:r>
        <w:rPr>
          <w:rFonts w:ascii="Arial" w:cs="Arial" w:eastAsia="Arial" w:hAnsi="Arial"/>
          <w:b w:val="false"/>
          <w:bCs w:val="false"/>
          <w:i w:val="false"/>
          <w:iCs w:val="false"/>
          <w:color w:val="1F1F1F"/>
          <w:sz w:val="22"/>
          <w:szCs w:val="22"/>
        </w:rPr>
        <w:t xml:space="preserve">v3.0 treated stop-loss as a simple cap: 'amount above attachment shifts to stop-loss.' That is correct in steady state but ignores three liquidity-critical dynamics:</w:t>
      </w:r>
    </w:p>
    <w:p>
      <w:pPr>
        <w:pStyle w:val="ListParagraph"/>
        <w:numPr>
          <w:ilvl w:val="0"/>
          <w:numId w:val="2"/>
        </w:numPr>
        <w:spacing w:after="30" w:before="30"/>
      </w:pPr>
      <w:r>
        <w:rPr>
          <w:rFonts w:ascii="Arial" w:cs="Arial" w:eastAsia="Arial" w:hAnsi="Arial"/>
          <w:color w:val="1F1F1F"/>
          <w:sz w:val="22"/>
          <w:szCs w:val="22"/>
        </w:rPr>
        <w:t xml:space="preserve">Probability of hitting attachment in any given month.</w:t>
      </w:r>
    </w:p>
    <w:p>
      <w:pPr>
        <w:pStyle w:val="ListParagraph"/>
        <w:numPr>
          <w:ilvl w:val="0"/>
          <w:numId w:val="2"/>
        </w:numPr>
        <w:spacing w:after="30" w:before="30"/>
      </w:pPr>
      <w:r>
        <w:rPr>
          <w:rFonts w:ascii="Arial" w:cs="Arial" w:eastAsia="Arial" w:hAnsi="Arial"/>
          <w:color w:val="1F1F1F"/>
          <w:sz w:val="22"/>
          <w:szCs w:val="22"/>
        </w:rPr>
        <w:t xml:space="preserve">Time to hit attachment within the year (the lag exposure).</w:t>
      </w:r>
    </w:p>
    <w:p>
      <w:pPr>
        <w:pStyle w:val="ListParagraph"/>
        <w:numPr>
          <w:ilvl w:val="0"/>
          <w:numId w:val="2"/>
        </w:numPr>
        <w:spacing w:after="30" w:before="30"/>
      </w:pPr>
      <w:r>
        <w:rPr>
          <w:rFonts w:ascii="Arial" w:cs="Arial" w:eastAsia="Arial" w:hAnsi="Arial"/>
          <w:color w:val="1F1F1F"/>
          <w:sz w:val="22"/>
          <w:szCs w:val="22"/>
        </w:rPr>
        <w:t xml:space="preserve">Partial exposure before attachment (what the employer must fund up to attachment).</w:t>
      </w:r>
    </w:p>
    <w:p>
      <w:pPr>
        <w:pStyle w:val="Heading2"/>
        <w:spacing w:after="120" w:before="280"/>
      </w:pPr>
      <w:r>
        <w:rPr>
          <w:rFonts w:ascii="Arial" w:cs="Arial" w:eastAsia="Arial" w:hAnsi="Arial"/>
          <w:b/>
          <w:bCs/>
          <w:color w:val="1F1F1F"/>
          <w:sz w:val="28"/>
          <w:szCs w:val="28"/>
        </w:rPr>
        <w:t xml:space="preserve">21. The Three Dynamics</w:t>
      </w:r>
    </w:p>
    <w:p>
      <w:pPr>
        <w:pStyle w:val="Heading3"/>
        <w:spacing w:after="80" w:before="200"/>
      </w:pPr>
      <w:r>
        <w:rPr>
          <w:rFonts w:ascii="Arial" w:cs="Arial" w:eastAsia="Arial" w:hAnsi="Arial"/>
          <w:b/>
          <w:bCs/>
          <w:color w:val="1F1F1F"/>
          <w:sz w:val="24"/>
          <w:szCs w:val="24"/>
        </w:rPr>
        <w:t xml:space="preserve">21.1 Probability of Hitting Attachment</w:t>
      </w:r>
    </w:p>
    <w:p>
      <w:pPr>
        <w:spacing w:after="80" w:before="80"/>
        <w:jc w:val="left"/>
      </w:pPr>
      <w:r>
        <w:rPr>
          <w:rFonts w:ascii="Arial" w:cs="Arial" w:eastAsia="Arial" w:hAnsi="Arial"/>
          <w:b w:val="false"/>
          <w:bCs w:val="false"/>
          <w:i w:val="false"/>
          <w:iCs w:val="false"/>
          <w:color w:val="1F1F1F"/>
          <w:sz w:val="22"/>
          <w:szCs w:val="22"/>
        </w:rPr>
        <w:t xml:space="preserve">For every covered member, the simulator computes the probability that the member's cumulative claims will exceed the attachment point. This depends on: attachment dollar level, member demographics, and chronic flags.</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100-life population, $50K attachment, baseline chronic mix: typical 1-2 members per year hit attachment.</w:t>
      </w:r>
    </w:p>
    <w:p>
      <w:pPr>
        <w:pStyle w:val="ListParagraph"/>
        <w:numPr>
          <w:ilvl w:val="0"/>
          <w:numId w:val="3"/>
        </w:numPr>
        <w:spacing w:after="30" w:before="30"/>
      </w:pPr>
      <w:r>
        <w:rPr>
          <w:rFonts w:ascii="Arial" w:cs="Arial" w:eastAsia="Arial" w:hAnsi="Arial"/>
          <w:color w:val="1F1F1F"/>
          <w:sz w:val="22"/>
          <w:szCs w:val="22"/>
        </w:rPr>
        <w:t xml:space="preserve">Same population, $25K attachment: typical 4-7 members per year hit attachment.</w:t>
      </w:r>
    </w:p>
    <w:p>
      <w:pPr>
        <w:pStyle w:val="ListParagraph"/>
        <w:numPr>
          <w:ilvl w:val="0"/>
          <w:numId w:val="3"/>
        </w:numPr>
        <w:spacing w:after="30" w:before="30"/>
      </w:pPr>
      <w:r>
        <w:rPr>
          <w:rFonts w:ascii="Arial" w:cs="Arial" w:eastAsia="Arial" w:hAnsi="Arial"/>
          <w:color w:val="1F1F1F"/>
          <w:sz w:val="22"/>
          <w:szCs w:val="22"/>
        </w:rPr>
        <w:t xml:space="preserve">Same population, $100K attachment: typical 0-1 members per year hit attachment.</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drives stop-loss premium and reimbursement timing. The simulator outputs both a stop-loss exposure distribution and an expected reimbursement schedule.</w:t>
      </w:r>
    </w:p>
    <w:p>
      <w:pPr>
        <w:pStyle w:val="Heading3"/>
        <w:spacing w:after="80" w:before="200"/>
      </w:pPr>
      <w:r>
        <w:rPr>
          <w:rFonts w:ascii="Arial" w:cs="Arial" w:eastAsia="Arial" w:hAnsi="Arial"/>
          <w:b/>
          <w:bCs/>
          <w:color w:val="1F1F1F"/>
          <w:sz w:val="24"/>
          <w:szCs w:val="24"/>
        </w:rPr>
        <w:t xml:space="preserve">21.2 Time to Hit Attachment</w:t>
      </w:r>
    </w:p>
    <w:p>
      <w:pPr>
        <w:spacing w:after="80" w:before="80"/>
        <w:jc w:val="left"/>
      </w:pPr>
      <w:r>
        <w:rPr>
          <w:rFonts w:ascii="Arial" w:cs="Arial" w:eastAsia="Arial" w:hAnsi="Arial"/>
          <w:b w:val="false"/>
          <w:bCs w:val="false"/>
          <w:i w:val="false"/>
          <w:iCs w:val="false"/>
          <w:color w:val="1F1F1F"/>
          <w:sz w:val="22"/>
          <w:szCs w:val="22"/>
        </w:rPr>
        <w:t xml:space="preserve">A member who hits attachment in February shifts cost to stop-loss for the remaining 10 months. A member who hits in November shifts cost for only 1 month. The simulator must model when attachment is reached, not just whether.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FOR each member in each simulation_run:</w:t>
            </w:r>
          </w:p>
          <w:p>
            <w:pPr>
              <w:spacing w:after="0" w:before="0" w:line="240"/>
            </w:pPr>
            <w:r>
              <w:rPr>
                <w:rFonts w:ascii="Consolas" w:cs="Consolas" w:eastAsia="Consolas" w:hAnsi="Consolas"/>
                <w:b w:val="false"/>
                <w:bCs w:val="false"/>
                <w:i w:val="false"/>
                <w:iCs w:val="false"/>
                <w:color w:val="1F1F1F"/>
                <w:sz w:val="16"/>
                <w:szCs w:val="16"/>
              </w:rPr>
              <w:t xml:space="preserve">  cumulative = 0</w:t>
            </w:r>
          </w:p>
          <w:p>
            <w:pPr>
              <w:spacing w:after="0" w:before="0" w:line="240"/>
            </w:pPr>
            <w:r>
              <w:rPr>
                <w:rFonts w:ascii="Consolas" w:cs="Consolas" w:eastAsia="Consolas" w:hAnsi="Consolas"/>
                <w:b w:val="false"/>
                <w:bCs w:val="false"/>
                <w:i w:val="false"/>
                <w:iCs w:val="false"/>
                <w:color w:val="1F1F1F"/>
                <w:sz w:val="16"/>
                <w:szCs w:val="16"/>
              </w:rPr>
              <w:t xml:space="preserve">  FOR each event in date order:</w:t>
            </w:r>
          </w:p>
          <w:p>
            <w:pPr>
              <w:spacing w:after="0" w:before="0" w:line="240"/>
            </w:pPr>
            <w:r>
              <w:rPr>
                <w:rFonts w:ascii="Consolas" w:cs="Consolas" w:eastAsia="Consolas" w:hAnsi="Consolas"/>
                <w:b w:val="false"/>
                <w:bCs w:val="false"/>
                <w:i w:val="false"/>
                <w:iCs w:val="false"/>
                <w:color w:val="1F1F1F"/>
                <w:sz w:val="16"/>
                <w:szCs w:val="16"/>
              </w:rPr>
              <w:t xml:space="preserve">    cumulative += event.gross_cost</w:t>
            </w:r>
          </w:p>
          <w:p>
            <w:pPr>
              <w:spacing w:after="0" w:before="0" w:line="240"/>
            </w:pPr>
            <w:r>
              <w:rPr>
                <w:rFonts w:ascii="Consolas" w:cs="Consolas" w:eastAsia="Consolas" w:hAnsi="Consolas"/>
                <w:b w:val="false"/>
                <w:bCs w:val="false"/>
                <w:i w:val="false"/>
                <w:iCs w:val="false"/>
                <w:color w:val="1F1F1F"/>
                <w:sz w:val="16"/>
                <w:szCs w:val="16"/>
              </w:rPr>
              <w:t xml:space="preserve">    IF cumulative &gt; attachment_point:</w:t>
            </w:r>
          </w:p>
          <w:p>
            <w:pPr>
              <w:spacing w:after="0" w:before="0" w:line="240"/>
            </w:pPr>
            <w:r>
              <w:rPr>
                <w:rFonts w:ascii="Consolas" w:cs="Consolas" w:eastAsia="Consolas" w:hAnsi="Consolas"/>
                <w:b w:val="false"/>
                <w:bCs w:val="false"/>
                <w:i w:val="false"/>
                <w:iCs w:val="false"/>
                <w:color w:val="1F1F1F"/>
                <w:sz w:val="16"/>
                <w:szCs w:val="16"/>
              </w:rPr>
              <w:t xml:space="preserve">      pre_attachment_share  = (event.gross − (cumulative − attachment_point))</w:t>
            </w:r>
          </w:p>
          <w:p>
            <w:pPr>
              <w:spacing w:after="0" w:before="0" w:line="240"/>
            </w:pPr>
            <w:r>
              <w:rPr>
                <w:rFonts w:ascii="Consolas" w:cs="Consolas" w:eastAsia="Consolas" w:hAnsi="Consolas"/>
                <w:b w:val="false"/>
                <w:bCs w:val="false"/>
                <w:i w:val="false"/>
                <w:iCs w:val="false"/>
                <w:color w:val="1F1F1F"/>
                <w:sz w:val="16"/>
                <w:szCs w:val="16"/>
              </w:rPr>
              <w:t xml:space="preserve">      stop_loss_share       = cumulative − attachment_point</w:t>
            </w:r>
          </w:p>
          <w:p>
            <w:pPr>
              <w:spacing w:after="0" w:before="0" w:line="240"/>
            </w:pPr>
            <w:r>
              <w:rPr>
                <w:rFonts w:ascii="Consolas" w:cs="Consolas" w:eastAsia="Consolas" w:hAnsi="Consolas"/>
                <w:b w:val="false"/>
                <w:bCs w:val="false"/>
                <w:i w:val="false"/>
                <w:iCs w:val="false"/>
                <w:color w:val="1F1F1F"/>
                <w:sz w:val="16"/>
                <w:szCs w:val="16"/>
              </w:rPr>
              <w:t xml:space="preserve">      member.attachment_date = event.date</w:t>
            </w:r>
          </w:p>
          <w:p>
            <w:pPr>
              <w:spacing w:after="0" w:before="0" w:line="240"/>
            </w:pPr>
            <w:r>
              <w:rPr>
                <w:rFonts w:ascii="Consolas" w:cs="Consolas" w:eastAsia="Consolas" w:hAnsi="Consolas"/>
                <w:b w:val="false"/>
                <w:bCs w:val="false"/>
                <w:i w:val="false"/>
                <w:iCs w:val="false"/>
                <w:color w:val="1F1F1F"/>
                <w:sz w:val="16"/>
                <w:szCs w:val="16"/>
              </w:rPr>
              <w:t xml:space="preserve">      // From this date forward, all subsequent events for this member</w:t>
            </w:r>
          </w:p>
          <w:p>
            <w:pPr>
              <w:spacing w:after="0" w:before="0" w:line="240"/>
            </w:pPr>
            <w:r>
              <w:rPr>
                <w:rFonts w:ascii="Consolas" w:cs="Consolas" w:eastAsia="Consolas" w:hAnsi="Consolas"/>
                <w:b w:val="false"/>
                <w:bCs w:val="false"/>
                <w:i w:val="false"/>
                <w:iCs w:val="false"/>
                <w:color w:val="1F1F1F"/>
                <w:sz w:val="16"/>
                <w:szCs w:val="16"/>
              </w:rPr>
              <w:t xml:space="preserve">      // shift to stop-loss (subject to specific stop-loss terms)</w:t>
            </w:r>
          </w:p>
        </w:tc>
      </w:tr>
    </w:tbl>
    <w:p>
      <w:pPr>
        <w:pStyle w:val="Heading3"/>
        <w:spacing w:after="80" w:before="200"/>
      </w:pPr>
      <w:r>
        <w:rPr>
          <w:rFonts w:ascii="Arial" w:cs="Arial" w:eastAsia="Arial" w:hAnsi="Arial"/>
          <w:b/>
          <w:bCs/>
          <w:color w:val="1F1F1F"/>
          <w:sz w:val="24"/>
          <w:szCs w:val="24"/>
        </w:rPr>
        <w:t xml:space="preserve">21.3 Liquidity Exposure During the Reimbursement Lag</w:t>
      </w:r>
    </w:p>
    <w:p>
      <w:pPr>
        <w:spacing w:after="80" w:before="80"/>
        <w:jc w:val="left"/>
      </w:pPr>
      <w:r>
        <w:rPr>
          <w:rFonts w:ascii="Arial" w:cs="Arial" w:eastAsia="Arial" w:hAnsi="Arial"/>
          <w:b/>
          <w:bCs/>
          <w:i w:val="false"/>
          <w:iCs w:val="false"/>
          <w:color w:val="1F1F1F"/>
          <w:sz w:val="22"/>
          <w:szCs w:val="22"/>
        </w:rPr>
        <w:t xml:space="preserve">This section replaces the v1.1 'partial exposure' framing, which incorrectly stated that the employer needed only the pre-attachment portion as liquidity. That framing is wrong and is corrected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If a member generates a $100K event and the specific attachment is $50K:</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1.  At time of service, the employer pays the provider the full $100K.</w:t>
            </w:r>
          </w:p>
          <w:p>
            <w:pPr>
              <w:spacing w:after="0" w:before="0" w:line="240"/>
            </w:pPr>
            <w:r>
              <w:rPr>
                <w:rFonts w:ascii="Consolas" w:cs="Consolas" w:eastAsia="Consolas" w:hAnsi="Consolas"/>
                <w:b w:val="false"/>
                <w:bCs w:val="false"/>
                <w:i w:val="false"/>
                <w:iCs w:val="false"/>
                <w:color w:val="1F1F1F"/>
                <w:sz w:val="14"/>
                <w:szCs w:val="14"/>
              </w:rPr>
              <w:t xml:space="preserve">    This is the Gross Cash Outflow per Part 0 terminology.</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2.  The employer files a stop-loss claim for the $50K amount above attachment.</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3.  The stop-loss carrier reimburses $50K after a defined lag period</w:t>
            </w:r>
          </w:p>
          <w:p>
            <w:pPr>
              <w:spacing w:after="0" w:before="0" w:line="240"/>
            </w:pPr>
            <w:r>
              <w:rPr>
                <w:rFonts w:ascii="Consolas" w:cs="Consolas" w:eastAsia="Consolas" w:hAnsi="Consolas"/>
                <w:b w:val="false"/>
                <w:bCs w:val="false"/>
                <w:i w:val="false"/>
                <w:iCs w:val="false"/>
                <w:color w:val="1F1F1F"/>
                <w:sz w:val="14"/>
                <w:szCs w:val="14"/>
              </w:rPr>
              <w:t xml:space="preserve">    (typically 60 to 90 days from claim filing).</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4.  During the reimbursement lag, the employer must have sufficient liquidity</w:t>
            </w:r>
          </w:p>
          <w:p>
            <w:pPr>
              <w:spacing w:after="0" w:before="0" w:line="240"/>
            </w:pPr>
            <w:r>
              <w:rPr>
                <w:rFonts w:ascii="Consolas" w:cs="Consolas" w:eastAsia="Consolas" w:hAnsi="Consolas"/>
                <w:b w:val="false"/>
                <w:bCs w:val="false"/>
                <w:i w:val="false"/>
                <w:iCs w:val="false"/>
                <w:color w:val="1F1F1F"/>
                <w:sz w:val="14"/>
                <w:szCs w:val="14"/>
              </w:rPr>
              <w:t xml:space="preserve">    to cover the FULL $100K outflow.</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Liquidity sizing is therefore based on Pre-Reimbursement Outflow during the</w:t>
            </w:r>
          </w:p>
          <w:p>
            <w:pPr>
              <w:spacing w:after="0" w:before="0" w:line="240"/>
            </w:pPr>
            <w:r>
              <w:rPr>
                <w:rFonts w:ascii="Consolas" w:cs="Consolas" w:eastAsia="Consolas" w:hAnsi="Consolas"/>
                <w:b w:val="false"/>
                <w:bCs w:val="false"/>
                <w:i w:val="false"/>
                <w:iCs w:val="false"/>
                <w:color w:val="1F1F1F"/>
                <w:sz w:val="14"/>
                <w:szCs w:val="14"/>
              </w:rPr>
              <w:t xml:space="preserve">lag period, NOT on the post-attachment net exposure.</w:t>
            </w:r>
          </w:p>
        </w:tc>
      </w:tr>
    </w:tbl>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This is the non-negotiable rule. An engineer who sizes liquidity against post-attachment exposure ($50K in the example) instead of Pre-Reimbursement Outflow ($100K) will produce reserves that are systematically too small, and the employer will run out of cash mid-year on a covered event. The error is invisible in normal-month testing and only surfaces under tail conditions, which makes it especially dangerous.</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Implementation: per Section 9.1, the simulator emits Pre-Reimbursement Outflow on the cash event date and emits the reimbursement as a separate inflow on the reimbursement-received date. The Liquidity Engine aggregates both into Net Drawdown per the locked formula. Reimbursements that arrive AFTER the rolling 30-day window do not offset that window's drawdown; they offset the future window in which they arrive.</w:t>
      </w:r>
    </w:p>
    <w:p>
      <w:pPr>
        <w:pStyle w:val="Heading3"/>
        <w:spacing w:after="80" w:before="200"/>
      </w:pPr>
      <w:r>
        <w:rPr>
          <w:rFonts w:ascii="Arial" w:cs="Arial" w:eastAsia="Arial" w:hAnsi="Arial"/>
          <w:b/>
          <w:bCs/>
          <w:color w:val="1F1F1F"/>
          <w:sz w:val="24"/>
          <w:szCs w:val="24"/>
        </w:rPr>
        <w:t xml:space="preserve">21.4 Stop-Loss Cash Flow Timing</w:t>
      </w:r>
    </w:p>
    <w:p>
      <w:pPr>
        <w:pStyle w:val="ListParagraph"/>
        <w:numPr>
          <w:ilvl w:val="0"/>
          <w:numId w:val="3"/>
        </w:numPr>
        <w:spacing w:after="30" w:before="30"/>
      </w:pPr>
      <w:r>
        <w:rPr>
          <w:rFonts w:ascii="Arial" w:cs="Arial" w:eastAsia="Arial" w:hAnsi="Arial"/>
          <w:color w:val="1F1F1F"/>
          <w:sz w:val="22"/>
          <w:szCs w:val="22"/>
        </w:rPr>
        <w:t xml:space="preserve">Employer pays provider: typically T+14 to T+30 days after service.</w:t>
      </w:r>
    </w:p>
    <w:p>
      <w:pPr>
        <w:pStyle w:val="ListParagraph"/>
        <w:numPr>
          <w:ilvl w:val="0"/>
          <w:numId w:val="3"/>
        </w:numPr>
        <w:spacing w:after="30" w:before="30"/>
      </w:pPr>
      <w:r>
        <w:rPr>
          <w:rFonts w:ascii="Arial" w:cs="Arial" w:eastAsia="Arial" w:hAnsi="Arial"/>
          <w:color w:val="1F1F1F"/>
          <w:sz w:val="22"/>
          <w:szCs w:val="22"/>
        </w:rPr>
        <w:t xml:space="preserve">Employer files specific stop-loss claim: T+30 to T+45 days.</w:t>
      </w:r>
    </w:p>
    <w:p>
      <w:pPr>
        <w:pStyle w:val="ListParagraph"/>
        <w:numPr>
          <w:ilvl w:val="0"/>
          <w:numId w:val="3"/>
        </w:numPr>
        <w:spacing w:after="30" w:before="30"/>
      </w:pPr>
      <w:r>
        <w:rPr>
          <w:rFonts w:ascii="Arial" w:cs="Arial" w:eastAsia="Arial" w:hAnsi="Arial"/>
          <w:color w:val="1F1F1F"/>
          <w:sz w:val="22"/>
          <w:szCs w:val="22"/>
        </w:rPr>
        <w:t xml:space="preserve">Specific stop-loss reimbursement received: T+60 to T+90 days from claim filing (commonly T+90 to T+135 from service date).</w:t>
      </w:r>
    </w:p>
    <w:p>
      <w:pPr>
        <w:pStyle w:val="ListParagraph"/>
        <w:numPr>
          <w:ilvl w:val="0"/>
          <w:numId w:val="3"/>
        </w:numPr>
        <w:spacing w:after="30" w:before="30"/>
      </w:pPr>
      <w:r>
        <w:rPr>
          <w:rFonts w:ascii="Arial" w:cs="Arial" w:eastAsia="Arial" w:hAnsi="Arial"/>
          <w:color w:val="1F1F1F"/>
          <w:sz w:val="22"/>
          <w:szCs w:val="22"/>
        </w:rPr>
        <w:t xml:space="preserve">Aggregate stop-loss is filed and reconciled monthly per Section 22; reimbursement timing similar.</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The reimbursement lag is liquidity-critical. The simulator MUST model reimbursement as a delayed inflow with the configured lag distribution, not as a same-period offset to outflow.</w:t>
      </w:r>
    </w:p>
    <w:p>
      <w:pPr>
        <w:pStyle w:val="Heading2"/>
        <w:spacing w:after="120" w:before="280"/>
      </w:pPr>
      <w:r>
        <w:rPr>
          <w:rFonts w:ascii="Arial" w:cs="Arial" w:eastAsia="Arial" w:hAnsi="Arial"/>
          <w:b/>
          <w:bCs/>
          <w:color w:val="1F1F1F"/>
          <w:sz w:val="28"/>
          <w:szCs w:val="28"/>
        </w:rPr>
        <w:t xml:space="preserve">22. Aggregate Stop-Loss (in MVP scope per v1.2)</w:t>
      </w:r>
    </w:p>
    <w:p>
      <w:pPr>
        <w:spacing w:after="80" w:before="80"/>
        <w:jc w:val="left"/>
      </w:pPr>
      <w:r>
        <w:rPr>
          <w:rFonts w:ascii="Arial" w:cs="Arial" w:eastAsia="Arial" w:hAnsi="Arial"/>
          <w:b/>
          <w:bCs/>
          <w:i w:val="false"/>
          <w:iCs w:val="false"/>
          <w:color w:val="1F1F1F"/>
          <w:sz w:val="22"/>
          <w:szCs w:val="22"/>
        </w:rPr>
        <w:t xml:space="preserve">v1.2 includes aggregate stop-loss in MVP scope. v1.1 had aggregate stop-loss in two contradictory positions (Section 22 specified it as supported; the out-of-scope section deferred it to Phase 2). v1.2 resolves the contradiction by including it in MVP.</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Rationale: most level-funded plans include aggregate corridors. The Equivalent Level-Funded Total Cost comparison loses credibility if OffPlan models specific only. MGUs (including Arlo and similar partners) will expect aggregate modeling and will mentally adjust outputs that omit it.</w:t>
      </w:r>
    </w:p>
    <w:p>
      <w:pPr>
        <w:pStyle w:val="Heading3"/>
        <w:spacing w:after="80" w:before="200"/>
      </w:pPr>
      <w:r>
        <w:rPr>
          <w:rFonts w:ascii="Arial" w:cs="Arial" w:eastAsia="Arial" w:hAnsi="Arial"/>
          <w:b/>
          <w:bCs/>
          <w:color w:val="1F1F1F"/>
          <w:sz w:val="24"/>
          <w:szCs w:val="24"/>
        </w:rPr>
        <w:t xml:space="preserve">22.1 Aggregate Stop-Loss Mechanics</w:t>
      </w:r>
    </w:p>
    <w:p>
      <w:pPr>
        <w:spacing w:after="80" w:before="80"/>
        <w:jc w:val="left"/>
      </w:pPr>
      <w:r>
        <w:rPr>
          <w:rFonts w:ascii="Arial" w:cs="Arial" w:eastAsia="Arial" w:hAnsi="Arial"/>
          <w:b w:val="false"/>
          <w:bCs w:val="false"/>
          <w:i w:val="false"/>
          <w:iCs w:val="false"/>
          <w:color w:val="1F1F1F"/>
          <w:sz w:val="22"/>
          <w:szCs w:val="22"/>
        </w:rPr>
        <w:t xml:space="preserve">Aggregate stop-loss caps the employer's total claims exposure across the entire plan year (or contract period). It sits above specific stop-loss in the protection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Aggregate corridor:  typically 125% of expected claims</w:t>
            </w:r>
          </w:p>
          <w:p>
            <w:pPr>
              <w:spacing w:after="0" w:before="0" w:line="240"/>
            </w:pPr>
            <w:r>
              <w:rPr>
                <w:rFonts w:ascii="Consolas" w:cs="Consolas" w:eastAsia="Consolas" w:hAnsi="Consolas"/>
                <w:b w:val="false"/>
                <w:bCs w:val="false"/>
                <w:i w:val="false"/>
                <w:iCs w:val="false"/>
                <w:color w:val="1F1F1F"/>
                <w:sz w:val="14"/>
                <w:szCs w:val="14"/>
              </w:rPr>
              <w:t xml:space="preserve">                      (e.g., $1.2M expected → $1.5M corridor)</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Eligibility for aggregate reimbursement:</w:t>
            </w:r>
          </w:p>
          <w:p>
            <w:pPr>
              <w:spacing w:after="0" w:before="0" w:line="240"/>
            </w:pPr>
            <w:r>
              <w:rPr>
                <w:rFonts w:ascii="Consolas" w:cs="Consolas" w:eastAsia="Consolas" w:hAnsi="Consolas"/>
                <w:b w:val="false"/>
                <w:bCs w:val="false"/>
                <w:i w:val="false"/>
                <w:iCs w:val="false"/>
                <w:color w:val="1F1F1F"/>
                <w:sz w:val="14"/>
                <w:szCs w:val="14"/>
              </w:rPr>
              <w:t xml:space="preserve">    Cumulative eligible claims year-to-date  &lt;  attachment amount</w:t>
            </w:r>
          </w:p>
          <w:p>
            <w:pPr>
              <w:spacing w:after="0" w:before="0" w:line="240"/>
            </w:pPr>
            <w:r>
              <w:rPr>
                <w:rFonts w:ascii="Consolas" w:cs="Consolas" w:eastAsia="Consolas" w:hAnsi="Consolas"/>
                <w:b w:val="false"/>
                <w:bCs w:val="false"/>
                <w:i w:val="false"/>
                <w:iCs w:val="false"/>
                <w:color w:val="1F1F1F"/>
                <w:sz w:val="14"/>
                <w:szCs w:val="14"/>
              </w:rPr>
              <w:t xml:space="preserve">    where eligible claims = total claims paid by employer</w:t>
            </w:r>
          </w:p>
          <w:p>
            <w:pPr>
              <w:spacing w:after="0" w:before="0" w:line="240"/>
            </w:pPr>
            <w:r>
              <w:rPr>
                <w:rFonts w:ascii="Consolas" w:cs="Consolas" w:eastAsia="Consolas" w:hAnsi="Consolas"/>
                <w:b w:val="false"/>
                <w:bCs w:val="false"/>
                <w:i w:val="false"/>
                <w:iCs w:val="false"/>
                <w:color w:val="1F1F1F"/>
                <w:sz w:val="14"/>
                <w:szCs w:val="14"/>
              </w:rPr>
              <w:t xml:space="preserve">                            MINUS specific stop-loss reimbursements received</w:t>
            </w:r>
          </w:p>
          <w:p>
            <w:pPr>
              <w:spacing w:after="0" w:before="0" w:line="240"/>
            </w:pPr>
            <w:r>
              <w:rPr>
                <w:rFonts w:ascii="Consolas" w:cs="Consolas" w:eastAsia="Consolas" w:hAnsi="Consolas"/>
                <w:b w:val="false"/>
                <w:bCs w:val="false"/>
                <w:i w:val="false"/>
                <w:iCs w:val="false"/>
                <w:color w:val="1F1F1F"/>
                <w:sz w:val="14"/>
                <w:szCs w:val="14"/>
              </w:rPr>
              <w:t xml:space="preserve">                            MINUS claims excluded by contract (lasers, etc.)</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When eligibility threshold is exceeded:</w:t>
            </w:r>
          </w:p>
          <w:p>
            <w:pPr>
              <w:spacing w:after="0" w:before="0" w:line="240"/>
            </w:pPr>
            <w:r>
              <w:rPr>
                <w:rFonts w:ascii="Consolas" w:cs="Consolas" w:eastAsia="Consolas" w:hAnsi="Consolas"/>
                <w:b w:val="false"/>
                <w:bCs w:val="false"/>
                <w:i w:val="false"/>
                <w:iCs w:val="false"/>
                <w:color w:val="1F1F1F"/>
                <w:sz w:val="14"/>
                <w:szCs w:val="14"/>
              </w:rPr>
              <w:t xml:space="preserve">    excess = cumulative eligible claims  −  aggregate attachment</w:t>
            </w:r>
          </w:p>
          <w:p>
            <w:pPr>
              <w:spacing w:after="0" w:before="0" w:line="240"/>
            </w:pPr>
            <w:r>
              <w:rPr>
                <w:rFonts w:ascii="Consolas" w:cs="Consolas" w:eastAsia="Consolas" w:hAnsi="Consolas"/>
                <w:b w:val="false"/>
                <w:bCs w:val="false"/>
                <w:i w:val="false"/>
                <w:iCs w:val="false"/>
                <w:color w:val="1F1F1F"/>
                <w:sz w:val="14"/>
                <w:szCs w:val="14"/>
              </w:rPr>
              <w:t xml:space="preserve">    excess is reimbursed by the carrier after a defined lag period</w:t>
            </w:r>
          </w:p>
          <w:p>
            <w:pPr>
              <w:spacing w:after="0" w:before="0" w:line="240"/>
            </w:pPr>
            <w:r>
              <w:rPr>
                <w:rFonts w:ascii="Consolas" w:cs="Consolas" w:eastAsia="Consolas" w:hAnsi="Consolas"/>
                <w:b w:val="false"/>
                <w:bCs w:val="false"/>
                <w:i w:val="false"/>
                <w:iCs w:val="false"/>
                <w:color w:val="1F1F1F"/>
                <w:sz w:val="14"/>
                <w:szCs w:val="14"/>
              </w:rPr>
              <w:t xml:space="preserve">    (typically 60 to 90 days post month-end)</w:t>
            </w:r>
          </w:p>
        </w:tc>
      </w:tr>
    </w:tbl>
    <w:p>
      <w:pPr>
        <w:pStyle w:val="Heading3"/>
        <w:spacing w:after="80" w:before="200"/>
      </w:pPr>
      <w:r>
        <w:rPr>
          <w:rFonts w:ascii="Arial" w:cs="Arial" w:eastAsia="Arial" w:hAnsi="Arial"/>
          <w:b/>
          <w:bCs/>
          <w:color w:val="1F1F1F"/>
          <w:sz w:val="24"/>
          <w:szCs w:val="24"/>
        </w:rPr>
        <w:t xml:space="preserve">22.2 Aggregate Stop-Loss Implementation</w:t>
      </w:r>
    </w:p>
    <w:p>
      <w:pPr>
        <w:pStyle w:val="ListParagraph"/>
        <w:numPr>
          <w:ilvl w:val="0"/>
          <w:numId w:val="3"/>
        </w:numPr>
        <w:spacing w:after="30" w:before="30"/>
      </w:pPr>
      <w:r>
        <w:rPr>
          <w:rFonts w:ascii="Arial" w:cs="Arial" w:eastAsia="Arial" w:hAnsi="Arial"/>
          <w:color w:val="1F1F1F"/>
          <w:sz w:val="22"/>
          <w:szCs w:val="22"/>
        </w:rPr>
        <w:t xml:space="preserve">Specific stop-loss: per-member running total, evaluated continuously, reimbursement filed monthly per qualifying member-claim.</w:t>
      </w:r>
    </w:p>
    <w:p>
      <w:pPr>
        <w:pStyle w:val="ListParagraph"/>
        <w:numPr>
          <w:ilvl w:val="0"/>
          <w:numId w:val="3"/>
        </w:numPr>
        <w:spacing w:after="30" w:before="30"/>
      </w:pPr>
      <w:r>
        <w:rPr>
          <w:rFonts w:ascii="Arial" w:cs="Arial" w:eastAsia="Arial" w:hAnsi="Arial"/>
          <w:color w:val="1F1F1F"/>
          <w:sz w:val="22"/>
          <w:szCs w:val="22"/>
        </w:rPr>
        <w:t xml:space="preserve">Aggregate stop-loss: per-employer-month running total, corridor evaluated at month-end, reimbursement filed monthly when corridor breached.</w:t>
      </w:r>
    </w:p>
    <w:p>
      <w:pPr>
        <w:pStyle w:val="ListParagraph"/>
        <w:numPr>
          <w:ilvl w:val="0"/>
          <w:numId w:val="3"/>
        </w:numPr>
        <w:spacing w:after="30" w:before="30"/>
      </w:pPr>
      <w:r>
        <w:rPr>
          <w:rFonts w:ascii="Arial" w:cs="Arial" w:eastAsia="Arial" w:hAnsi="Arial"/>
          <w:color w:val="1F1F1F"/>
          <w:sz w:val="22"/>
          <w:szCs w:val="22"/>
        </w:rPr>
        <w:t xml:space="preserve">Aggregate reimbursements are modeled as delayed inflows in the cash flow timeline, same lag distribution as specific stop-loss reimbursements.</w:t>
      </w:r>
    </w:p>
    <w:p>
      <w:pPr>
        <w:pStyle w:val="ListParagraph"/>
        <w:numPr>
          <w:ilvl w:val="0"/>
          <w:numId w:val="3"/>
        </w:numPr>
        <w:spacing w:after="30" w:before="30"/>
      </w:pPr>
      <w:r>
        <w:rPr>
          <w:rFonts w:ascii="Arial" w:cs="Arial" w:eastAsia="Arial" w:hAnsi="Arial"/>
          <w:color w:val="1F1F1F"/>
          <w:sz w:val="22"/>
          <w:szCs w:val="22"/>
        </w:rPr>
        <w:t xml:space="preserve">Most employers under 250 lives carry specific only; the simulator supports aggregate-disabled as the default for that segment.</w:t>
      </w:r>
    </w:p>
    <w:p>
      <w:pPr>
        <w:pStyle w:val="ListParagraph"/>
        <w:numPr>
          <w:ilvl w:val="0"/>
          <w:numId w:val="3"/>
        </w:numPr>
        <w:spacing w:after="30" w:before="30"/>
      </w:pPr>
      <w:r>
        <w:rPr>
          <w:rFonts w:ascii="Arial" w:cs="Arial" w:eastAsia="Arial" w:hAnsi="Arial"/>
          <w:color w:val="1F1F1F"/>
          <w:sz w:val="22"/>
          <w:szCs w:val="22"/>
        </w:rPr>
        <w:t xml:space="preserve">Larger employers (250+ lives) commonly carry both; the simulator supports both layers active simultaneously.</w:t>
      </w:r>
    </w:p>
    <w:p>
      <w:pPr>
        <w:pStyle w:val="Heading3"/>
        <w:spacing w:after="80" w:before="200"/>
      </w:pPr>
      <w:r>
        <w:rPr>
          <w:rFonts w:ascii="Arial" w:cs="Arial" w:eastAsia="Arial" w:hAnsi="Arial"/>
          <w:b/>
          <w:bCs/>
          <w:color w:val="1F1F1F"/>
          <w:sz w:val="24"/>
          <w:szCs w:val="24"/>
        </w:rPr>
        <w:t xml:space="preserve">22.3 Configuration Per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Parameter</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Configurable Range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specific_attachment_point</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$50,000</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$25K – $250K</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aggregate_corridor_factor</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1.25 (i.e., 125% of expected)</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1.10 – 1.40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aggregate_enabled</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true for 250+ lives, false otherwise</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true / false</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specific_reimbursement_lag</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75 days (median, log-normal)</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 – 120 days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aggregate_reimbursement_lag</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75 days (median, log-normal)</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 – 120 days</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lasered_claimants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 (none)</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list of member_ids excluded</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All parameters are version-controlled per Data Dictionary v3.0 versioning rules.</w:t>
      </w:r>
    </w:p>
    <w:p>
      <w:pPr>
        <w:pStyle w:val="Heading1"/>
        <w:spacing w:after="160" w:before="360"/>
      </w:pPr>
      <w:r>
        <w:rPr>
          <w:rFonts w:ascii="Arial" w:cs="Arial" w:eastAsia="Arial" w:hAnsi="Arial"/>
          <w:b/>
          <w:bCs/>
          <w:color w:val="1F1F1F"/>
          <w:sz w:val="36"/>
          <w:szCs w:val="36"/>
        </w:rPr>
        <w:t xml:space="preserve">Part IX · Cash Strategy Layer</w:t>
      </w:r>
    </w:p>
    <w:p>
      <w:pPr>
        <w:spacing w:after="80" w:before="80"/>
        <w:jc w:val="left"/>
      </w:pPr>
      <w:r>
        <w:rPr>
          <w:rFonts w:ascii="Arial" w:cs="Arial" w:eastAsia="Arial" w:hAnsi="Arial"/>
          <w:b w:val="false"/>
          <w:bCs w:val="false"/>
          <w:i w:val="false"/>
          <w:iCs w:val="false"/>
          <w:color w:val="1F1F1F"/>
          <w:sz w:val="22"/>
          <w:szCs w:val="22"/>
        </w:rPr>
        <w:t xml:space="preserve">Once the liquidity requirement is computed, the engine produces guidance on how the employer should hold the required capital. This is new territory; v3.0 had no cash strategy layer at all.</w:t>
      </w:r>
    </w:p>
    <w:p>
      <w:pPr>
        <w:pStyle w:val="Heading2"/>
        <w:spacing w:after="120" w:before="280"/>
      </w:pPr>
      <w:r>
        <w:rPr>
          <w:rFonts w:ascii="Arial" w:cs="Arial" w:eastAsia="Arial" w:hAnsi="Arial"/>
          <w:b/>
          <w:bCs/>
          <w:color w:val="1F1F1F"/>
          <w:sz w:val="28"/>
          <w:szCs w:val="28"/>
        </w:rPr>
        <w:t xml:space="preserve">23. Three Capital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3640"/>
        <w:gridCol w:w="2080"/>
        <w:gridCol w:w="1820"/>
      </w:tblGrid>
      <w:tr>
        <w:trPr>
          <w:tblHeader/>
        </w:trPr>
        <w:tc>
          <w:tcPr>
            <w:tcW w:type="dxa" w:w="18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Strategy</w:t>
            </w:r>
          </w:p>
        </w:tc>
        <w:tc>
          <w:tcPr>
            <w:tcW w:type="dxa" w:w="3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c>
          <w:tcPr>
            <w:tcW w:type="dxa" w:w="20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Best Fit</w:t>
            </w:r>
          </w:p>
        </w:tc>
        <w:tc>
          <w:tcPr>
            <w:tcW w:type="dxa" w:w="18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Liquidity Cost</w:t>
            </w:r>
          </w:p>
        </w:tc>
      </w:tr>
      <w:tr>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Reserve account</w:t>
            </w:r>
          </w:p>
        </w:tc>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Cash held in a dedicated high-yield account</w:t>
            </w:r>
          </w:p>
        </w:tc>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Stable employers; founder-CFOs</w:t>
            </w:r>
          </w:p>
        </w:tc>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Opportunity cost only</w:t>
            </w:r>
          </w:p>
        </w:tc>
      </w:tr>
      <w:tr>
        <w:tc>
          <w:tcPr>
            <w:tcW w:type="dxa" w:w="18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Line of credit</w:t>
            </w:r>
          </w:p>
        </w:tc>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Committed credit facility from a bank, drawn as needed</w:t>
            </w:r>
          </w:p>
        </w:tc>
        <w:tc>
          <w:tcPr>
            <w:tcW w:type="dxa" w:w="2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Capital-efficient employers; growing businesses</w:t>
            </w:r>
          </w:p>
        </w:tc>
        <w:tc>
          <w:tcPr>
            <w:tcW w:type="dxa" w:w="18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Commitment fee + interest</w:t>
            </w:r>
          </w:p>
        </w:tc>
      </w:tr>
      <w:tr>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Blended approach</w:t>
            </w:r>
          </w:p>
        </w:tc>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Reserve + LOC; reserve covers P75, LOC covers P75-P99 differential</w:t>
            </w:r>
          </w:p>
        </w:tc>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Most mid-market employers</w:t>
            </w:r>
          </w:p>
        </w:tc>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Lower than pure reserve</w:t>
            </w:r>
          </w:p>
        </w:tc>
      </w:tr>
    </w:tbl>
    <w:p>
      <w:pPr>
        <w:pStyle w:val="Heading2"/>
        <w:spacing w:after="120" w:before="280"/>
      </w:pPr>
      <w:r>
        <w:rPr>
          <w:rFonts w:ascii="Arial" w:cs="Arial" w:eastAsia="Arial" w:hAnsi="Arial"/>
          <w:b/>
          <w:bCs/>
          <w:color w:val="1F1F1F"/>
          <w:sz w:val="28"/>
          <w:szCs w:val="28"/>
        </w:rPr>
        <w:t xml:space="preserve">24. Recommended Buffer Sizing</w:t>
      </w:r>
    </w:p>
    <w:p>
      <w:pPr>
        <w:spacing w:after="80" w:before="80"/>
        <w:jc w:val="left"/>
      </w:pPr>
      <w:r>
        <w:rPr>
          <w:rFonts w:ascii="Arial" w:cs="Arial" w:eastAsia="Arial" w:hAnsi="Arial"/>
          <w:b w:val="false"/>
          <w:bCs w:val="false"/>
          <w:i w:val="false"/>
          <w:iCs w:val="false"/>
          <w:color w:val="1F1F1F"/>
          <w:sz w:val="22"/>
          <w:szCs w:val="22"/>
        </w:rPr>
        <w:t xml:space="preserve">All buffer sizes below are computed against Net Drawdown per Part 0 terminology — that is, Pre-Reimbursement Outflows minus replenishment inflows minus reimbursements received within the window. This is the v1.1 correction made explicit in v1.2; v1.0 sized against unadjusted outflow and produced reserves 20 to 35% larger than necessary.</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Reserve-only strategy: buffer = Minimum Required Liquidity (P95 of max rolling 30-day Net Drawdown). Conservative, simple, illiquid. Cost: opportunity cost of cash held.</w:t>
      </w:r>
    </w:p>
    <w:p>
      <w:pPr>
        <w:pStyle w:val="ListParagraph"/>
        <w:numPr>
          <w:ilvl w:val="0"/>
          <w:numId w:val="3"/>
        </w:numPr>
        <w:spacing w:after="30" w:before="30"/>
      </w:pPr>
      <w:r>
        <w:rPr>
          <w:rFonts w:ascii="Arial" w:cs="Arial" w:eastAsia="Arial" w:hAnsi="Arial"/>
          <w:color w:val="1F1F1F"/>
          <w:sz w:val="22"/>
          <w:szCs w:val="22"/>
        </w:rPr>
        <w:t xml:space="preserve">LOC-only strategy: buffer = $0 reserve + LOC sized to P99 of max rolling 30-day Net Drawdown. Capital-efficient, requires bank relationship, has commitment fees. Cost: commitment fee plus utilization interest.</w:t>
      </w:r>
    </w:p>
    <w:p>
      <w:pPr>
        <w:pStyle w:val="ListParagraph"/>
        <w:numPr>
          <w:ilvl w:val="0"/>
          <w:numId w:val="3"/>
        </w:numPr>
        <w:spacing w:after="30" w:before="30"/>
      </w:pPr>
      <w:r>
        <w:rPr>
          <w:rFonts w:ascii="Arial" w:cs="Arial" w:eastAsia="Arial" w:hAnsi="Arial"/>
          <w:color w:val="1F1F1F"/>
          <w:sz w:val="22"/>
          <w:szCs w:val="22"/>
        </w:rPr>
        <w:t xml:space="preserve">Blended (recommended default): reserve sized to P75 + LOC sized to P95 minus P75. Balances cost-of-capital with operational simplicity. Cost: lower than reserve-only, requires modest banking relationship.</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Each strategy is presented with: required buffer in dollars and PEPM, expected annualized cost-of-capital, and operational complexity rating. The CFO chooses based on their balance sheet and risk appetite.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Reserve-only:</w:t>
            </w:r>
          </w:p>
          <w:p>
            <w:pPr>
              <w:spacing w:after="0" w:before="0" w:line="240"/>
            </w:pPr>
            <w:r>
              <w:rPr>
                <w:rFonts w:ascii="Consolas" w:cs="Consolas" w:eastAsia="Consolas" w:hAnsi="Consolas"/>
                <w:b w:val="false"/>
                <w:bCs w:val="false"/>
                <w:i w:val="false"/>
                <w:iCs w:val="false"/>
                <w:color w:val="1F1F1F"/>
                <w:sz w:val="16"/>
                <w:szCs w:val="16"/>
              </w:rPr>
              <w:t xml:space="preserve">    initial_reserve  =  Minimum Required Liquidity</w:t>
            </w:r>
          </w:p>
          <w:p>
            <w:pPr>
              <w:spacing w:after="0" w:before="0" w:line="240"/>
            </w:pPr>
            <w:r>
              <w:rPr>
                <w:rFonts w:ascii="Consolas" w:cs="Consolas" w:eastAsia="Consolas" w:hAnsi="Consolas"/>
                <w:b w:val="false"/>
                <w:bCs w:val="false"/>
                <w:i w:val="false"/>
                <w:iCs w:val="false"/>
                <w:color w:val="1F1F1F"/>
                <w:sz w:val="16"/>
                <w:szCs w:val="16"/>
              </w:rPr>
              <w:t xml:space="preserve">    monthly_replenishment = Expected Residual Spend × covered_lives</w:t>
            </w:r>
          </w:p>
          <w:p>
            <w:pPr>
              <w:spacing w:after="0" w:before="0" w:line="240"/>
            </w:pPr>
            <w:r>
              <w:rPr>
                <w:rFonts w:ascii="Consolas" w:cs="Consolas" w:eastAsia="Consolas" w:hAnsi="Consolas"/>
                <w:b w:val="false"/>
                <w:bCs w:val="false"/>
                <w:i w:val="false"/>
                <w:iCs w:val="false"/>
                <w:color w:val="1F1F1F"/>
                <w:sz w:val="16"/>
                <w:szCs w:val="16"/>
              </w:rPr>
              <w:t xml:space="preserve">    LOC_size  =  $0</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LOC-only:</w:t>
            </w:r>
          </w:p>
          <w:p>
            <w:pPr>
              <w:spacing w:after="0" w:before="0" w:line="240"/>
            </w:pPr>
            <w:r>
              <w:rPr>
                <w:rFonts w:ascii="Consolas" w:cs="Consolas" w:eastAsia="Consolas" w:hAnsi="Consolas"/>
                <w:b w:val="false"/>
                <w:bCs w:val="false"/>
                <w:i w:val="false"/>
                <w:iCs w:val="false"/>
                <w:color w:val="1F1F1F"/>
                <w:sz w:val="16"/>
                <w:szCs w:val="16"/>
              </w:rPr>
              <w:t xml:space="preserve">    initial_reserve  =  $0</w:t>
            </w:r>
          </w:p>
          <w:p>
            <w:pPr>
              <w:spacing w:after="0" w:before="0" w:line="240"/>
            </w:pPr>
            <w:r>
              <w:rPr>
                <w:rFonts w:ascii="Consolas" w:cs="Consolas" w:eastAsia="Consolas" w:hAnsi="Consolas"/>
                <w:b w:val="false"/>
                <w:bCs w:val="false"/>
                <w:i w:val="false"/>
                <w:iCs w:val="false"/>
                <w:color w:val="1F1F1F"/>
                <w:sz w:val="16"/>
                <w:szCs w:val="16"/>
              </w:rPr>
              <w:t xml:space="preserve">    monthly_replenishment = Expected Residual Spend × covered_lives</w:t>
            </w:r>
          </w:p>
          <w:p>
            <w:pPr>
              <w:spacing w:after="0" w:before="0" w:line="240"/>
            </w:pPr>
            <w:r>
              <w:rPr>
                <w:rFonts w:ascii="Consolas" w:cs="Consolas" w:eastAsia="Consolas" w:hAnsi="Consolas"/>
                <w:b w:val="false"/>
                <w:bCs w:val="false"/>
                <w:i w:val="false"/>
                <w:iCs w:val="false"/>
                <w:color w:val="1F1F1F"/>
                <w:sz w:val="16"/>
                <w:szCs w:val="16"/>
              </w:rPr>
              <w:t xml:space="preserve">    LOC_size  =  P99(max rolling 30-day Net Drawdown per run)</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Blended (recommended):</w:t>
            </w:r>
          </w:p>
          <w:p>
            <w:pPr>
              <w:spacing w:after="0" w:before="0" w:line="240"/>
            </w:pPr>
            <w:r>
              <w:rPr>
                <w:rFonts w:ascii="Consolas" w:cs="Consolas" w:eastAsia="Consolas" w:hAnsi="Consolas"/>
                <w:b w:val="false"/>
                <w:bCs w:val="false"/>
                <w:i w:val="false"/>
                <w:iCs w:val="false"/>
                <w:color w:val="1F1F1F"/>
                <w:sz w:val="16"/>
                <w:szCs w:val="16"/>
              </w:rPr>
              <w:t xml:space="preserve">    initial_reserve  =  P75(max rolling 30-day Net Drawdown per run)</w:t>
            </w:r>
          </w:p>
          <w:p>
            <w:pPr>
              <w:spacing w:after="0" w:before="0" w:line="240"/>
            </w:pPr>
            <w:r>
              <w:rPr>
                <w:rFonts w:ascii="Consolas" w:cs="Consolas" w:eastAsia="Consolas" w:hAnsi="Consolas"/>
                <w:b w:val="false"/>
                <w:bCs w:val="false"/>
                <w:i w:val="false"/>
                <w:iCs w:val="false"/>
                <w:color w:val="1F1F1F"/>
                <w:sz w:val="16"/>
                <w:szCs w:val="16"/>
              </w:rPr>
              <w:t xml:space="preserve">    monthly_replenishment = Expected Residual Spend × covered_lives</w:t>
            </w:r>
          </w:p>
          <w:p>
            <w:pPr>
              <w:spacing w:after="0" w:before="0" w:line="240"/>
            </w:pPr>
            <w:r>
              <w:rPr>
                <w:rFonts w:ascii="Consolas" w:cs="Consolas" w:eastAsia="Consolas" w:hAnsi="Consolas"/>
                <w:b w:val="false"/>
                <w:bCs w:val="false"/>
                <w:i w:val="false"/>
                <w:iCs w:val="false"/>
                <w:color w:val="1F1F1F"/>
                <w:sz w:val="16"/>
                <w:szCs w:val="16"/>
              </w:rPr>
              <w:t xml:space="preserve">    LOC_size  =  Minimum Required Liquidity (P95) − P75</w:t>
            </w:r>
          </w:p>
        </w:tc>
      </w:tr>
    </w:tbl>
    <w:p>
      <w:pPr>
        <w:pStyle w:val="Heading3"/>
        <w:spacing w:after="80" w:before="200"/>
      </w:pPr>
      <w:r>
        <w:rPr>
          <w:rFonts w:ascii="Arial" w:cs="Arial" w:eastAsia="Arial" w:hAnsi="Arial"/>
          <w:b/>
          <w:bCs/>
          <w:color w:val="1F1F1F"/>
          <w:sz w:val="24"/>
          <w:szCs w:val="24"/>
        </w:rPr>
        <w:t xml:space="preserve">24.1 Reserve Cap and Surplus Replenishment (NEW in v1.2)</w:t>
      </w:r>
    </w:p>
    <w:p>
      <w:pPr>
        <w:spacing w:after="80" w:before="80"/>
        <w:jc w:val="left"/>
      </w:pPr>
      <w:r>
        <w:rPr>
          <w:rFonts w:ascii="Arial" w:cs="Arial" w:eastAsia="Arial" w:hAnsi="Arial"/>
          <w:b/>
          <w:bCs/>
          <w:i w:val="false"/>
          <w:iCs w:val="false"/>
          <w:color w:val="1F1F1F"/>
          <w:sz w:val="22"/>
          <w:szCs w:val="22"/>
        </w:rPr>
        <w:t xml:space="preserve">In low-event periods (months with no high-cost events), the monthly replenishment may exceed actual outflow. The Liquidity Reserve is capped at the Minimum Required Liquidity level; surplus replenishment is not credited beyond the cap.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Reserve_balance(t)  =  min(</w:t>
            </w:r>
          </w:p>
          <w:p>
            <w:pPr>
              <w:spacing w:after="0" w:before="0" w:line="240"/>
            </w:pPr>
            <w:r>
              <w:rPr>
                <w:rFonts w:ascii="Consolas" w:cs="Consolas" w:eastAsia="Consolas" w:hAnsi="Consolas"/>
                <w:b w:val="false"/>
                <w:bCs w:val="false"/>
                <w:i w:val="false"/>
                <w:iCs w:val="false"/>
                <w:color w:val="1F1F1F"/>
                <w:sz w:val="16"/>
                <w:szCs w:val="16"/>
              </w:rPr>
              <w:t xml:space="preserve">    Reserve_balance(t-1) + replenishment(t) − outflows(t) + reimbursements(t),</w:t>
            </w:r>
          </w:p>
          <w:p>
            <w:pPr>
              <w:spacing w:after="0" w:before="0" w:line="240"/>
            </w:pPr>
            <w:r>
              <w:rPr>
                <w:rFonts w:ascii="Consolas" w:cs="Consolas" w:eastAsia="Consolas" w:hAnsi="Consolas"/>
                <w:b w:val="false"/>
                <w:bCs w:val="false"/>
                <w:i w:val="false"/>
                <w:iCs w:val="false"/>
                <w:color w:val="1F1F1F"/>
                <w:sz w:val="16"/>
                <w:szCs w:val="16"/>
              </w:rPr>
              <w:t xml:space="preserve">    Minimum Required Liquidity</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If the cap is hit, surplus replenishment is treated as 'not credited':</w:t>
            </w:r>
          </w:p>
          <w:p>
            <w:pPr>
              <w:spacing w:after="0" w:before="0" w:line="240"/>
            </w:pPr>
            <w:r>
              <w:rPr>
                <w:rFonts w:ascii="Consolas" w:cs="Consolas" w:eastAsia="Consolas" w:hAnsi="Consolas"/>
                <w:b w:val="false"/>
                <w:bCs w:val="false"/>
                <w:i w:val="false"/>
                <w:iCs w:val="false"/>
                <w:color w:val="1F1F1F"/>
                <w:sz w:val="16"/>
                <w:szCs w:val="16"/>
              </w:rPr>
              <w:t xml:space="preserve">    employer may defer the contribution to the next cycle</w:t>
            </w:r>
          </w:p>
          <w:p>
            <w:pPr>
              <w:spacing w:after="0" w:before="0" w:line="240"/>
            </w:pPr>
            <w:r>
              <w:rPr>
                <w:rFonts w:ascii="Consolas" w:cs="Consolas" w:eastAsia="Consolas" w:hAnsi="Consolas"/>
                <w:b w:val="false"/>
                <w:bCs w:val="false"/>
                <w:i w:val="false"/>
                <w:iCs w:val="false"/>
                <w:color w:val="1F1F1F"/>
                <w:sz w:val="16"/>
                <w:szCs w:val="16"/>
              </w:rPr>
              <w:t xml:space="preserve">    OR redirect to other operating uses</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avoids cash piling up in the reserve account in benign years, which is a common CFO objection to traditional pre-funded plans. In OffPlan, the reserve is sized for one bad month and capped; the run-rate replenishment funds the run-rate spend; surplus is the employer's working capital, not stranded reserve.</w:t>
      </w:r>
    </w:p>
    <w:p>
      <w:pPr>
        <w:pStyle w:val="Heading3"/>
        <w:spacing w:after="80" w:before="200"/>
      </w:pPr>
      <w:r>
        <w:rPr>
          <w:rFonts w:ascii="Arial" w:cs="Arial" w:eastAsia="Arial" w:hAnsi="Arial"/>
          <w:b/>
          <w:bCs/>
          <w:color w:val="1F1F1F"/>
          <w:sz w:val="24"/>
          <w:szCs w:val="24"/>
        </w:rPr>
        <w:t xml:space="preserve">24.2 LOC Default Cost Assumptions (NEW in v1.2)</w:t>
      </w:r>
    </w:p>
    <w:p>
      <w:pPr>
        <w:spacing w:after="80" w:before="80"/>
        <w:jc w:val="left"/>
      </w:pPr>
      <w:r>
        <w:rPr>
          <w:rFonts w:ascii="Arial" w:cs="Arial" w:eastAsia="Arial" w:hAnsi="Arial"/>
          <w:b w:val="false"/>
          <w:bCs w:val="false"/>
          <w:i w:val="false"/>
          <w:iCs w:val="false"/>
          <w:color w:val="1F1F1F"/>
          <w:sz w:val="22"/>
          <w:szCs w:val="22"/>
        </w:rPr>
        <w:t xml:space="preserve">For the LOC-only and blended strategies, the engine produces an estimated annualized cost-of-capital. The defaults below are admin-configurable per the standard versioning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00"/>
        <w:gridCol w:w="1840"/>
        <w:gridCol w:w="268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Parameter</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w:t>
            </w:r>
          </w:p>
        </w:tc>
        <w:tc>
          <w:tcPr>
            <w:tcW w:type="dxa" w:w="18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Configurable Range</w:t>
            </w:r>
          </w:p>
        </w:tc>
        <w:tc>
          <w:tcPr>
            <w:tcW w:type="dxa" w:w="2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Rationale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LOC commitment fee</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0.25% on undrawn balance, annual</w:t>
            </w:r>
          </w:p>
        </w:tc>
        <w:tc>
          <w:tcPr>
            <w:tcW w:type="dxa" w:w="18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0.20% – 0.50%</w:t>
            </w:r>
          </w:p>
        </w:tc>
        <w:tc>
          <w:tcPr>
            <w:tcW w:type="dxa" w:w="2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Standard for unsecured business LOC under $5M facility</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LOC utilization rate</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6% APR on drawn balance</w:t>
            </w:r>
          </w:p>
        </w:tc>
        <w:tc>
          <w:tcPr>
            <w:tcW w:type="dxa" w:w="18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 – 8%</w:t>
            </w:r>
          </w:p>
        </w:tc>
        <w:tc>
          <w:tcPr>
            <w:tcW w:type="dxa" w:w="2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Reflects current SOFR + typical credit spread for SMB</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Reserve opportunity cost</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 APR (treasury equivalent)</w:t>
            </w:r>
          </w:p>
        </w:tc>
        <w:tc>
          <w:tcPr>
            <w:tcW w:type="dxa" w:w="18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 – 6%</w:t>
            </w:r>
          </w:p>
        </w:tc>
        <w:tc>
          <w:tcPr>
            <w:tcW w:type="dxa" w:w="2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the cash would earn in money market or short treasuries</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Annualized cost-of-capital displayed per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Reserve-only cost   =  Initial reserve × reserve_opportunity_cost</w:t>
            </w:r>
          </w:p>
          <w:p>
            <w:pPr>
              <w:spacing w:after="0" w:before="0" w:line="240"/>
            </w:pPr>
            <w:r>
              <w:rPr>
                <w:rFonts w:ascii="Consolas" w:cs="Consolas" w:eastAsia="Consolas" w:hAnsi="Consolas"/>
                <w:b w:val="false"/>
                <w:bCs w:val="false"/>
                <w:i w:val="false"/>
                <w:iCs w:val="false"/>
                <w:color w:val="1F1F1F"/>
                <w:sz w:val="14"/>
                <w:szCs w:val="14"/>
              </w:rPr>
              <w:t xml:space="preserve">LOC-only cost        =  LOC size × commitment_fee</w:t>
            </w:r>
          </w:p>
          <w:p>
            <w:pPr>
              <w:spacing w:after="0" w:before="0" w:line="240"/>
            </w:pPr>
            <w:r>
              <w:rPr>
                <w:rFonts w:ascii="Consolas" w:cs="Consolas" w:eastAsia="Consolas" w:hAnsi="Consolas"/>
                <w:b w:val="false"/>
                <w:bCs w:val="false"/>
                <w:i w:val="false"/>
                <w:iCs w:val="false"/>
                <w:color w:val="1F1F1F"/>
                <w:sz w:val="14"/>
                <w:szCs w:val="14"/>
              </w:rPr>
              <w:t xml:space="preserve">                      + Expected utilization × utilization_rate</w:t>
            </w:r>
          </w:p>
          <w:p>
            <w:pPr>
              <w:spacing w:after="0" w:before="0" w:line="240"/>
            </w:pPr>
            <w:r>
              <w:rPr>
                <w:rFonts w:ascii="Consolas" w:cs="Consolas" w:eastAsia="Consolas" w:hAnsi="Consolas"/>
                <w:b w:val="false"/>
                <w:bCs w:val="false"/>
                <w:i w:val="false"/>
                <w:iCs w:val="false"/>
                <w:color w:val="1F1F1F"/>
                <w:sz w:val="14"/>
                <w:szCs w:val="14"/>
              </w:rPr>
              <w:t xml:space="preserve">Blended cost         =  Reserve cost + LOC cost (computed per components)</w:t>
            </w:r>
          </w:p>
        </w:tc>
      </w:tr>
    </w:tbl>
    <w:p>
      <w:pPr>
        <w:pStyle w:val="Heading2"/>
        <w:spacing w:after="120" w:before="280"/>
      </w:pPr>
      <w:r>
        <w:rPr>
          <w:rFonts w:ascii="Arial" w:cs="Arial" w:eastAsia="Arial" w:hAnsi="Arial"/>
          <w:b/>
          <w:bCs/>
          <w:color w:val="1F1F1F"/>
          <w:sz w:val="28"/>
          <w:szCs w:val="28"/>
        </w:rPr>
        <w:t xml:space="preserve">25. Annual Reconciliation</w:t>
      </w:r>
    </w:p>
    <w:p>
      <w:pPr>
        <w:spacing w:after="80" w:before="80"/>
        <w:jc w:val="left"/>
      </w:pPr>
      <w:r>
        <w:rPr>
          <w:rFonts w:ascii="Arial" w:cs="Arial" w:eastAsia="Arial" w:hAnsi="Arial"/>
          <w:b/>
          <w:bCs/>
          <w:i w:val="false"/>
          <w:iCs w:val="false"/>
          <w:color w:val="1F1F1F"/>
          <w:sz w:val="22"/>
          <w:szCs w:val="22"/>
        </w:rPr>
        <w:t xml:space="preserve">The buffer is sized for the worst expected month, not the year. The Liquidity Reserve represents capacity for a single adverse period, not annual spend.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Annual variable spend (expected)  ≈  12  ×  Mean Monthly Outflow</w:t>
            </w:r>
          </w:p>
          <w:p>
            <w:pPr>
              <w:spacing w:after="0" w:before="0" w:line="240"/>
            </w:pPr>
            <w:r>
              <w:rPr>
                <w:rFonts w:ascii="Consolas" w:cs="Consolas" w:eastAsia="Consolas" w:hAnsi="Consolas"/>
                <w:b w:val="false"/>
                <w:bCs w:val="false"/>
                <w:i w:val="false"/>
                <w:iCs w:val="false"/>
                <w:color w:val="1F1F1F"/>
                <w:sz w:val="14"/>
                <w:szCs w:val="14"/>
              </w:rPr>
              <w:t xml:space="preserve">Minimum Required Liquidity        =  capacity for a single adverse rolling 30-day window</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These two numbers measure different things:</w:t>
            </w:r>
          </w:p>
          <w:p>
            <w:pPr>
              <w:spacing w:after="0" w:before="0" w:line="240"/>
            </w:pPr>
            <w:r>
              <w:rPr>
                <w:rFonts w:ascii="Consolas" w:cs="Consolas" w:eastAsia="Consolas" w:hAnsi="Consolas"/>
                <w:b w:val="false"/>
                <w:bCs w:val="false"/>
                <w:i w:val="false"/>
                <w:iCs w:val="false"/>
                <w:color w:val="1F1F1F"/>
                <w:sz w:val="14"/>
                <w:szCs w:val="14"/>
              </w:rPr>
              <w:t xml:space="preserve">    Annual variable spend  =  total dollars flowing through the year</w:t>
            </w:r>
          </w:p>
          <w:p>
            <w:pPr>
              <w:spacing w:after="0" w:before="0" w:line="240"/>
            </w:pPr>
            <w:r>
              <w:rPr>
                <w:rFonts w:ascii="Consolas" w:cs="Consolas" w:eastAsia="Consolas" w:hAnsi="Consolas"/>
                <w:b w:val="false"/>
                <w:bCs w:val="false"/>
                <w:i w:val="false"/>
                <w:iCs w:val="false"/>
                <w:color w:val="1F1F1F"/>
                <w:sz w:val="14"/>
                <w:szCs w:val="14"/>
              </w:rPr>
              <w:t xml:space="preserve">    Min Required Liquidity =  worst-case cash position in any month</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Across a full year, an employer's actual outflow will approximate</w:t>
            </w:r>
          </w:p>
          <w:p>
            <w:pPr>
              <w:spacing w:after="0" w:before="0" w:line="240"/>
            </w:pPr>
            <w:r>
              <w:rPr>
                <w:rFonts w:ascii="Consolas" w:cs="Consolas" w:eastAsia="Consolas" w:hAnsi="Consolas"/>
                <w:b w:val="false"/>
                <w:bCs w:val="false"/>
                <w:i w:val="false"/>
                <w:iCs w:val="false"/>
                <w:color w:val="1F1F1F"/>
                <w:sz w:val="14"/>
                <w:szCs w:val="14"/>
              </w:rPr>
              <w:t xml:space="preserve">12 × Mean Monthly Outflow. Min Required Liquidity is roughly 2 to 5x</w:t>
            </w:r>
          </w:p>
          <w:p>
            <w:pPr>
              <w:spacing w:after="0" w:before="0" w:line="240"/>
            </w:pPr>
            <w:r>
              <w:rPr>
                <w:rFonts w:ascii="Consolas" w:cs="Consolas" w:eastAsia="Consolas" w:hAnsi="Consolas"/>
                <w:b w:val="false"/>
                <w:bCs w:val="false"/>
                <w:i w:val="false"/>
                <w:iCs w:val="false"/>
                <w:color w:val="1F1F1F"/>
                <w:sz w:val="14"/>
                <w:szCs w:val="14"/>
              </w:rPr>
              <w:t xml:space="preserve">Mean Monthly Outflow (the LCR multiple) and represents capacity, not</w:t>
            </w:r>
          </w:p>
          <w:p>
            <w:pPr>
              <w:spacing w:after="0" w:before="0" w:line="240"/>
            </w:pPr>
            <w:r>
              <w:rPr>
                <w:rFonts w:ascii="Consolas" w:cs="Consolas" w:eastAsia="Consolas" w:hAnsi="Consolas"/>
                <w:b w:val="false"/>
                <w:bCs w:val="false"/>
                <w:i w:val="false"/>
                <w:iCs w:val="false"/>
                <w:color w:val="1F1F1F"/>
                <w:sz w:val="14"/>
                <w:szCs w:val="14"/>
              </w:rPr>
              <w:t xml:space="preserve">expected spend.</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The engine produces an Expected Annual Variable Spend output (12 × Mean Monthly Outflow) alongside the Min Required Liquidity so the CFO can plan annual cash deployment beyond just the reserve buffer.</w:t>
      </w:r>
    </w:p>
    <w:p>
      <w:pPr>
        <w:pStyle w:val="Heading1"/>
        <w:spacing w:after="160" w:before="360"/>
      </w:pPr>
      <w:r>
        <w:rPr>
          <w:rFonts w:ascii="Arial" w:cs="Arial" w:eastAsia="Arial" w:hAnsi="Arial"/>
          <w:b/>
          <w:bCs/>
          <w:color w:val="1F1F1F"/>
          <w:sz w:val="36"/>
          <w:szCs w:val="36"/>
        </w:rPr>
        <w:t xml:space="preserve">Part X · Comparison to Equivalent Level-Funded</w:t>
      </w:r>
    </w:p>
    <w:p>
      <w:pPr>
        <w:spacing w:after="80" w:before="80"/>
        <w:jc w:val="left"/>
      </w:pPr>
      <w:r>
        <w:rPr>
          <w:rFonts w:ascii="Arial" w:cs="Arial" w:eastAsia="Arial" w:hAnsi="Arial"/>
          <w:b/>
          <w:bCs/>
          <w:i w:val="false"/>
          <w:iCs w:val="false"/>
          <w:color w:val="1F1F1F"/>
          <w:sz w:val="22"/>
          <w:szCs w:val="22"/>
        </w:rPr>
        <w:t xml:space="preserve">The headline output is the comparison to what a traditional level-funded employer must hold for an equivalent population. Without this, the engine cannot prove the OffPlan thesis. The comparison is total-to-total: every component the level-funded employer pays must be in the comparison, not just claims.</w:t>
      </w:r>
    </w:p>
    <w:p>
      <w:pPr>
        <w:pStyle w:val="Heading2"/>
        <w:spacing w:after="120" w:before="280"/>
      </w:pPr>
      <w:r>
        <w:rPr>
          <w:rFonts w:ascii="Arial" w:cs="Arial" w:eastAsia="Arial" w:hAnsi="Arial"/>
          <w:b/>
          <w:bCs/>
          <w:color w:val="1F1F1F"/>
          <w:sz w:val="28"/>
          <w:szCs w:val="28"/>
        </w:rPr>
        <w:t xml:space="preserve">26. Equivalent Level-Funded Total Cost Calculation</w:t>
      </w:r>
    </w:p>
    <w:p>
      <w:pPr>
        <w:spacing w:after="80" w:before="80"/>
        <w:jc w:val="left"/>
      </w:pPr>
      <w:r>
        <w:rPr>
          <w:rFonts w:ascii="Arial" w:cs="Arial" w:eastAsia="Arial" w:hAnsi="Arial"/>
          <w:b w:val="false"/>
          <w:bCs w:val="false"/>
          <w:i w:val="false"/>
          <w:iCs w:val="false"/>
          <w:color w:val="1F1F1F"/>
          <w:sz w:val="22"/>
          <w:szCs w:val="22"/>
        </w:rPr>
        <w:t xml:space="preserve">The 'Equivalent Level-Funded Total Cost' represents what the same population would pre-fund under a traditional level-funded plan. The number includes all components the level-funded employer pays, not just the claims pool. This is essential: comparing OffPlan's full stack (membership + TPA + indemnity premium + stop-loss premium + Liquidity Reserve) against just the level-funded claims pool would be apples-to-oranges and indefensible to a CFO.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Equivalent_Level_Funded_Total_Cost =</w:t>
            </w:r>
          </w:p>
          <w:p>
            <w:pPr>
              <w:spacing w:after="0" w:before="0" w:line="240"/>
            </w:pPr>
            <w:r>
              <w:rPr>
                <w:rFonts w:ascii="Consolas" w:cs="Consolas" w:eastAsia="Consolas" w:hAnsi="Consolas"/>
                <w:b w:val="false"/>
                <w:bCs w:val="false"/>
                <w:i w:val="false"/>
                <w:iCs w:val="false"/>
                <w:color w:val="1F1F1F"/>
                <w:sz w:val="16"/>
                <w:szCs w:val="16"/>
              </w:rPr>
              <w:t xml:space="preserve">    Expected_Annual_Claims × Reserve_Multiplier</w:t>
            </w:r>
          </w:p>
          <w:p>
            <w:pPr>
              <w:spacing w:after="0" w:before="0" w:line="240"/>
            </w:pPr>
            <w:r>
              <w:rPr>
                <w:rFonts w:ascii="Consolas" w:cs="Consolas" w:eastAsia="Consolas" w:hAnsi="Consolas"/>
                <w:b w:val="false"/>
                <w:bCs w:val="false"/>
                <w:i w:val="false"/>
                <w:iCs w:val="false"/>
                <w:color w:val="1F1F1F"/>
                <w:sz w:val="16"/>
                <w:szCs w:val="16"/>
              </w:rPr>
              <w:t xml:space="preserve">  + Stop_Loss_Premium</w:t>
            </w:r>
          </w:p>
          <w:p>
            <w:pPr>
              <w:spacing w:after="0" w:before="0" w:line="240"/>
            </w:pPr>
            <w:r>
              <w:rPr>
                <w:rFonts w:ascii="Consolas" w:cs="Consolas" w:eastAsia="Consolas" w:hAnsi="Consolas"/>
                <w:b w:val="false"/>
                <w:bCs w:val="false"/>
                <w:i w:val="false"/>
                <w:iCs w:val="false"/>
                <w:color w:val="1F1F1F"/>
                <w:sz w:val="16"/>
                <w:szCs w:val="16"/>
              </w:rPr>
              <w:t xml:space="preserve">  + TPA_Admin_Fees</w:t>
            </w:r>
          </w:p>
          <w:p>
            <w:pPr>
              <w:spacing w:after="0" w:before="0" w:line="240"/>
            </w:pPr>
            <w:r>
              <w:rPr>
                <w:rFonts w:ascii="Consolas" w:cs="Consolas" w:eastAsia="Consolas" w:hAnsi="Consolas"/>
                <w:b w:val="false"/>
                <w:bCs w:val="false"/>
                <w:i w:val="false"/>
                <w:iCs w:val="false"/>
                <w:color w:val="1F1F1F"/>
                <w:sz w:val="16"/>
                <w:szCs w:val="16"/>
              </w:rPr>
              <w:t xml:space="preserve">  + Network_Access_Fees</w:t>
            </w:r>
          </w:p>
          <w:p>
            <w:pPr>
              <w:spacing w:after="0" w:before="0" w:line="240"/>
            </w:pPr>
            <w:r>
              <w:rPr>
                <w:rFonts w:ascii="Consolas" w:cs="Consolas" w:eastAsia="Consolas" w:hAnsi="Consolas"/>
                <w:b w:val="false"/>
                <w:bCs w:val="false"/>
                <w:i w:val="false"/>
                <w:iCs w:val="false"/>
                <w:color w:val="1F1F1F"/>
                <w:sz w:val="16"/>
                <w:szCs w:val="16"/>
              </w:rPr>
              <w:t xml:space="preserve">  + Broker_Consultant_Fees</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Where Reserve_Multiplier typically = 1.25 (small group) to 1.40 (very small group)</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Industry baseline for groups under 250 lives:</w:t>
            </w:r>
          </w:p>
          <w:p>
            <w:pPr>
              <w:spacing w:after="0" w:before="0" w:line="240"/>
            </w:pPr>
            <w:r>
              <w:rPr>
                <w:rFonts w:ascii="Consolas" w:cs="Consolas" w:eastAsia="Consolas" w:hAnsi="Consolas"/>
                <w:b w:val="false"/>
                <w:bCs w:val="false"/>
                <w:i w:val="false"/>
                <w:iCs w:val="false"/>
                <w:color w:val="1F1F1F"/>
                <w:sz w:val="16"/>
                <w:szCs w:val="16"/>
              </w:rPr>
              <w:t xml:space="preserve">  Claims pool reserve = 125% of expected annual claims, held throughout plan year</w:t>
            </w:r>
          </w:p>
          <w:p>
            <w:pPr>
              <w:spacing w:after="0" w:before="0" w:line="240"/>
            </w:pPr>
            <w:r>
              <w:rPr>
                <w:rFonts w:ascii="Consolas" w:cs="Consolas" w:eastAsia="Consolas" w:hAnsi="Consolas"/>
                <w:b w:val="false"/>
                <w:bCs w:val="false"/>
                <w:i w:val="false"/>
                <w:iCs w:val="false"/>
                <w:color w:val="1F1F1F"/>
                <w:sz w:val="16"/>
                <w:szCs w:val="16"/>
              </w:rPr>
              <w:t xml:space="preserve">  Plus all fixed components: stop-loss, TPA, network, broker fees</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formulation matches the Master Specification Part III baseline definition: comparison is always total-to-total, never claims-only-to-OffPlan-stack. A reviewer who scrutinizes the numbers will validate against this exact formulation.</w:t>
      </w:r>
    </w:p>
    <w:p>
      <w:pPr>
        <w:pStyle w:val="Heading2"/>
        <w:spacing w:after="120" w:before="280"/>
      </w:pPr>
      <w:r>
        <w:rPr>
          <w:rFonts w:ascii="Arial" w:cs="Arial" w:eastAsia="Arial" w:hAnsi="Arial"/>
          <w:b/>
          <w:bCs/>
          <w:color w:val="1F1F1F"/>
          <w:sz w:val="28"/>
          <w:szCs w:val="28"/>
        </w:rPr>
        <w:t xml:space="preserve">27. Side-by-Side Output (Worked Example)</w:t>
      </w:r>
    </w:p>
    <w:p>
      <w:pPr>
        <w:spacing w:after="80" w:before="80"/>
        <w:jc w:val="left"/>
      </w:pPr>
      <w:r>
        <w:rPr>
          <w:rFonts w:ascii="Arial" w:cs="Arial" w:eastAsia="Arial" w:hAnsi="Arial"/>
          <w:b w:val="false"/>
          <w:bCs w:val="false"/>
          <w:i/>
          <w:iCs/>
          <w:color w:val="1F1F1F"/>
          <w:sz w:val="22"/>
          <w:szCs w:val="22"/>
        </w:rPr>
        <w:t xml:space="preserve">Worked example: 162 covered lives, mid-chronic profile, $50K specific attachment, 1.25 aggregate corridor. All figures expressed as PEPM (per-employee-per-month) to enable direct comparison.</w:t>
      </w:r>
    </w:p>
    <w:p>
      <w:pPr>
        <w:spacing w:after="80" w:before="80"/>
      </w:pPr>
      <w:r>
        <w:t xml:space="preserve"/>
      </w:r>
    </w:p>
    <w:p>
      <w:pPr>
        <w:pStyle w:val="Heading3"/>
        <w:spacing w:after="80" w:before="200"/>
      </w:pPr>
      <w:r>
        <w:rPr>
          <w:rFonts w:ascii="Arial" w:cs="Arial" w:eastAsia="Arial" w:hAnsi="Arial"/>
          <w:b/>
          <w:bCs/>
          <w:color w:val="1F1F1F"/>
          <w:sz w:val="24"/>
          <w:szCs w:val="24"/>
        </w:rPr>
        <w:t xml:space="preserve">27.1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Component</w:t>
            </w:r>
          </w:p>
        </w:tc>
        <w:tc>
          <w:tcPr>
            <w:tcW w:type="dxa" w:w="29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Equivalent Level-Funded</w:t>
            </w:r>
          </w:p>
        </w:tc>
        <w:tc>
          <w:tcPr>
            <w:tcW w:type="dxa" w:w="29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OffPlan</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Expected medical claims (run-rate)</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$300 PEPM</w:t>
            </w:r>
          </w:p>
        </w:tc>
        <w:tc>
          <w:tcPr>
            <w:tcW w:type="dxa" w:w="2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Reclassified residual events</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c>
          <w:tcPr>
            <w:tcW w:type="dxa" w:w="29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$85 PEPM</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DPC / membership</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c>
          <w:tcPr>
            <w:tcW w:type="dxa" w:w="2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$195 PEPM</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Indemnity premium</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c>
          <w:tcPr>
            <w:tcW w:type="dxa" w:w="29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$45 PEPM</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Stop-loss premium</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$45 PEPM</w:t>
            </w:r>
          </w:p>
        </w:tc>
        <w:tc>
          <w:tcPr>
            <w:tcW w:type="dxa" w:w="2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$40 PEPM</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TPA / admin fees</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 PEPM</w:t>
            </w:r>
          </w:p>
        </w:tc>
        <w:tc>
          <w:tcPr>
            <w:tcW w:type="dxa" w:w="29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$20 PEPM</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Network access / broker fees</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$15 PEPM</w:t>
            </w:r>
          </w:p>
        </w:tc>
        <w:tc>
          <w:tcPr>
            <w:tcW w:type="dxa" w:w="2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 PEPM</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Annualized run-rate (sum of above)</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$390 PEPM</w:t>
            </w:r>
          </w:p>
        </w:tc>
        <w:tc>
          <w:tcPr>
            <w:tcW w:type="dxa" w:w="29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$390 PEPM</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Note: run-rate is comparable (~$390 PEPM each side). The OffPlan thesis is NOT 'lower run-rate spend' — it's 'lower required capital to support the same run-rate.' That's what the next table shows.</w:t>
      </w:r>
    </w:p>
    <w:p>
      <w:pPr>
        <w:spacing w:after="80" w:before="80"/>
      </w:pPr>
      <w:r>
        <w:t xml:space="preserve"/>
      </w:r>
    </w:p>
    <w:p>
      <w:pPr>
        <w:pStyle w:val="Heading3"/>
        <w:spacing w:after="80" w:before="200"/>
      </w:pPr>
      <w:r>
        <w:rPr>
          <w:rFonts w:ascii="Arial" w:cs="Arial" w:eastAsia="Arial" w:hAnsi="Arial"/>
          <w:b/>
          <w:bCs/>
          <w:color w:val="1F1F1F"/>
          <w:sz w:val="24"/>
          <w:szCs w:val="24"/>
        </w:rPr>
        <w:t xml:space="preserve">27.2 Capital Required to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0"/>
        <w:gridCol w:w="1060"/>
      </w:tblGrid>
      <w:tr>
        <w:trPr>
          <w:tblHeader/>
        </w:trPr>
        <w:tc>
          <w:tcPr>
            <w:tcW w:type="dxa" w:w="35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Capital Component</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Equivalent Level-Funded</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OffPlan</w:t>
            </w:r>
          </w:p>
        </w:tc>
        <w:tc>
          <w:tcPr>
            <w:tcW w:type="dxa" w:w="10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Δ</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Pre-funded claims reserve (1.25× annual claims)</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$375 PEPM equivalent</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c>
          <w:tcPr>
            <w:tcW w:type="dxa" w:w="10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Reserve required (P95 Net Drawdown)</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PEPM equivalent</w:t>
            </w:r>
          </w:p>
        </w:tc>
        <w:tc>
          <w:tcPr>
            <w:tcW w:type="dxa" w:w="10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TOTAL CAPITAL REQUIRED</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$375 PEPM equivalent</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PEPM equivalent</w:t>
            </w:r>
          </w:p>
        </w:tc>
        <w:tc>
          <w:tcPr>
            <w:tcW w:type="dxa" w:w="10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−$260 PEPM</w:t>
            </w:r>
          </w:p>
        </w:tc>
      </w:tr>
    </w:tbl>
    <w:p>
      <w:pPr>
        <w:spacing w:after="80" w:before="80"/>
      </w:pPr>
      <w:r>
        <w:t xml:space="preserve"/>
      </w:r>
    </w:p>
    <w:p>
      <w:pPr>
        <w:pStyle w:val="Heading3"/>
        <w:spacing w:after="80" w:before="200"/>
      </w:pPr>
      <w:r>
        <w:rPr>
          <w:rFonts w:ascii="Arial" w:cs="Arial" w:eastAsia="Arial" w:hAnsi="Arial"/>
          <w:b/>
          <w:bCs/>
          <w:color w:val="1F1F1F"/>
          <w:sz w:val="24"/>
          <w:szCs w:val="24"/>
        </w:rPr>
        <w:t xml:space="preserve">27.3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c>
          <w:tcPr>
            <w:tcW w:type="dxa" w:w="34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Calculation</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Equivalent Level-Funded Total Cost (capital)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$375 PEPM equivalent</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Expected claims × 1.25</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Minimum Required Liquidity</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PEPM equivalent</w:t>
            </w:r>
          </w:p>
        </w:tc>
        <w:tc>
          <w:tcPr>
            <w:tcW w:type="dxa" w:w="34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P95 of max rolling 30-day Net Drawdown per run</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Capital Efficiency Ratio (CER)</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3.26x</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$375 / $115</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Reduction</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−69.3%</w:t>
            </w:r>
          </w:p>
        </w:tc>
        <w:tc>
          <w:tcPr>
            <w:tcW w:type="dxa" w:w="34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($375 − $115) / $375</w:t>
            </w:r>
          </w:p>
        </w:tc>
      </w:tr>
      <w:tr>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Coverage Ratio (LCR)</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3.2x</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 Mean Monthly Outflow</w:t>
            </w:r>
          </w:p>
        </w:tc>
      </w:tr>
      <w:tr>
        <w:tc>
          <w:tcPr>
            <w:tcW w:type="dxa" w:w="35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Stress Coverage Ratio (SCR)</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1.8x</w:t>
            </w:r>
          </w:p>
        </w:tc>
        <w:tc>
          <w:tcPr>
            <w:tcW w:type="dxa" w:w="34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$115 / P75 Monthly Outflow</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All numbers are illustrative. Actual outputs are simulated per employer based on their specific population, scenario settings, and Equivalent Level-Funded Total Cost computed from the same dataset using industry-standard reserve methodology. The arithmetic in this example is internally consistent and may be verified directly: CER × (1 − Liquidity Reduction) = 3.26 × 0.307 = 1.000 (within rounding).</w:t>
      </w:r>
    </w:p>
    <w:p>
      <w:pPr>
        <w:pStyle w:val="Heading1"/>
        <w:spacing w:after="160" w:before="360"/>
      </w:pPr>
      <w:r>
        <w:rPr>
          <w:rFonts w:ascii="Arial" w:cs="Arial" w:eastAsia="Arial" w:hAnsi="Arial"/>
          <w:b/>
          <w:bCs/>
          <w:color w:val="1F1F1F"/>
          <w:sz w:val="36"/>
          <w:szCs w:val="36"/>
        </w:rPr>
        <w:t xml:space="preserve">Part XI · Module Integration</w:t>
      </w:r>
    </w:p>
    <w:p>
      <w:pPr>
        <w:spacing w:after="80" w:before="80"/>
        <w:jc w:val="left"/>
      </w:pPr>
      <w:r>
        <w:rPr>
          <w:rFonts w:ascii="Arial" w:cs="Arial" w:eastAsia="Arial" w:hAnsi="Arial"/>
          <w:b w:val="false"/>
          <w:bCs w:val="false"/>
          <w:i w:val="false"/>
          <w:iCs w:val="false"/>
          <w:color w:val="1F1F1F"/>
          <w:sz w:val="22"/>
          <w:szCs w:val="22"/>
        </w:rPr>
        <w:t xml:space="preserve">How the new and existing modules connect: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INGESTION (CSV templates)  →  Module 5 (Rules Engine)  →  Module 6 (Stochastic Simulator)</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 Module 8 (Indemnity Offset) ────┐</w:t>
            </w:r>
          </w:p>
          <w:p>
            <w:pPr>
              <w:spacing w:after="0" w:before="0" w:line="240"/>
            </w:pPr>
            <w:r>
              <w:rPr>
                <w:rFonts w:ascii="Consolas" w:cs="Consolas" w:eastAsia="Consolas" w:hAnsi="Consolas"/>
                <w:b w:val="false"/>
                <w:bCs w:val="false"/>
                <w:i w:val="false"/>
                <w:iCs w:val="false"/>
                <w:color w:val="1F1F1F"/>
                <w:sz w:val="16"/>
                <w:szCs w:val="16"/>
              </w:rPr>
              <w:t xml:space="preserve">                              ↓                                       ↓</w:t>
            </w:r>
          </w:p>
          <w:p>
            <w:pPr>
              <w:spacing w:after="0" w:before="0" w:line="240"/>
            </w:pPr>
            <w:r>
              <w:rPr>
                <w:rFonts w:ascii="Consolas" w:cs="Consolas" w:eastAsia="Consolas" w:hAnsi="Consolas"/>
                <w:b w:val="false"/>
                <w:bCs w:val="false"/>
                <w:i w:val="false"/>
                <w:iCs w:val="false"/>
                <w:color w:val="1F1F1F"/>
                <w:sz w:val="16"/>
                <w:szCs w:val="16"/>
              </w:rPr>
              <w:t xml:space="preserve">                      Module 10 (Stop-Loss Layer)              Module 9 (Cash Flow Timeline)</w:t>
            </w:r>
          </w:p>
          <w:p>
            <w:pPr>
              <w:spacing w:after="0" w:before="0" w:line="240"/>
            </w:pPr>
            <w:r>
              <w:rPr>
                <w:rFonts w:ascii="Consolas" w:cs="Consolas" w:eastAsia="Consolas" w:hAnsi="Consolas"/>
                <w:b w:val="false"/>
                <w:bCs w:val="false"/>
                <w:i w:val="false"/>
                <w:iCs w:val="false"/>
                <w:color w:val="1F1F1F"/>
                <w:sz w:val="16"/>
                <w:szCs w:val="16"/>
              </w:rPr>
              <w:t xml:space="preserve">                              ↓                                       ↓</w:t>
            </w:r>
          </w:p>
          <w:p>
            <w:pPr>
              <w:spacing w:after="0" w:before="0" w:line="240"/>
            </w:pPr>
            <w:r>
              <w:rPr>
                <w:rFonts w:ascii="Consolas" w:cs="Consolas" w:eastAsia="Consolas" w:hAnsi="Consolas"/>
                <w:b w:val="false"/>
                <w:bCs w:val="false"/>
                <w:i w:val="false"/>
                <w:iCs w:val="false"/>
                <w:color w:val="1F1F1F"/>
                <w:sz w:val="16"/>
                <w:szCs w:val="16"/>
              </w:rPr>
              <w:t xml:space="preserve">                              └────────→ Module 7 (Liquidity Engine) ←┘</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Replenishment Model (Sect. 10–15)</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Module 11 (Cash Strategy)</w:t>
            </w:r>
          </w:p>
          <w:p>
            <w:pPr>
              <w:spacing w:after="0" w:before="0" w:line="240"/>
            </w:pPr>
            <w:r>
              <w:rPr>
                <w:rFonts w:ascii="Consolas" w:cs="Consolas" w:eastAsia="Consolas" w:hAnsi="Consolas"/>
                <w:b w:val="false"/>
                <w:bCs w:val="false"/>
                <w:i w:val="false"/>
                <w:iCs w:val="false"/>
                <w:color w:val="1F1F1F"/>
                <w:sz w:val="16"/>
                <w:szCs w:val="16"/>
              </w:rPr>
              <w:t xml:space="preserve">                                                ↓</w:t>
            </w:r>
          </w:p>
          <w:p>
            <w:pPr>
              <w:spacing w:after="0" w:before="0" w:line="240"/>
            </w:pPr>
            <w:r>
              <w:rPr>
                <w:rFonts w:ascii="Consolas" w:cs="Consolas" w:eastAsia="Consolas" w:hAnsi="Consolas"/>
                <w:b w:val="false"/>
                <w:bCs w:val="false"/>
                <w:i w:val="false"/>
                <w:iCs w:val="false"/>
                <w:color w:val="1F1F1F"/>
                <w:sz w:val="16"/>
                <w:szCs w:val="16"/>
              </w:rPr>
              <w:t xml:space="preserve">                                       OUTPUT: Executive Summary + Liquidity Profile</w:t>
            </w:r>
          </w:p>
        </w:tc>
      </w:tr>
    </w:tbl>
    <w:p>
      <w:pPr>
        <w:pStyle w:val="Heading2"/>
        <w:spacing w:after="120" w:before="280"/>
      </w:pPr>
      <w:r>
        <w:rPr>
          <w:rFonts w:ascii="Arial" w:cs="Arial" w:eastAsia="Arial" w:hAnsi="Arial"/>
          <w:b/>
          <w:bCs/>
          <w:color w:val="1F1F1F"/>
          <w:sz w:val="28"/>
          <w:szCs w:val="28"/>
        </w:rPr>
        <w:t xml:space="preserve">28. New &amp; Refactored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Module</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Purpose</w:t>
            </w:r>
          </w:p>
        </w:tc>
        <w:tc>
          <w:tcPr>
            <w:tcW w:type="dxa" w:w="15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Status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5 — Rules Engine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CPT/POS classification</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Existing</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6 — Stochastic Simulator</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Generate distributions; within-member sequential clustering</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7 — Liquidity Engine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P50–P99 aggregation; LCR / SCR / CER computation; replenishment-aware</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 extended in v1.1</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8 — Indemnity Offset</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Per-event indemnity; cap enforcement</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Refactored from v3.0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9 — Cash Flow Timeline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Event-to-cash conversion with stop-loss reimbursement lag</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10 — Stop-Loss Layer</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Per-member attachment tracking; reimbursement-lag exposure</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Refactored from v3.0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11 — Cash Strategy</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Buffer sizing per strategy; replenishment-aware reserve sizes</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w:t>
            </w:r>
          </w:p>
        </w:tc>
      </w:tr>
    </w:tbl>
    <w:p>
      <w:pPr>
        <w:pStyle w:val="Heading1"/>
        <w:spacing w:after="160" w:before="360"/>
      </w:pPr>
      <w:r>
        <w:rPr>
          <w:rFonts w:ascii="Arial" w:cs="Arial" w:eastAsia="Arial" w:hAnsi="Arial"/>
          <w:b/>
          <w:bCs/>
          <w:color w:val="1F1F1F"/>
          <w:sz w:val="36"/>
          <w:szCs w:val="36"/>
        </w:rPr>
        <w:t xml:space="preserve">Part XII · Acceptance Criteria</w:t>
      </w:r>
    </w:p>
    <w:p>
      <w:pPr>
        <w:spacing w:after="80" w:before="80"/>
        <w:jc w:val="left"/>
      </w:pPr>
      <w:r>
        <w:rPr>
          <w:rFonts w:ascii="Arial" w:cs="Arial" w:eastAsia="Arial" w:hAnsi="Arial"/>
          <w:b w:val="false"/>
          <w:bCs w:val="false"/>
          <w:i w:val="false"/>
          <w:iCs w:val="false"/>
          <w:color w:val="1F1F1F"/>
          <w:sz w:val="22"/>
          <w:szCs w:val="22"/>
        </w:rPr>
        <w:t xml:space="preserve">The Liquidity &amp; Capital Modeling extension is complete when all of the following are demonstrably true on a real employer dataset.</w:t>
      </w:r>
    </w:p>
    <w:p>
      <w:pPr>
        <w:spacing w:after="80" w:before="80"/>
      </w:pPr>
      <w:r>
        <w:t xml:space="preserve"/>
      </w:r>
    </w:p>
    <w:p>
      <w:pPr>
        <w:pStyle w:val="Heading2"/>
        <w:spacing w:after="120" w:before="280"/>
      </w:pPr>
      <w:r>
        <w:rPr>
          <w:rFonts w:ascii="Arial" w:cs="Arial" w:eastAsia="Arial" w:hAnsi="Arial"/>
          <w:b/>
          <w:bCs/>
          <w:color w:val="1F1F1F"/>
          <w:sz w:val="28"/>
          <w:szCs w:val="28"/>
        </w:rPr>
        <w:t xml:space="preserve">29. Functional Acceptance Criteria</w:t>
      </w:r>
    </w:p>
    <w:p>
      <w:pPr>
        <w:pStyle w:val="ListParagraph"/>
        <w:numPr>
          <w:ilvl w:val="0"/>
          <w:numId w:val="2"/>
        </w:numPr>
        <w:spacing w:after="30" w:before="30"/>
      </w:pPr>
      <w:r>
        <w:rPr>
          <w:rFonts w:ascii="Arial" w:cs="Arial" w:eastAsia="Arial" w:hAnsi="Arial"/>
          <w:color w:val="1F1F1F"/>
          <w:sz w:val="22"/>
          <w:szCs w:val="22"/>
        </w:rPr>
        <w:t xml:space="preserve">Simulator runs on a 200-life population for 10,000 runs in under 2 minutes.</w:t>
      </w:r>
    </w:p>
    <w:p>
      <w:pPr>
        <w:pStyle w:val="ListParagraph"/>
        <w:numPr>
          <w:ilvl w:val="0"/>
          <w:numId w:val="2"/>
        </w:numPr>
        <w:spacing w:after="30" w:before="30"/>
      </w:pPr>
      <w:r>
        <w:rPr>
          <w:rFonts w:ascii="Arial" w:cs="Arial" w:eastAsia="Arial" w:hAnsi="Arial"/>
          <w:color w:val="1F1F1F"/>
          <w:sz w:val="22"/>
          <w:szCs w:val="22"/>
        </w:rPr>
        <w:t xml:space="preserve">Simulator scales run count automatically: 10,000 runs (≥75 lives), 25,000 runs (50–74 lives), 50,000 runs (&lt;50 lives).</w:t>
      </w:r>
    </w:p>
    <w:p>
      <w:pPr>
        <w:pStyle w:val="ListParagraph"/>
        <w:numPr>
          <w:ilvl w:val="0"/>
          <w:numId w:val="2"/>
        </w:numPr>
        <w:spacing w:after="30" w:before="30"/>
      </w:pPr>
      <w:r>
        <w:rPr>
          <w:rFonts w:ascii="Arial" w:cs="Arial" w:eastAsia="Arial" w:hAnsi="Arial"/>
          <w:color w:val="1F1F1F"/>
          <w:sz w:val="22"/>
          <w:szCs w:val="22"/>
        </w:rPr>
        <w:t xml:space="preserve">Simulator outputs P50, P75, P90, P95, P99 with bootstrap 95% CI on each percentile.</w:t>
      </w:r>
    </w:p>
    <w:p>
      <w:pPr>
        <w:pStyle w:val="ListParagraph"/>
        <w:numPr>
          <w:ilvl w:val="0"/>
          <w:numId w:val="2"/>
        </w:numPr>
        <w:spacing w:after="30" w:before="30"/>
      </w:pPr>
      <w:r>
        <w:rPr>
          <w:rFonts w:ascii="Arial" w:cs="Arial" w:eastAsia="Arial" w:hAnsi="Arial"/>
          <w:color w:val="1F1F1F"/>
          <w:sz w:val="22"/>
          <w:szCs w:val="22"/>
        </w:rPr>
        <w:t xml:space="preserve">Standard error on P95 remains below 5% of the estimate value (CI gate).</w:t>
      </w:r>
    </w:p>
    <w:p>
      <w:pPr>
        <w:pStyle w:val="ListParagraph"/>
        <w:numPr>
          <w:ilvl w:val="0"/>
          <w:numId w:val="2"/>
        </w:numPr>
        <w:spacing w:after="30" w:before="30"/>
      </w:pPr>
      <w:r>
        <w:rPr>
          <w:rFonts w:ascii="Arial" w:cs="Arial" w:eastAsia="Arial" w:hAnsi="Arial"/>
          <w:color w:val="1F1F1F"/>
          <w:sz w:val="22"/>
          <w:szCs w:val="22"/>
        </w:rPr>
        <w:t xml:space="preserve">Heavy-tail distributions are calibrated against published actuarial benchmarks (SOA Group Health Cost Model, Milliman Health Cost Guidelines).</w:t>
      </w:r>
    </w:p>
    <w:p>
      <w:pPr>
        <w:pStyle w:val="ListParagraph"/>
        <w:numPr>
          <w:ilvl w:val="0"/>
          <w:numId w:val="2"/>
        </w:numPr>
        <w:spacing w:after="30" w:before="30"/>
      </w:pPr>
      <w:r>
        <w:rPr>
          <w:rFonts w:ascii="Arial" w:cs="Arial" w:eastAsia="Arial" w:hAnsi="Arial"/>
          <w:color w:val="1F1F1F"/>
          <w:sz w:val="22"/>
          <w:szCs w:val="22"/>
        </w:rPr>
        <w:t xml:space="preserve">Chronic flags drive joint multipliers across tiers, not independent multipliers.</w:t>
      </w:r>
    </w:p>
    <w:p>
      <w:pPr>
        <w:pStyle w:val="ListParagraph"/>
        <w:numPr>
          <w:ilvl w:val="0"/>
          <w:numId w:val="2"/>
        </w:numPr>
        <w:spacing w:after="30" w:before="30"/>
      </w:pPr>
      <w:r>
        <w:rPr>
          <w:rFonts w:ascii="Arial" w:cs="Arial" w:eastAsia="Arial" w:hAnsi="Arial"/>
          <w:color w:val="1F1F1F"/>
          <w:sz w:val="22"/>
          <w:szCs w:val="22"/>
        </w:rPr>
        <w:t xml:space="preserve">Within-member sequential clustering implemented per-tier with complication_probability and complication_lag_days_distribution.</w:t>
      </w:r>
    </w:p>
    <w:p>
      <w:pPr>
        <w:pStyle w:val="ListParagraph"/>
        <w:numPr>
          <w:ilvl w:val="0"/>
          <w:numId w:val="2"/>
        </w:numPr>
        <w:spacing w:after="30" w:before="30"/>
      </w:pPr>
      <w:r>
        <w:rPr>
          <w:rFonts w:ascii="Arial" w:cs="Arial" w:eastAsia="Arial" w:hAnsi="Arial"/>
          <w:color w:val="1F1F1F"/>
          <w:sz w:val="22"/>
          <w:szCs w:val="22"/>
        </w:rPr>
        <w:t xml:space="preserve">Cash flow timeline produces both rolling-30-day (primary) and calendar-month / rolling-60-day (supplementary) views.</w:t>
      </w:r>
    </w:p>
    <w:p>
      <w:pPr>
        <w:pStyle w:val="ListParagraph"/>
        <w:numPr>
          <w:ilvl w:val="0"/>
          <w:numId w:val="2"/>
        </w:numPr>
        <w:spacing w:after="30" w:before="30"/>
      </w:pPr>
      <w:r>
        <w:rPr>
          <w:rFonts w:ascii="Arial" w:cs="Arial" w:eastAsia="Arial" w:hAnsi="Arial"/>
          <w:color w:val="1F1F1F"/>
          <w:sz w:val="22"/>
          <w:szCs w:val="22"/>
        </w:rPr>
        <w:t xml:space="preserve">Indemnity offset is applied per-event before liquidity aggregation.</w:t>
      </w:r>
    </w:p>
    <w:p>
      <w:pPr>
        <w:pStyle w:val="ListParagraph"/>
        <w:numPr>
          <w:ilvl w:val="0"/>
          <w:numId w:val="2"/>
        </w:numPr>
        <w:spacing w:after="30" w:before="30"/>
      </w:pPr>
      <w:r>
        <w:rPr>
          <w:rFonts w:ascii="Arial" w:cs="Arial" w:eastAsia="Arial" w:hAnsi="Arial"/>
          <w:color w:val="1F1F1F"/>
          <w:sz w:val="22"/>
          <w:szCs w:val="22"/>
        </w:rPr>
        <w:t xml:space="preserve">Stop-loss is modeled per-member with attachment tracking and reimbursement lag (default 60 to 90 days).</w:t>
      </w:r>
    </w:p>
    <w:p>
      <w:pPr>
        <w:pStyle w:val="ListParagraph"/>
        <w:numPr>
          <w:ilvl w:val="0"/>
          <w:numId w:val="2"/>
        </w:numPr>
        <w:spacing w:after="30" w:before="30"/>
      </w:pPr>
      <w:r>
        <w:rPr>
          <w:rFonts w:ascii="Arial" w:cs="Arial" w:eastAsia="Arial" w:hAnsi="Arial"/>
          <w:color w:val="1F1F1F"/>
          <w:sz w:val="22"/>
          <w:szCs w:val="22"/>
        </w:rPr>
        <w:t xml:space="preserve">Liquidity is sized against Pre-Reimbursement Outflow during the reimbursement lag period (per Part 0 terminology and Section 21.3), NOT against post-attachment net exposure.</w:t>
      </w:r>
    </w:p>
    <w:p>
      <w:pPr>
        <w:pStyle w:val="ListParagraph"/>
        <w:numPr>
          <w:ilvl w:val="0"/>
          <w:numId w:val="2"/>
        </w:numPr>
        <w:spacing w:after="30" w:before="30"/>
      </w:pPr>
      <w:r>
        <w:rPr>
          <w:rFonts w:ascii="Arial" w:cs="Arial" w:eastAsia="Arial" w:hAnsi="Arial"/>
          <w:color w:val="1F1F1F"/>
          <w:sz w:val="22"/>
          <w:szCs w:val="22"/>
        </w:rPr>
        <w:t xml:space="preserve">Stop-loss reimbursements are modeled as delayed inflows in the cash flow timeline (arrive on the reimbursement-received date, not the service date).</w:t>
      </w:r>
    </w:p>
    <w:p>
      <w:pPr>
        <w:pStyle w:val="ListParagraph"/>
        <w:numPr>
          <w:ilvl w:val="0"/>
          <w:numId w:val="2"/>
        </w:numPr>
        <w:spacing w:after="30" w:before="30"/>
      </w:pPr>
      <w:r>
        <w:rPr>
          <w:rFonts w:ascii="Arial" w:cs="Arial" w:eastAsia="Arial" w:hAnsi="Arial"/>
          <w:color w:val="1F1F1F"/>
          <w:sz w:val="22"/>
          <w:szCs w:val="22"/>
        </w:rPr>
        <w:t xml:space="preserve">Aggregate stop-loss is supported in MVP per Section 22; default disabled for groups under 250 lives, configurable per scenario.</w:t>
      </w:r>
    </w:p>
    <w:p>
      <w:pPr>
        <w:pStyle w:val="ListParagraph"/>
        <w:numPr>
          <w:ilvl w:val="0"/>
          <w:numId w:val="2"/>
        </w:numPr>
        <w:spacing w:after="30" w:before="30"/>
      </w:pPr>
      <w:r>
        <w:rPr>
          <w:rFonts w:ascii="Arial" w:cs="Arial" w:eastAsia="Arial" w:hAnsi="Arial"/>
          <w:color w:val="1F1F1F"/>
          <w:sz w:val="22"/>
          <w:szCs w:val="22"/>
        </w:rPr>
        <w:t xml:space="preserve">Aggregate stop-loss reimbursements are modeled with the same lag distribution as specific stop-loss reimbursements.</w:t>
      </w:r>
    </w:p>
    <w:p>
      <w:pPr>
        <w:pStyle w:val="ListParagraph"/>
        <w:numPr>
          <w:ilvl w:val="0"/>
          <w:numId w:val="2"/>
        </w:numPr>
        <w:spacing w:after="30" w:before="30"/>
      </w:pPr>
      <w:r>
        <w:rPr>
          <w:rFonts w:ascii="Arial" w:cs="Arial" w:eastAsia="Arial" w:hAnsi="Arial"/>
          <w:color w:val="1F1F1F"/>
          <w:sz w:val="22"/>
          <w:szCs w:val="22"/>
        </w:rPr>
        <w:t xml:space="preserve">Replenishment model is enabled by default with monthly fixed contribution = Expected Residual Spend × covered_lives, credited 1st of each month.</w:t>
      </w:r>
    </w:p>
    <w:p>
      <w:pPr>
        <w:pStyle w:val="ListParagraph"/>
        <w:numPr>
          <w:ilvl w:val="0"/>
          <w:numId w:val="2"/>
        </w:numPr>
        <w:spacing w:after="30" w:before="30"/>
      </w:pPr>
      <w:r>
        <w:rPr>
          <w:rFonts w:ascii="Arial" w:cs="Arial" w:eastAsia="Arial" w:hAnsi="Arial"/>
          <w:color w:val="1F1F1F"/>
          <w:sz w:val="22"/>
          <w:szCs w:val="22"/>
        </w:rPr>
        <w:t xml:space="preserve">Reserve balance is capped at Minimum Required Liquidity; surplus replenishment in low-event periods is treated as not-credited (Section 24.1).</w:t>
      </w:r>
    </w:p>
    <w:p>
      <w:pPr>
        <w:pStyle w:val="ListParagraph"/>
        <w:numPr>
          <w:ilvl w:val="0"/>
          <w:numId w:val="2"/>
        </w:numPr>
        <w:spacing w:after="30" w:before="30"/>
      </w:pPr>
      <w:r>
        <w:rPr>
          <w:rFonts w:ascii="Arial" w:cs="Arial" w:eastAsia="Arial" w:hAnsi="Arial"/>
          <w:color w:val="1F1F1F"/>
          <w:sz w:val="22"/>
          <w:szCs w:val="22"/>
        </w:rPr>
        <w:t xml:space="preserve">LOC default cost-of-capital assumptions are surfaced on every dashboard for LOC-only and blended strategies (Section 24.2).</w:t>
      </w:r>
    </w:p>
    <w:p>
      <w:pPr>
        <w:pStyle w:val="ListParagraph"/>
        <w:numPr>
          <w:ilvl w:val="0"/>
          <w:numId w:val="2"/>
        </w:numPr>
        <w:spacing w:after="30" w:before="30"/>
      </w:pPr>
      <w:r>
        <w:rPr>
          <w:rFonts w:ascii="Arial" w:cs="Arial" w:eastAsia="Arial" w:hAnsi="Arial"/>
          <w:color w:val="1F1F1F"/>
          <w:sz w:val="22"/>
          <w:szCs w:val="22"/>
        </w:rPr>
        <w:t xml:space="preserve">Chronic flag ingestion path implemented per Section 16.5: Mode 1 supports chronic_flag column, chronic_conditions column, and ICD-10 derivation per the locked mapping.</w:t>
      </w:r>
    </w:p>
    <w:p>
      <w:pPr>
        <w:pStyle w:val="ListParagraph"/>
        <w:numPr>
          <w:ilvl w:val="0"/>
          <w:numId w:val="2"/>
        </w:numPr>
        <w:spacing w:after="30" w:before="30"/>
      </w:pPr>
      <w:r>
        <w:rPr>
          <w:rFonts w:ascii="Arial" w:cs="Arial" w:eastAsia="Arial" w:hAnsi="Arial"/>
          <w:color w:val="1F1F1F"/>
          <w:sz w:val="22"/>
          <w:szCs w:val="22"/>
        </w:rPr>
        <w:t xml:space="preserve">Mode 3 outputs carry the chronic concentration disclaimer (Section 16.5.4).</w:t>
      </w:r>
    </w:p>
    <w:p>
      <w:pPr>
        <w:pStyle w:val="ListParagraph"/>
        <w:numPr>
          <w:ilvl w:val="0"/>
          <w:numId w:val="2"/>
        </w:numPr>
        <w:spacing w:after="30" w:before="30"/>
      </w:pPr>
      <w:r>
        <w:rPr>
          <w:rFonts w:ascii="Arial" w:cs="Arial" w:eastAsia="Arial" w:hAnsi="Arial"/>
          <w:color w:val="1F1F1F"/>
          <w:sz w:val="22"/>
          <w:szCs w:val="22"/>
        </w:rPr>
        <w:t xml:space="preserve">Engine produces the Executive Summary block (Equivalent Level-Funded Total Cost, Expected Residual Spend, Minimum Required Liquidity, CER, Liquidity Reduction).</w:t>
      </w:r>
    </w:p>
    <w:p>
      <w:pPr>
        <w:pStyle w:val="ListParagraph"/>
        <w:numPr>
          <w:ilvl w:val="0"/>
          <w:numId w:val="2"/>
        </w:numPr>
        <w:spacing w:after="30" w:before="30"/>
      </w:pPr>
      <w:r>
        <w:rPr>
          <w:rFonts w:ascii="Arial" w:cs="Arial" w:eastAsia="Arial" w:hAnsi="Arial"/>
          <w:color w:val="1F1F1F"/>
          <w:sz w:val="22"/>
          <w:szCs w:val="22"/>
        </w:rPr>
        <w:t xml:space="preserve">Engine produces the Liquidity Profile block (Mean Monthly Outflow, P50–P99, LCR, SCR, rolling window assumption).</w:t>
      </w:r>
    </w:p>
    <w:p>
      <w:pPr>
        <w:pStyle w:val="ListParagraph"/>
        <w:numPr>
          <w:ilvl w:val="0"/>
          <w:numId w:val="2"/>
        </w:numPr>
        <w:spacing w:after="30" w:before="30"/>
      </w:pPr>
      <w:r>
        <w:rPr>
          <w:rFonts w:ascii="Arial" w:cs="Arial" w:eastAsia="Arial" w:hAnsi="Arial"/>
          <w:color w:val="1F1F1F"/>
          <w:sz w:val="22"/>
          <w:szCs w:val="22"/>
        </w:rPr>
        <w:t xml:space="preserve">Recommended buffer sizing is produced for all three cash strategies (reserve-only, LOC-only, blended).</w:t>
      </w:r>
    </w:p>
    <w:p>
      <w:pPr>
        <w:pStyle w:val="ListParagraph"/>
        <w:numPr>
          <w:ilvl w:val="0"/>
          <w:numId w:val="2"/>
        </w:numPr>
        <w:spacing w:after="30" w:before="30"/>
      </w:pPr>
      <w:r>
        <w:rPr>
          <w:rFonts w:ascii="Arial" w:cs="Arial" w:eastAsia="Arial" w:hAnsi="Arial"/>
          <w:color w:val="1F1F1F"/>
          <w:sz w:val="22"/>
          <w:szCs w:val="22"/>
        </w:rPr>
        <w:t xml:space="preserve">Equivalent Level-Funded Total Cost is computed total-to-total (claims pool × multiplier + stop-loss + TPA + network + broker), not claims-only.</w:t>
      </w:r>
    </w:p>
    <w:p>
      <w:pPr>
        <w:pStyle w:val="ListParagraph"/>
        <w:numPr>
          <w:ilvl w:val="0"/>
          <w:numId w:val="2"/>
        </w:numPr>
        <w:spacing w:after="30" w:before="30"/>
      </w:pPr>
      <w:r>
        <w:rPr>
          <w:rFonts w:ascii="Arial" w:cs="Arial" w:eastAsia="Arial" w:hAnsi="Arial"/>
          <w:color w:val="1F1F1F"/>
          <w:sz w:val="22"/>
          <w:szCs w:val="22"/>
        </w:rPr>
        <w:t xml:space="preserve">Distributional assumptions (event_tier_versions) are version-controlled per Data Dictionary v3.0 versioning rules.</w:t>
      </w:r>
    </w:p>
    <w:p>
      <w:pPr>
        <w:pStyle w:val="ListParagraph"/>
        <w:numPr>
          <w:ilvl w:val="0"/>
          <w:numId w:val="2"/>
        </w:numPr>
        <w:spacing w:after="30" w:before="30"/>
      </w:pPr>
      <w:r>
        <w:rPr>
          <w:rFonts w:ascii="Arial" w:cs="Arial" w:eastAsia="Arial" w:hAnsi="Arial"/>
          <w:color w:val="1F1F1F"/>
          <w:sz w:val="22"/>
          <w:szCs w:val="22"/>
        </w:rPr>
        <w:t xml:space="preserve">Re-running a saved simulation with the same seed produces identical results.</w:t>
      </w:r>
    </w:p>
    <w:p>
      <w:pPr>
        <w:pStyle w:val="ListParagraph"/>
        <w:numPr>
          <w:ilvl w:val="0"/>
          <w:numId w:val="2"/>
        </w:numPr>
        <w:spacing w:after="30" w:before="30"/>
      </w:pPr>
      <w:r>
        <w:rPr>
          <w:rFonts w:ascii="Arial" w:cs="Arial" w:eastAsia="Arial" w:hAnsi="Arial"/>
          <w:color w:val="1F1F1F"/>
          <w:sz w:val="22"/>
          <w:szCs w:val="22"/>
        </w:rPr>
        <w:t xml:space="preserve">Engine surfaces both CER and Liquidity Reduction percentage on every employer dashboard.</w:t>
      </w:r>
    </w:p>
    <w:p>
      <w:pPr>
        <w:pStyle w:val="Heading2"/>
        <w:spacing w:after="120" w:before="280"/>
      </w:pPr>
      <w:r>
        <w:rPr>
          <w:rFonts w:ascii="Arial" w:cs="Arial" w:eastAsia="Arial" w:hAnsi="Arial"/>
          <w:b/>
          <w:bCs/>
          <w:color w:val="1F1F1F"/>
          <w:sz w:val="28"/>
          <w:szCs w:val="28"/>
        </w:rPr>
        <w:t xml:space="preserve">30. Validation Tests</w:t>
      </w:r>
    </w:p>
    <w:p>
      <w:pPr>
        <w:spacing w:after="80" w:before="80"/>
        <w:jc w:val="left"/>
      </w:pPr>
      <w:r>
        <w:rPr>
          <w:rFonts w:ascii="Arial" w:cs="Arial" w:eastAsia="Arial" w:hAnsi="Arial"/>
          <w:b/>
          <w:bCs/>
          <w:i w:val="false"/>
          <w:iCs w:val="false"/>
          <w:color w:val="1F1F1F"/>
          <w:sz w:val="22"/>
          <w:szCs w:val="22"/>
        </w:rPr>
        <w:t xml:space="preserve">Each test is a regression gate. Test failures block deployment.</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Calibration test: simulator mean spend is within 2% of deterministic engine output (sanity check on first moment).</w:t>
      </w:r>
    </w:p>
    <w:p>
      <w:pPr>
        <w:pStyle w:val="ListParagraph"/>
        <w:numPr>
          <w:ilvl w:val="0"/>
          <w:numId w:val="3"/>
        </w:numPr>
        <w:spacing w:after="30" w:before="30"/>
      </w:pPr>
      <w:r>
        <w:rPr>
          <w:rFonts w:ascii="Arial" w:cs="Arial" w:eastAsia="Arial" w:hAnsi="Arial"/>
          <w:color w:val="1F1F1F"/>
          <w:sz w:val="22"/>
          <w:szCs w:val="22"/>
        </w:rPr>
        <w:t xml:space="preserve">Tail test: simulator P99 falls within published actuarial benchmarks (5 to 8x mean for 200-life population per Milliman group cost guidelines).</w:t>
      </w:r>
    </w:p>
    <w:p>
      <w:pPr>
        <w:pStyle w:val="ListParagraph"/>
        <w:numPr>
          <w:ilvl w:val="0"/>
          <w:numId w:val="3"/>
        </w:numPr>
        <w:spacing w:after="30" w:before="30"/>
      </w:pPr>
      <w:r>
        <w:rPr>
          <w:rFonts w:ascii="Arial" w:cs="Arial" w:eastAsia="Arial" w:hAnsi="Arial"/>
          <w:color w:val="1F1F1F"/>
          <w:sz w:val="22"/>
          <w:szCs w:val="22"/>
        </w:rPr>
        <w:t xml:space="preserve">Reproducibility test: same seed plus same parameters produces identical event streams across runs.</w:t>
      </w:r>
    </w:p>
    <w:p>
      <w:pPr>
        <w:pStyle w:val="ListParagraph"/>
        <w:numPr>
          <w:ilvl w:val="0"/>
          <w:numId w:val="3"/>
        </w:numPr>
        <w:spacing w:after="30" w:before="30"/>
      </w:pPr>
      <w:r>
        <w:rPr>
          <w:rFonts w:ascii="Arial" w:cs="Arial" w:eastAsia="Arial" w:hAnsi="Arial"/>
          <w:color w:val="1F1F1F"/>
          <w:sz w:val="22"/>
          <w:szCs w:val="22"/>
        </w:rPr>
        <w:t xml:space="preserve">Chronic correlation test: removing joint chronic correlation drops P95 by an expected 8 to 15% (verifies correlation logic actually fires).</w:t>
      </w:r>
    </w:p>
    <w:p>
      <w:pPr>
        <w:pStyle w:val="ListParagraph"/>
        <w:numPr>
          <w:ilvl w:val="0"/>
          <w:numId w:val="3"/>
        </w:numPr>
        <w:spacing w:after="30" w:before="30"/>
      </w:pPr>
      <w:r>
        <w:rPr>
          <w:rFonts w:ascii="Arial" w:cs="Arial" w:eastAsia="Arial" w:hAnsi="Arial"/>
          <w:color w:val="1F1F1F"/>
          <w:sz w:val="22"/>
          <w:szCs w:val="22"/>
        </w:rPr>
        <w:t xml:space="preserve">Specific stop-loss test: reducing attachment from $50K to $25K reduces P95 by an expected 25 to 40% (verifies stop-loss interaction is wired).</w:t>
      </w:r>
    </w:p>
    <w:p>
      <w:pPr>
        <w:pStyle w:val="ListParagraph"/>
        <w:numPr>
          <w:ilvl w:val="0"/>
          <w:numId w:val="3"/>
        </w:numPr>
        <w:spacing w:after="30" w:before="30"/>
      </w:pPr>
      <w:r>
        <w:rPr>
          <w:rFonts w:ascii="Arial" w:cs="Arial" w:eastAsia="Arial" w:hAnsi="Arial"/>
          <w:color w:val="1F1F1F"/>
          <w:sz w:val="22"/>
          <w:szCs w:val="22"/>
        </w:rPr>
        <w:t xml:space="preserve">Aggregate stop-loss test: enabling aggregate corridor at 1.25x with $50K specific reduces P95 by an expected additional 5 to 12% over specific-only baseline.</w:t>
      </w:r>
    </w:p>
    <w:p>
      <w:pPr>
        <w:pStyle w:val="ListParagraph"/>
        <w:numPr>
          <w:ilvl w:val="0"/>
          <w:numId w:val="3"/>
        </w:numPr>
        <w:spacing w:after="30" w:before="30"/>
      </w:pPr>
      <w:r>
        <w:rPr>
          <w:rFonts w:ascii="Arial" w:cs="Arial" w:eastAsia="Arial" w:hAnsi="Arial"/>
          <w:color w:val="1F1F1F"/>
          <w:sz w:val="22"/>
          <w:szCs w:val="22"/>
        </w:rPr>
        <w:t xml:space="preserve">Reimbursement lag test: increasing reimbursement lag from 60 to 90 days increases P95 by an expected 8 to 15% (verifies lag flows into liquidity sizing, not just net exposure).</w:t>
      </w:r>
    </w:p>
    <w:p>
      <w:pPr>
        <w:pStyle w:val="ListParagraph"/>
        <w:numPr>
          <w:ilvl w:val="0"/>
          <w:numId w:val="3"/>
        </w:numPr>
        <w:spacing w:after="30" w:before="30"/>
      </w:pPr>
      <w:r>
        <w:rPr>
          <w:rFonts w:ascii="Arial" w:cs="Arial" w:eastAsia="Arial" w:hAnsi="Arial"/>
          <w:color w:val="1F1F1F"/>
          <w:sz w:val="22"/>
          <w:szCs w:val="22"/>
        </w:rPr>
        <w:t xml:space="preserve">Replenishment test: disabling replenishment increases P95 by an expected 20 to 35% (verifies replenishment correctly offsets drawdown).</w:t>
      </w:r>
    </w:p>
    <w:p>
      <w:pPr>
        <w:pStyle w:val="ListParagraph"/>
        <w:numPr>
          <w:ilvl w:val="0"/>
          <w:numId w:val="3"/>
        </w:numPr>
        <w:spacing w:after="30" w:before="30"/>
      </w:pPr>
      <w:r>
        <w:rPr>
          <w:rFonts w:ascii="Arial" w:cs="Arial" w:eastAsia="Arial" w:hAnsi="Arial"/>
          <w:color w:val="1F1F1F"/>
          <w:sz w:val="22"/>
          <w:szCs w:val="22"/>
        </w:rPr>
        <w:t xml:space="preserve">Sequential clustering test: setting all complication_probability values to baseline (vs zero) increases P95 by an expected 6 to 10% (verifies within-member sequential clustering wires through to capital sizing).</w:t>
      </w:r>
    </w:p>
    <w:p>
      <w:pPr>
        <w:pStyle w:val="ListParagraph"/>
        <w:numPr>
          <w:ilvl w:val="0"/>
          <w:numId w:val="3"/>
        </w:numPr>
        <w:spacing w:after="30" w:before="30"/>
      </w:pPr>
      <w:r>
        <w:rPr>
          <w:rFonts w:ascii="Arial" w:cs="Arial" w:eastAsia="Arial" w:hAnsi="Arial"/>
          <w:color w:val="1F1F1F"/>
          <w:sz w:val="22"/>
          <w:szCs w:val="22"/>
        </w:rPr>
        <w:t xml:space="preserve">Small-group CI test: running a 50-life population produces visible 95% CI bounds on P95 in dashboard and report.</w:t>
      </w:r>
    </w:p>
    <w:p>
      <w:pPr>
        <w:pStyle w:val="ListParagraph"/>
        <w:numPr>
          <w:ilvl w:val="0"/>
          <w:numId w:val="3"/>
        </w:numPr>
        <w:spacing w:after="30" w:before="30"/>
      </w:pPr>
      <w:r>
        <w:rPr>
          <w:rFonts w:ascii="Arial" w:cs="Arial" w:eastAsia="Arial" w:hAnsi="Arial"/>
          <w:color w:val="1F1F1F"/>
          <w:sz w:val="22"/>
          <w:szCs w:val="22"/>
        </w:rPr>
        <w:t xml:space="preserve">Chronic ingestion test: feeding identical claims data via chronic_flag column versus ICD-10 derivation produces equivalent simulator inputs (validates the resolution priority).</w:t>
      </w:r>
    </w:p>
    <w:p>
      <w:pPr>
        <w:pStyle w:val="Heading2"/>
        <w:spacing w:after="120" w:before="280"/>
      </w:pPr>
      <w:r>
        <w:rPr>
          <w:rFonts w:ascii="Arial" w:cs="Arial" w:eastAsia="Arial" w:hAnsi="Arial"/>
          <w:b/>
          <w:bCs/>
          <w:color w:val="1F1F1F"/>
          <w:sz w:val="28"/>
          <w:szCs w:val="28"/>
        </w:rPr>
        <w:t xml:space="preserve">31.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Target</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Simulator wall time (200 lives × 10,000 runs)</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2 minutes</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Simulator wall time (50 lives × 50,000 runs)</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3 minutes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Engine aggregation</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30 seconds for 10,000-run output</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Bootstrap CI computation (1000 resamples × 5 percentiles)</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15 seconds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Cash flow timeline generation</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30 seconds</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Total time from CSV upload to capital output</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5 minutes for typical SMB employer</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Storage per simulation run (200 lives, 12 mo)</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&lt; 100 MB compressed</w:t>
            </w:r>
          </w:p>
        </w:tc>
      </w:tr>
    </w:tbl>
    <w:p>
      <w:pPr>
        <w:pStyle w:val="Heading1"/>
        <w:spacing w:after="160" w:before="360"/>
      </w:pPr>
      <w:r>
        <w:rPr>
          <w:rFonts w:ascii="Arial" w:cs="Arial" w:eastAsia="Arial" w:hAnsi="Arial"/>
          <w:b/>
          <w:bCs/>
          <w:color w:val="1F1F1F"/>
          <w:sz w:val="36"/>
          <w:szCs w:val="36"/>
        </w:rPr>
        <w:t xml:space="preserve">Part XIII · What This Document Does Not Cover</w:t>
      </w:r>
    </w:p>
    <w:p>
      <w:pPr>
        <w:spacing w:after="80" w:before="80"/>
        <w:jc w:val="left"/>
      </w:pPr>
      <w:r>
        <w:rPr>
          <w:rFonts w:ascii="Arial" w:cs="Arial" w:eastAsia="Arial" w:hAnsi="Arial"/>
          <w:b w:val="false"/>
          <w:bCs w:val="false"/>
          <w:i w:val="false"/>
          <w:iCs w:val="false"/>
          <w:color w:val="1F1F1F"/>
          <w:sz w:val="22"/>
          <w:szCs w:val="22"/>
        </w:rPr>
        <w:t xml:space="preserve">Explicit out-of-scope items for this specification:</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Stop-loss carrier integration. The engine models stop-loss interaction; it does not file claims to or read pricing from a carrier API. That is a separate Phase 2 deliverable.</w:t>
      </w:r>
    </w:p>
    <w:p>
      <w:pPr>
        <w:pStyle w:val="ListParagraph"/>
        <w:numPr>
          <w:ilvl w:val="0"/>
          <w:numId w:val="3"/>
        </w:numPr>
        <w:spacing w:after="30" w:before="30"/>
      </w:pPr>
      <w:r>
        <w:rPr>
          <w:rFonts w:ascii="Arial" w:cs="Arial" w:eastAsia="Arial" w:hAnsi="Arial"/>
          <w:color w:val="1F1F1F"/>
          <w:sz w:val="22"/>
          <w:szCs w:val="22"/>
        </w:rPr>
        <w:t xml:space="preserve">Real-time premium quotation. The simulator produces stop-loss exposure profiles suitable for MGU underwriting conversations, but it does not produce regulated insurance pricing.</w:t>
      </w:r>
    </w:p>
    <w:p>
      <w:pPr>
        <w:pStyle w:val="ListParagraph"/>
        <w:numPr>
          <w:ilvl w:val="0"/>
          <w:numId w:val="3"/>
        </w:numPr>
        <w:spacing w:after="30" w:before="30"/>
      </w:pPr>
      <w:r>
        <w:rPr>
          <w:rFonts w:ascii="Arial" w:cs="Arial" w:eastAsia="Arial" w:hAnsi="Arial"/>
          <w:color w:val="1F1F1F"/>
          <w:sz w:val="22"/>
          <w:szCs w:val="22"/>
        </w:rPr>
        <w:t xml:space="preserve">Member-level clinical risk scoring beyond the chronic flag set defined here. Full risk adjustment models (HCC, ACG) are Phase 3.</w:t>
      </w:r>
    </w:p>
    <w:p>
      <w:pPr>
        <w:pStyle w:val="ListParagraph"/>
        <w:numPr>
          <w:ilvl w:val="0"/>
          <w:numId w:val="3"/>
        </w:numPr>
        <w:spacing w:after="30" w:before="30"/>
      </w:pPr>
      <w:r>
        <w:rPr>
          <w:rFonts w:ascii="Arial" w:cs="Arial" w:eastAsia="Arial" w:hAnsi="Arial"/>
          <w:color w:val="1F1F1F"/>
          <w:sz w:val="22"/>
          <w:szCs w:val="22"/>
        </w:rPr>
        <w:t xml:space="preserve">Multi-year projection. The simulator runs a single year horizon. Multi-year forecasting with secular trend assumptions is Phase 3.</w:t>
      </w:r>
    </w:p>
    <w:p>
      <w:pPr>
        <w:pStyle w:val="ListParagraph"/>
        <w:numPr>
          <w:ilvl w:val="0"/>
          <w:numId w:val="3"/>
        </w:numPr>
        <w:spacing w:after="30" w:before="30"/>
      </w:pPr>
      <w:r>
        <w:rPr>
          <w:rFonts w:ascii="Arial" w:cs="Arial" w:eastAsia="Arial" w:hAnsi="Arial"/>
          <w:color w:val="1F1F1F"/>
          <w:sz w:val="22"/>
          <w:szCs w:val="22"/>
        </w:rPr>
        <w:t xml:space="preserve">Catastrophic event reinsurance modeling beyond standard stop-loss. Captive arrangements remain Phase 2. (Note: aggregate corridor modeling is IN MVP scope per v1.2 Section 22; it was incorrectly listed as Phase 2 in v1.1.)</w:t>
      </w:r>
    </w:p>
    <w:p>
      <w:pPr>
        <w:pBdr>
          <w:bottom w:val="single" w:color="1F1F1F" w:sz="6" w:space="4"/>
        </w:pBdr>
        <w:spacing w:after="200" w:before="80"/>
      </w:pPr>
      <w:r>
        <w:t xml:space="preserve"/>
      </w:r>
    </w:p>
    <w:p>
      <w:pPr>
        <w:spacing w:after="80" w:before="80"/>
        <w:jc w:val="left"/>
      </w:pPr>
      <w:r>
        <w:rPr>
          <w:rFonts w:ascii="Arial" w:cs="Arial" w:eastAsia="Arial" w:hAnsi="Arial"/>
          <w:b w:val="false"/>
          <w:bCs w:val="false"/>
          <w:i/>
          <w:iCs/>
          <w:color w:val="888888"/>
          <w:sz w:val="22"/>
          <w:szCs w:val="22"/>
        </w:rPr>
        <w:t xml:space="preserve">End of Liquidity &amp; Capital Modeling Specification v1.2. Build-ready. This document is companion to the Master Specification v3.3 and the Data Dictionary v3.0. Supersedes v1.0 and v1.1. The reference implementation extension covering Modules 6, 7, 9, 10, and 11 is forthcoming and will follow CTO sign-off on v1.2.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Confidential · OffPlan Holdings · v1.2 · May 2026</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1F1F"/>
        <w:sz w:val="18"/>
        <w:szCs w:val="18"/>
      </w:rPr>
      <w:t xml:space="preserve">OFFPLAN</w:t>
    </w:r>
    <w:r>
      <w:rPr>
        <w:sz w:val="18"/>
        <w:szCs w:val="18"/>
      </w:rPr>
      <w:t xml:space="preserve">    </w:t>
    </w:r>
    <w:r>
      <w:rPr>
        <w:rFonts w:ascii="Arial" w:cs="Arial" w:eastAsia="Arial" w:hAnsi="Arial"/>
        <w:color w:val="888888"/>
        <w:sz w:val="18"/>
        <w:szCs w:val="18"/>
      </w:rPr>
      <w:t xml:space="preserve">Claims Reclassification Engine · Liquidity &amp; Capital Modeling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Reclassification Engine · Liquidity &amp; Capital Modeling Specification</dc:title>
  <dc:creator>OffPlan Holdings</dc:creator>
  <dc:description>OffPlan Claims Reclassification Engine · Liquidity &amp; Capital Modeling Specification</dc:description>
  <cp:lastModifiedBy>Un-named</cp:lastModifiedBy>
  <cp:revision>1</cp:revision>
  <dcterms:created xsi:type="dcterms:W3CDTF">2026-05-02T17:04:31.525Z</dcterms:created>
  <dcterms:modified xsi:type="dcterms:W3CDTF">2026-05-02T17:04:31.525Z</dcterms:modified>
</cp:coreProperties>
</file>

<file path=docProps/custom.xml><?xml version="1.0" encoding="utf-8"?>
<Properties xmlns="http://schemas.openxmlformats.org/officeDocument/2006/custom-properties" xmlns:vt="http://schemas.openxmlformats.org/officeDocument/2006/docPropsVTypes"/>
</file>