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</w:pPr>
      <w:r>
        <w:rPr>
          <w:rFonts w:ascii="Arial" w:cs="Arial" w:eastAsia="Arial" w:hAnsi="Arial"/>
          <w:color w:val="999999"/>
          <w:spacing w:val="20"/>
          <w:sz w:val="14"/>
          <w:szCs w:val="14"/>
        </w:rPr>
        <w:t xml:space="preserve">PART OF OFFPLAN CLAIMS RECLASSIFICATION ENGINE · BUILD PACKAGE v1.0</w:t>
      </w:r>
    </w:p>
    <w:p>
      <w:pP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DELTA DOCUMENT · v3.2/v1.1 → v3.3/v1.2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1F1F"/>
          <w:sz w:val="56"/>
          <w:szCs w:val="56"/>
        </w:rPr>
        <w:t xml:space="preserve">What Changed (Audit Fix Pass)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Reference for Pepper. Lists every change from Master Spec v3.2 / Liquidity Spec v1.1 to the build-ready v3.3 / v1.2 set. These changes resolve implementation defects identified in the failure-mode audit. No new modeling, no architecture change.</w:t>
      </w:r>
    </w:p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OffPlan Claims Reclassification Engine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Version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 Package v1.0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Build-ready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Delta Document (audit fix pass)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Compares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Master Spec v3.2 + Liquidity Spec v1.1 → Master Spec v3.3 + Liquidity Spec v1.2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Omar Fernandez, CEO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CTO and engineering vendor — anyone who has already read v3.2 / v1.1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Confidential · Internal Use Only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v3.3 / v1.2 closes the four critical defects, two real modeling gaps, and five minor defects identified in the v3.2 / v1.1 failure-mode audit. The result is a build-ready spec set: every place where an engineer could make the wrong assumption has been eliminated.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Six categories of change: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Terminology lockdown (new Part 0 in Liquidity Spec). Resolves the v1.1 'gross outflow' ambiguity used with two distinct meanings.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Stop-loss exposure rule rewrite. Section 21.3 now states liquidity must size against full Pre-Reimbursement Outflow during the lag period, not against post-attachment net exposure.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Aggregate stop-loss in MVP scope. Resolves the v1.1 contradiction (Section 22 said 'in scope', out-of-scope section said 'Phase 2'). Aggregate is now in MVP.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Deterministic funding formula deprecated. Master Spec Section 6.6 explicitly retires recommended_funding_pepm = residual_pepm × risk_margin.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Chronic flag ingestion path. CSV Template 1 v2.1 adds chronic_flag and chronic_conditions columns. Liquidity Spec Section 16.5 specifies the resolution priority and ICD-10 mapping.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Six minor textual fixes (12 × P95 misuse, side-by-side example arithmetic, reserve cap behavior, LOC defaults, Mode 3 disclaimer, Data Dictionary version reference).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 · Critical Defects Closed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1. Defect: Terminology — 'Gross' Used With Two Meanings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Section 9.1 said 'Liquidity is computed against net drawdown, not gross outflow' (gross of replenishment). Acceptance Criteria line 540 said 'Liquidity is sized against gross outflow during stop-loss reimbursement lag' (gross of stop-loss reimbursement). Two different things both called 'gross.'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Locked five-term taxonomy in Liquidity Spec Part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GROSS EVENT COST       cost before indemnity offset and stop-loss reimbursement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GROSS CASH OUTFLOW     actual payment to provider at time of 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PRE-REIMBURSEMENT      Gross Cash Outflow before stop-loss reimbursement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OUTFLOW                received (governs liquidity sizing during lag)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NET EVENT COST         after indemnity AND stop-loss reimbursement received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(used for run-rate, NOT liquidity sizing)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NET DRAWDOWN           Pre-Reimbursement Outflow within window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− replenishment in window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− reimbursements ACTUALLY received in window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Application rules: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Stop-loss reimbursement lag affects Pre-Reimbursement Outflow.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Replenishment affects Net Drawdown.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word 'gross' alone is no longer used in any normative passage.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2. Defect: Stop-Loss Pre-Attachment Exposure Was Wrong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Section 15.3: 'the employer is on the hook for the first $50K of that event.' That contradicted the locked rule: the employer must hold liquidity for the FULL $100K through the reimbursement lag because they pay the provider $100K up front and only get reimbursed $50K after 60-90 days.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Section 21.3 rewritten in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If a member generates a $100K event and specific attachment is $50K: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1.  At time of service, employer pays provider $100K (Gross Cash Outflow)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2.  Employer files stop-loss claim for $50K above attachment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3.  Stop-loss carrier reimburses $50K after 60 to 90 days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4.  During the reimbursement lag, employer must have sufficient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liquidity to cover the FULL $100K outflow.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Liquidity sizing is based on Pre-Reimbursement Outflow during the lag,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NOT post-attachment net exposure.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Non-negotiable. An engineer who sizes against post-attachment exposure produces reserves that are systematically too small. The error is invisible in normal-month testing and only surfaces under tail conditions.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3. Defect: Deterministic Funding Formula Coexisted With Min Required Liquidity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v3.2 Master Spec Section 6.6 still defined recommended_funding_pepm = residual_pepm × risk_margin and put it in the OffPlan stack PEPM. The v3.0 deterministic flat-margin formula coexisted with the new stochastic Min Required Liquidity. Engineer had no rule to choose.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Master Spec Section 6.6 explicitly deprecates with DEPRECATED/ACTIVE callout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DEPRECATED (v3.0/v3.1):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recommended_funding_pepm = residual_pepm × scenario.risk_margin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total_offplan_pepm = ... + recommended_funding_pepm +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ACTIVE (v3.3+):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No flat funding margin is applied.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Capital requirement = Min Required Liquidity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 = P95 of max rolling 30-day Net Drawdown per run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 (per Liquidity Spec v1.2 §9.1)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The DEPRECATED/ACTIVE callout is preserved deliberately to prevent regression. Anyone reading Section 6 sees the formula is gone, not silently absent.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4. Defect: Aggregate Stop-Loss Was Both In and Out of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Section 22 said the simulator handles aggregate stop-loss. Out-of-scope section said it's Phase 2. Direct contradiction.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Aggregate stop-loss is in MVP per v1.2 Section 22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Section 22 expanded with three subsections: mechanics, implementation, configuration parameters.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Default disabled for groups under 250 lives, configurable per scenario.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Aggregate reimbursements modeled with same lag distribution as specific.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Out-of-scope section updated: aggregate corridor REMOVED from Phase 2 list.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New acceptance test: aggregate corridor at 1.25x with $50K specific reduces P95 by 5 to 12% over specific-only baseline.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Rationale: most level-funded plans include aggregate corridors. The Equivalent Level-Funded Total Cost comparison loses credibility if OffPlan models specific only.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II · Modeling Gaps Closed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5. Gap: Chronic Flag Had No Ingestion Path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simulator depended on chronic flags driving joint multipliers across tiers, but CSV templates had no chronic columns and no specification of how to derive chronic status from ICD-10.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Three-path resolution in Liquidity Spec §16.5 and CSV Template v2.1 §3.6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Path 1: chronic_flag column (boolean) — authoritative if non-null.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Path 2: chronic_conditions column (string) — derived chronic_flag = true if non-empty.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Path 3: ICD-10 derivation per locked mapping (E10-E13 = diabetes, I50.x = CHF, J44.x = COPD, N18.3+ = CKD, C00-C97 = oncology).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Resolution priority is enforced per claim, then rolled up to per member. v2.0 files (without chronic columns) remain backward-compatible — engine uses Path 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6. Gap: Mode 3 Chronic Concentration Was Underspecified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said 'the synthesizer must apply appropriate concentration assumptions' for Mode 3 but never defined 'appropriate.'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Defer to Phase 2 with explicit limitation disclosed in v1.2 Section 16.5.4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Mode 3 does NOT model chronic concentration variance in v1.2.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Simulator uses average prevalence assumptions for the matched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benchmark profile but does not vary that prevalence across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simulation runs.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Mode 3 outputs interpreted as population-average estimates,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not concentration-sensitive projections.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Mode 3 reports must carry the disclaimer in Section 16.5.4.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Acceptable because Mode 3 is illustrative, not underwriting-grade. Customers needing concentration-sensitive analysis must use Mode 1 or Mode 2 with chronic_prevalence_pct specified.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III · Minor Defects Closed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7. Section 25 Annual Reconciliation: '12 × P95' Was Mathematically Meaningless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Fix: rephrased as 'Annual variable spend ≈ 12 × Mean Monthly Outflow. Min Required Liquidity represents capacity for a single adverse rolling 30-day window, not annual spend.'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8. Section 27 Side-by-Side Example: Arithmetic Did Not Tie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example showed Equivalent Level-Funded Total Cost = $300 PEPM but components summed to $635 PEPM. CER claimed 2.6x but components implied 5.5x.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rebuilt example with internally-consistent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Equivalent Level-Funded Total Cost (capital):  $375 PEPM equivalent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Minimum Required Liquidity:                     $115 PEPM equivalent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Capital Efficiency Ratio (CER):                 3.26x  ($375 / $115)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Liquidity Reduction:                            69.3%   (1 − 1/3.26)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Verification: CER × (1 − Liquidity Reduction) = 1.000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v1.2 Section 27 also separates 'cost components' (run-rate, comparable on each side) from 'capital required to operate' (where the OffPlan thesis lives). Two-table structure prevents CFOs from confusing run-rate with capital.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9. Reserve Cap Behavior in Low-Event Months Was Unspecified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New Section 24.1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Reserve_balance(t) = min(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Reserve_balance(t-1) + replenishment(t) − outflows(t)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                     + reimbursements(t),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Minimum Required Liquidity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Surplus replenishment treated as 'not credited':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4"/>
                <w:szCs w:val="14"/>
              </w:rPr>
              <w:t xml:space="preserve">    employer may defer to next cycle OR redirect to operating uses.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10. LOC Cost-of-Capital Defaults Were Missing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Fix: New Section 24.2 with locked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LOC commitment fee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0.25% on undrawn, annual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0.20% – 0.50%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LOC utilization rate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6% APR on drawn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5% – 8%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Reserve opportunity cost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5% APR (treasury equiv)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3% – 6%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All admin-configurable per the standard versioning workflow.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11. Data Dictionary Version Reference Mismatch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v1.1 referenced 'Data Dictionary v3.0 (forthcoming)' three times. Master Spec v3.2 listed v2.0. Actual file was v2.0.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Fix: Data Dictionary v3.0 produced and shipped. Master Spec v3.3 and Liquidity Spec v1.2 reference v3.0 consistently.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IV · New Acceptance Tests in v1.2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Three new regression gates added beyond v1.1 baseline: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Aggregate stop-loss test: enabling aggregate corridor at 1.25x with $50K specific reduces P95 by an expected additional 5 to 12%.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Reimbursement lag test: increasing lag from 60 to 90 days increases P95 by an expected 8 to 15%. Verifies lag flows into liquidity sizing per the locked rule.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Chronic ingestion test: feeding identical claims via chronic_flag column versus ICD-10 derivation produces equivalent simulator inputs.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All three are blocking regression gates. Test failures block deployment.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V · What Did NOT Change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Re-reading not required for these: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Two-block output structure (Executive Summary + Liquidity Profile) and the five locked formulas (Min Required Liquidity, Mean Monthly Outflow, LCR, SCR, CER, Liquidity Reduction).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Statistical definitions: Mean is pooled; percentiles are per-run-max.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Replenishment model: monthly fixed, 1st of month.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Within-member sequential clustering parameters.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Run-count scaling for small groups (10K / 25K / 50K).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Bootstrap CI reporting and 5% standard-error gate.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Heavy-tail mixture for inpatient tiers.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Member-level stop-loss aggregation.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Multi-tenant architecture and PHI security controls.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Three cash strategies and three input modes.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VI · Reading Time Estimates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you have already read v3.2 / v1.1: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1800"/>
        <w:gridCol w:w="3920"/>
      </w:tblGrid>
      <w:tr>
        <w:trPr>
          <w:tblHeader/>
        </w:trP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Read this Delta Document only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30 min</w:t>
            </w:r>
          </w:p>
        </w:tc>
        <w:tc>
          <w:tcPr>
            <w:tcW w:type="dxa" w:w="3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understanding of v3.3 / v1.2 changes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Delta + Liquidity Spec Part 0 only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45 min</w:t>
            </w:r>
          </w:p>
        </w:tc>
        <w:tc>
          <w:tcPr>
            <w:tcW w:type="dxa" w:w="3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plus the locked terminology in your head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Delta + full Liquidity Spec re-read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120 min</w:t>
            </w:r>
          </w:p>
        </w:tc>
        <w:tc>
          <w:tcPr>
            <w:tcW w:type="dxa" w:w="3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Complete coverage; recommended before vendor scoping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Full re-read of Master + Liquidity Specs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180 min</w:t>
            </w:r>
          </w:p>
        </w:tc>
        <w:tc>
          <w:tcPr>
            <w:tcW w:type="dxa" w:w="3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Comprehensive; recommended for actuarial reviewers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Recommended for time-constrained CTO: this Delta + Liquidity Spec Part 0. ~45 minutes total. Part 0 terminology is the foundation everything else rests 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VII ·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4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v3.3 / v1.2 status: BUILD-READY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Two failure-mode audits completed: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v1.0 → v1.1: closed conceptual gaps (avg vs distribution,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              static vs replenishment, single-tier clustering,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              small-group CI)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v1.1 → v1.2: closed implementation defects (terminology,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              stop-loss exposure, aggregate scope, chronic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                 ingestion, deterministic formula deprecation)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Every place an engineer could make the wrong assumption has been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eliminated. The reference implementation extension covering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4"/>
                <w:szCs w:val="14"/>
              </w:rPr>
              <w:t xml:space="preserve">Modules 6, 7, 9, 10, 11 can begin upon Pepper sign-off on v3.3 / v1.2.</w:t>
            </w:r>
          </w:p>
        </w:tc>
      </w:tr>
    </w:tbl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End of Delta Document v3.3 / v1.2. Companion documents: Master Specification v3.3, Liquidity &amp; Capital Modeling Specification v1.2, Cover Memo v1.2.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· OffPlan Holdings · v3.2/v1.1 → v3.3/v1.2 · May 2026</w:t>
    </w:r>
    <w:r>
      <w:rPr>
        <w:rFonts w:ascii="Arial" w:cs="Arial" w:eastAsia="Arial" w:hAnsi="Arial"/>
        <w:color w:val="888888"/>
        <w:sz w:val="16"/>
        <w:szCs w:val="16"/>
      </w:rPr>
      <w:t xml:space="preserve">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1F1F1F"/>
        <w:sz w:val="18"/>
        <w:szCs w:val="18"/>
      </w:rPr>
      <w:t xml:space="preserve">OFFPLAN</w:t>
    </w:r>
    <w:r>
      <w:rPr>
        <w:sz w:val="18"/>
        <w:szCs w:val="18"/>
      </w:rPr>
      <w:t xml:space="preserve">    </w:t>
    </w:r>
    <w:r>
      <w:rPr>
        <w:rFonts w:ascii="Arial" w:cs="Arial" w:eastAsia="Arial" w:hAnsi="Arial"/>
        <w:color w:val="888888"/>
        <w:sz w:val="18"/>
        <w:szCs w:val="18"/>
      </w:rPr>
      <w:t xml:space="preserve">Claims Reclassification Engine · Delta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Reclassification Engine · Delta Document</dc:title>
  <dc:creator>OffPlan Holdings</dc:creator>
  <dc:description>OffPlan Claims Reclassification Engine · Delta Document</dc:description>
  <cp:lastModifiedBy>Un-named</cp:lastModifiedBy>
  <cp:revision>1</cp:revision>
  <dcterms:created xsi:type="dcterms:W3CDTF">2026-05-02T17:04:33.608Z</dcterms:created>
  <dcterms:modified xsi:type="dcterms:W3CDTF">2026-05-02T17:04:33.608Z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