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微软雅黑" w:hAnsi="微软雅黑" w:eastAsia="微软雅黑"/>
          <w:b/>
          <w:color w:val="2F5496"/>
          <w:sz w:val="32"/>
        </w:rPr>
        <w:t>《JAVA框架技术(一)》课程项目设计评分表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color w:val="595959"/>
          <w:sz w:val="21"/>
        </w:rPr>
        <w:t>基于实验二 SSM 整合升级 · 企业级 CMS 内容管理系统 · 总分 20 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rPr>
          <w:trHeight w:val="510" w:hRule="atLeast"/>
        </w:trPr>
        <w:tc>
          <w:tcPr>
            <w:tcW w:type="dxa" w:w="850"/>
            <w:vAlign w:val="center"/>
            <w:shd w:val="clear" w:fill="DEEAF6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班级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850"/>
            <w:vAlign w:val="center"/>
            <w:shd w:val="clear" w:fill="DEEAF6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学号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850"/>
            <w:vAlign w:val="center"/>
            <w:shd w:val="clear" w:fill="DEEAF6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姓名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928"/>
            <w:vAlign w:val="center"/>
            <w:shd w:val="clear" w:fill="DEEAF6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形式（独立/小组）</w:t>
            </w:r>
          </w:p>
        </w:tc>
        <w:tc>
          <w:tcPr>
            <w:tcW w:type="dxa" w:w="164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041"/>
        <w:gridCol w:w="2041"/>
        <w:gridCol w:w="2041"/>
        <w:gridCol w:w="2041"/>
        <w:gridCol w:w="2041"/>
      </w:tblGrid>
      <w:tr>
        <w:trPr>
          <w:trHeight w:val="510" w:hRule="atLeast"/>
        </w:trPr>
        <w:tc>
          <w:tcPr>
            <w:tcW w:type="dxa" w:w="1531"/>
            <w:vAlign w:val="center"/>
            <w:shd w:val="clear" w:fill="2F5496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考核维度</w:t>
            </w:r>
          </w:p>
        </w:tc>
        <w:tc>
          <w:tcPr>
            <w:tcW w:type="dxa" w:w="1417"/>
            <w:vAlign w:val="center"/>
            <w:shd w:val="clear" w:fill="2F5496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考核点</w:t>
            </w:r>
          </w:p>
        </w:tc>
        <w:tc>
          <w:tcPr>
            <w:tcW w:type="dxa" w:w="7143"/>
            <w:vAlign w:val="center"/>
            <w:shd w:val="clear" w:fill="2F5496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评分标准与要求</w:t>
            </w:r>
          </w:p>
        </w:tc>
        <w:tc>
          <w:tcPr>
            <w:tcW w:type="dxa" w:w="850"/>
            <w:vAlign w:val="center"/>
            <w:shd w:val="clear" w:fill="2F5496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分值</w:t>
            </w:r>
          </w:p>
        </w:tc>
        <w:tc>
          <w:tcPr>
            <w:tcW w:type="dxa" w:w="964"/>
            <w:vAlign w:val="center"/>
            <w:shd w:val="clear" w:fill="2F5496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得分</w:t>
            </w:r>
          </w:p>
        </w:tc>
      </w:tr>
      <w:tr>
        <w:trPr>
          <w:trHeight w:val="539" w:hRule="atLeast"/>
        </w:trPr>
        <w:tc>
          <w:tcPr>
            <w:tcW w:type="dxa" w:w="1531"/>
            <w:vMerge w:val="restart"/>
            <w:vAlign w:val="center"/>
            <w:shd w:val="clear" w:fill="DEEAF6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2F5496"/>
                <w:sz w:val="19"/>
              </w:rPr>
              <w:t>一、项目架构与</w:t>
            </w:r>
            <w:r>
              <w:rPr>
                <w:rFonts w:ascii="微软雅黑" w:hAnsi="微软雅黑" w:eastAsia="微软雅黑"/>
                <w:b/>
                <w:color w:val="2F5496"/>
                <w:sz w:val="19"/>
              </w:rPr>
              <w:br/>
              <w:t>数据库设计</w:t>
            </w:r>
            <w:r>
              <w:rPr>
                <w:rFonts w:ascii="微软雅黑" w:hAnsi="微软雅黑" w:eastAsia="微软雅黑"/>
                <w:b/>
                <w:color w:val="2F5496"/>
                <w:sz w:val="19"/>
              </w:rPr>
              <w:br/>
              <w:t>（4分）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/>
                <w:sz w:val="19"/>
              </w:rPr>
              <w:t>需求分析文档</w:t>
            </w:r>
          </w:p>
        </w:tc>
        <w:tc>
          <w:tcPr>
            <w:tcW w:type="dxa" w:w="7143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独立撰写需求分析，界定 CMS 核心业务场景（文章发布、分类、审核、用户管理、权限管控、数据检索、日志记录）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  <w:tr>
        <w:trPr>
          <w:trHeight w:val="539" w:hRule="atLeast"/>
        </w:trPr>
        <w:tc>
          <w:tcPr>
            <w:tcW w:type="dxa" w:w="1531"/>
            <w:vMerge/>
            <w:shd w:val="clear" w:fill="F2F6FC"/>
          </w:tcPr>
          <w:p/>
        </w:tc>
        <w:tc>
          <w:tcPr>
            <w:tcW w:type="dxa" w:w="1417"/>
            <w:vAlign w:val="center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/>
                <w:sz w:val="19"/>
              </w:rPr>
              <w:t>数据库架构设计</w:t>
            </w:r>
          </w:p>
        </w:tc>
        <w:tc>
          <w:tcPr>
            <w:tcW w:type="dxa" w:w="7143"/>
            <w:vAlign w:val="center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用户/角色/权限/文章/分类/日志六表关联设计；主键、外键、索引及字段约束规范；杜绝单表开发</w:t>
            </w:r>
          </w:p>
        </w:tc>
        <w:tc>
          <w:tcPr>
            <w:tcW w:type="dxa" w:w="850"/>
            <w:vAlign w:val="center"/>
            <w:shd w:val="clear" w:fill="F2F6FC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1.5</w:t>
            </w:r>
          </w:p>
        </w:tc>
        <w:tc>
          <w:tcPr>
            <w:tcW w:type="dxa" w:w="964"/>
            <w:vAlign w:val="center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  <w:tr>
        <w:trPr>
          <w:trHeight w:val="539" w:hRule="atLeast"/>
        </w:trPr>
        <w:tc>
          <w:tcPr>
            <w:tcW w:type="dxa" w:w="1531"/>
            <w:vMerge/>
          </w:tcPr>
          <w:p/>
        </w:tc>
        <w:tc>
          <w:tcPr>
            <w:tcW w:type="dxa" w:w="141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/>
                <w:sz w:val="19"/>
              </w:rPr>
              <w:t>设计图绘制</w:t>
            </w:r>
          </w:p>
        </w:tc>
        <w:tc>
          <w:tcPr>
            <w:tcW w:type="dxa" w:w="7143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项目架构图、数据库 E-R 图、业务流程图齐全规范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  <w:tr>
        <w:trPr>
          <w:trHeight w:val="539" w:hRule="atLeast"/>
        </w:trPr>
        <w:tc>
          <w:tcPr>
            <w:tcW w:type="dxa" w:w="1531"/>
            <w:vMerge/>
            <w:shd w:val="clear" w:fill="F2F6FC"/>
          </w:tcPr>
          <w:p/>
        </w:tc>
        <w:tc>
          <w:tcPr>
            <w:tcW w:type="dxa" w:w="1417"/>
            <w:vAlign w:val="center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/>
                <w:sz w:val="19"/>
              </w:rPr>
              <w:t>工程结构</w:t>
            </w:r>
          </w:p>
        </w:tc>
        <w:tc>
          <w:tcPr>
            <w:tcW w:type="dxa" w:w="7143"/>
            <w:vAlign w:val="center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标准化的企业级项目目录分层结构</w:t>
            </w:r>
          </w:p>
        </w:tc>
        <w:tc>
          <w:tcPr>
            <w:tcW w:type="dxa" w:w="850"/>
            <w:vAlign w:val="center"/>
            <w:shd w:val="clear" w:fill="F2F6FC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0.5</w:t>
            </w:r>
          </w:p>
        </w:tc>
        <w:tc>
          <w:tcPr>
            <w:tcW w:type="dxa" w:w="964"/>
            <w:vAlign w:val="center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  <w:tr>
        <w:trPr>
          <w:trHeight w:val="539" w:hRule="atLeast"/>
        </w:trPr>
        <w:tc>
          <w:tcPr>
            <w:tcW w:type="dxa" w:w="1531"/>
            <w:vMerge w:val="restart"/>
            <w:vAlign w:val="center"/>
            <w:shd w:val="clear" w:fill="DEEAF6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2F5496"/>
                <w:sz w:val="19"/>
              </w:rPr>
              <w:t>二、基础核心功能</w:t>
            </w:r>
            <w:r>
              <w:rPr>
                <w:rFonts w:ascii="微软雅黑" w:hAnsi="微软雅黑" w:eastAsia="微软雅黑"/>
                <w:b/>
                <w:color w:val="2F5496"/>
                <w:sz w:val="19"/>
              </w:rPr>
              <w:br/>
              <w:t>（基础必做）</w:t>
            </w:r>
            <w:r>
              <w:rPr>
                <w:rFonts w:ascii="微软雅黑" w:hAnsi="微软雅黑" w:eastAsia="微软雅黑"/>
                <w:b/>
                <w:color w:val="2F5496"/>
                <w:sz w:val="19"/>
              </w:rPr>
              <w:br/>
              <w:t>（6分）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/>
                <w:sz w:val="19"/>
              </w:rPr>
              <w:t>用户权限管理</w:t>
            </w:r>
          </w:p>
        </w:tc>
        <w:tc>
          <w:tcPr>
            <w:tcW w:type="dxa" w:w="7143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注册、登录、退出、角色分配及细粒度权限拦截；基于 Spring AOP 实现接口权限校验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2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  <w:tr>
        <w:trPr>
          <w:trHeight w:val="539" w:hRule="atLeast"/>
        </w:trPr>
        <w:tc>
          <w:tcPr>
            <w:tcW w:type="dxa" w:w="1531"/>
            <w:vMerge/>
            <w:shd w:val="clear" w:fill="F2F6FC"/>
          </w:tcPr>
          <w:p/>
        </w:tc>
        <w:tc>
          <w:tcPr>
            <w:tcW w:type="dxa" w:w="1417"/>
            <w:vAlign w:val="center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/>
                <w:sz w:val="19"/>
              </w:rPr>
              <w:t>内容分类管理</w:t>
            </w:r>
          </w:p>
        </w:tc>
        <w:tc>
          <w:tcPr>
            <w:tcW w:type="dxa" w:w="7143"/>
            <w:vAlign w:val="center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多级分类新增、编辑、排序、删除及状态启停；分类与内容关联绑定</w:t>
            </w:r>
          </w:p>
        </w:tc>
        <w:tc>
          <w:tcPr>
            <w:tcW w:type="dxa" w:w="850"/>
            <w:vAlign w:val="center"/>
            <w:shd w:val="clear" w:fill="F2F6FC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1.5</w:t>
            </w:r>
          </w:p>
        </w:tc>
        <w:tc>
          <w:tcPr>
            <w:tcW w:type="dxa" w:w="964"/>
            <w:vAlign w:val="center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  <w:tr>
        <w:trPr>
          <w:trHeight w:val="539" w:hRule="atLeast"/>
        </w:trPr>
        <w:tc>
          <w:tcPr>
            <w:tcW w:type="dxa" w:w="1531"/>
            <w:vMerge/>
          </w:tcPr>
          <w:p/>
        </w:tc>
        <w:tc>
          <w:tcPr>
            <w:tcW w:type="dxa" w:w="141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/>
                <w:sz w:val="19"/>
              </w:rPr>
              <w:t>文章内容管理</w:t>
            </w:r>
          </w:p>
        </w:tc>
        <w:tc>
          <w:tcPr>
            <w:tcW w:type="dxa" w:w="7143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新增、编辑、批量发布、下架、删除、分页查询、多条件模糊检索；内容状态审核流程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1.5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  <w:tr>
        <w:trPr>
          <w:trHeight w:val="539" w:hRule="atLeast"/>
        </w:trPr>
        <w:tc>
          <w:tcPr>
            <w:tcW w:type="dxa" w:w="1531"/>
            <w:vMerge/>
            <w:shd w:val="clear" w:fill="F2F6FC"/>
          </w:tcPr>
          <w:p/>
        </w:tc>
        <w:tc>
          <w:tcPr>
            <w:tcW w:type="dxa" w:w="1417"/>
            <w:vAlign w:val="center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/>
                <w:sz w:val="19"/>
              </w:rPr>
              <w:t>系统基础运维</w:t>
            </w:r>
          </w:p>
        </w:tc>
        <w:tc>
          <w:tcPr>
            <w:tcW w:type="dxa" w:w="7143"/>
            <w:vAlign w:val="center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操作日志记录、数据安全防护、异常统一处理、请求参数校验</w:t>
            </w:r>
          </w:p>
        </w:tc>
        <w:tc>
          <w:tcPr>
            <w:tcW w:type="dxa" w:w="850"/>
            <w:vAlign w:val="center"/>
            <w:shd w:val="clear" w:fill="F2F6FC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1</w:t>
            </w:r>
          </w:p>
        </w:tc>
        <w:tc>
          <w:tcPr>
            <w:tcW w:type="dxa" w:w="964"/>
            <w:vAlign w:val="center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  <w:tr>
        <w:trPr>
          <w:trHeight w:val="539" w:hRule="atLeast"/>
        </w:trPr>
        <w:tc>
          <w:tcPr>
            <w:tcW w:type="dxa" w:w="1531"/>
            <w:vMerge w:val="restart"/>
            <w:vAlign w:val="center"/>
            <w:shd w:val="clear" w:fill="DEEAF6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2F5496"/>
                <w:sz w:val="19"/>
              </w:rPr>
              <w:t>三、进阶拓展功能</w:t>
            </w:r>
            <w:r>
              <w:rPr>
                <w:rFonts w:ascii="微软雅黑" w:hAnsi="微软雅黑" w:eastAsia="微软雅黑"/>
                <w:b/>
                <w:color w:val="2F5496"/>
                <w:sz w:val="19"/>
              </w:rPr>
              <w:br/>
              <w:t>（增量拔高）</w:t>
            </w:r>
            <w:r>
              <w:rPr>
                <w:rFonts w:ascii="微软雅黑" w:hAnsi="微软雅黑" w:eastAsia="微软雅黑"/>
                <w:b/>
                <w:color w:val="2F5496"/>
                <w:sz w:val="19"/>
              </w:rPr>
              <w:br/>
              <w:t>（4分）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/>
                <w:sz w:val="19"/>
              </w:rPr>
              <w:t>高级数据处理</w:t>
            </w:r>
          </w:p>
        </w:tc>
        <w:tc>
          <w:tcPr>
            <w:tcW w:type="dxa" w:w="7143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分页高级查询、多维排序筛选、批量处理、逻辑删除、数据自动填充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  <w:tr>
        <w:trPr>
          <w:trHeight w:val="539" w:hRule="atLeast"/>
        </w:trPr>
        <w:tc>
          <w:tcPr>
            <w:tcW w:type="dxa" w:w="1531"/>
            <w:vMerge/>
            <w:shd w:val="clear" w:fill="F2F6FC"/>
          </w:tcPr>
          <w:p/>
        </w:tc>
        <w:tc>
          <w:tcPr>
            <w:tcW w:type="dxa" w:w="1417"/>
            <w:vAlign w:val="center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/>
                <w:sz w:val="19"/>
              </w:rPr>
              <w:t>MP 高级特性</w:t>
            </w:r>
          </w:p>
        </w:tc>
        <w:tc>
          <w:tcPr>
            <w:tcW w:type="dxa" w:w="7143"/>
            <w:vAlign w:val="center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深度整合 MyBatis-Plus 高级特性，构建高效数据持久层</w:t>
            </w:r>
          </w:p>
        </w:tc>
        <w:tc>
          <w:tcPr>
            <w:tcW w:type="dxa" w:w="850"/>
            <w:vAlign w:val="center"/>
            <w:shd w:val="clear" w:fill="F2F6FC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1</w:t>
            </w:r>
          </w:p>
        </w:tc>
        <w:tc>
          <w:tcPr>
            <w:tcW w:type="dxa" w:w="964"/>
            <w:vAlign w:val="center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  <w:tr>
        <w:trPr>
          <w:trHeight w:val="539" w:hRule="atLeast"/>
        </w:trPr>
        <w:tc>
          <w:tcPr>
            <w:tcW w:type="dxa" w:w="1531"/>
            <w:vMerge/>
          </w:tcPr>
          <w:p/>
        </w:tc>
        <w:tc>
          <w:tcPr>
            <w:tcW w:type="dxa" w:w="141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/>
                <w:sz w:val="19"/>
              </w:rPr>
              <w:t>SQL 专项优化</w:t>
            </w:r>
          </w:p>
        </w:tc>
        <w:tc>
          <w:tcPr>
            <w:tcW w:type="dxa" w:w="7143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解决 N+1 查询性能瓶颈，完成基础性能调优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  <w:tr>
        <w:trPr>
          <w:trHeight w:val="539" w:hRule="atLeast"/>
        </w:trPr>
        <w:tc>
          <w:tcPr>
            <w:tcW w:type="dxa" w:w="1531"/>
            <w:vMerge/>
            <w:shd w:val="clear" w:fill="F2F6FC"/>
          </w:tcPr>
          <w:p/>
        </w:tc>
        <w:tc>
          <w:tcPr>
            <w:tcW w:type="dxa" w:w="1417"/>
            <w:vAlign w:val="center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/>
                <w:sz w:val="19"/>
              </w:rPr>
              <w:t>RESTful 与联调</w:t>
            </w:r>
          </w:p>
        </w:tc>
        <w:tc>
          <w:tcPr>
            <w:tcW w:type="dxa" w:w="7143"/>
            <w:vAlign w:val="center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RESTful 接口、统一返回结构/状态码/提示信息；支持 ApiFox 完整联调测试</w:t>
            </w:r>
          </w:p>
        </w:tc>
        <w:tc>
          <w:tcPr>
            <w:tcW w:type="dxa" w:w="850"/>
            <w:vAlign w:val="center"/>
            <w:shd w:val="clear" w:fill="F2F6FC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1</w:t>
            </w:r>
          </w:p>
        </w:tc>
        <w:tc>
          <w:tcPr>
            <w:tcW w:type="dxa" w:w="964"/>
            <w:vAlign w:val="center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  <w:tr>
        <w:trPr>
          <w:trHeight w:val="539" w:hRule="atLeast"/>
        </w:trPr>
        <w:tc>
          <w:tcPr>
            <w:tcW w:type="dxa" w:w="1531"/>
            <w:vMerge w:val="restart"/>
            <w:vAlign w:val="center"/>
            <w:shd w:val="clear" w:fill="DEEAF6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2F5496"/>
                <w:sz w:val="19"/>
              </w:rPr>
              <w:t>四、代码规范与</w:t>
            </w:r>
            <w:r>
              <w:rPr>
                <w:rFonts w:ascii="微软雅黑" w:hAnsi="微软雅黑" w:eastAsia="微软雅黑"/>
                <w:b/>
                <w:color w:val="2F5496"/>
                <w:sz w:val="19"/>
              </w:rPr>
              <w:br/>
              <w:t>工程化质量</w:t>
            </w:r>
            <w:r>
              <w:rPr>
                <w:rFonts w:ascii="微软雅黑" w:hAnsi="微软雅黑" w:eastAsia="微软雅黑"/>
                <w:b/>
                <w:color w:val="2F5496"/>
                <w:sz w:val="19"/>
              </w:rPr>
              <w:br/>
              <w:t>（3分）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/>
                <w:sz w:val="19"/>
              </w:rPr>
              <w:t>编码规范</w:t>
            </w:r>
          </w:p>
        </w:tc>
        <w:tc>
          <w:tcPr>
            <w:tcW w:type="dxa" w:w="7143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命名规范、注释完整、代码可读性好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  <w:tr>
        <w:trPr>
          <w:trHeight w:val="539" w:hRule="atLeast"/>
        </w:trPr>
        <w:tc>
          <w:tcPr>
            <w:tcW w:type="dxa" w:w="1531"/>
            <w:vMerge/>
            <w:shd w:val="clear" w:fill="F2F6FC"/>
          </w:tcPr>
          <w:p/>
        </w:tc>
        <w:tc>
          <w:tcPr>
            <w:tcW w:type="dxa" w:w="1417"/>
            <w:vAlign w:val="center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/>
                <w:sz w:val="19"/>
              </w:rPr>
              <w:t>工程化质量</w:t>
            </w:r>
          </w:p>
        </w:tc>
        <w:tc>
          <w:tcPr>
            <w:tcW w:type="dxa" w:w="7143"/>
            <w:vAlign w:val="center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分层清晰、职责单一、无严重冗余代码</w:t>
            </w:r>
          </w:p>
        </w:tc>
        <w:tc>
          <w:tcPr>
            <w:tcW w:type="dxa" w:w="850"/>
            <w:vAlign w:val="center"/>
            <w:shd w:val="clear" w:fill="F2F6FC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1</w:t>
            </w:r>
          </w:p>
        </w:tc>
        <w:tc>
          <w:tcPr>
            <w:tcW w:type="dxa" w:w="964"/>
            <w:vAlign w:val="center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  <w:tr>
        <w:trPr>
          <w:trHeight w:val="539" w:hRule="atLeast"/>
        </w:trPr>
        <w:tc>
          <w:tcPr>
            <w:tcW w:type="dxa" w:w="1531"/>
            <w:vMerge/>
          </w:tcPr>
          <w:p/>
        </w:tc>
        <w:tc>
          <w:tcPr>
            <w:tcW w:type="dxa" w:w="141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/>
                <w:sz w:val="19"/>
              </w:rPr>
              <w:t>健壮稳定性</w:t>
            </w:r>
          </w:p>
        </w:tc>
        <w:tc>
          <w:tcPr>
            <w:tcW w:type="dxa" w:w="7143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边界与异常处理完善，各模块运行稳定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  <w:tr>
        <w:trPr>
          <w:trHeight w:val="539" w:hRule="atLeast"/>
        </w:trPr>
        <w:tc>
          <w:tcPr>
            <w:tcW w:type="dxa" w:w="1531"/>
            <w:vMerge w:val="restart"/>
            <w:shd w:val="clear" w:fill="F2F6FC"/>
            <w:vAlign w:val="center"/>
            <w:shd w:val="clear" w:fill="DEEAF6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2F5496"/>
                <w:sz w:val="19"/>
              </w:rPr>
              <w:t>五、AI 合理应用</w:t>
            </w:r>
            <w:r>
              <w:rPr>
                <w:rFonts w:ascii="微软雅黑" w:hAnsi="微软雅黑" w:eastAsia="微软雅黑"/>
                <w:b/>
                <w:color w:val="2F5496"/>
                <w:sz w:val="19"/>
              </w:rPr>
              <w:br/>
              <w:t>与代码优化</w:t>
            </w:r>
            <w:r>
              <w:rPr>
                <w:rFonts w:ascii="微软雅黑" w:hAnsi="微软雅黑" w:eastAsia="微软雅黑"/>
                <w:b/>
                <w:color w:val="2F5496"/>
                <w:sz w:val="19"/>
              </w:rPr>
              <w:br/>
              <w:t>（2分）</w:t>
            </w:r>
          </w:p>
        </w:tc>
        <w:tc>
          <w:tcPr>
            <w:tcW w:type="dxa" w:w="1417"/>
            <w:vAlign w:val="center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/>
                <w:sz w:val="19"/>
              </w:rPr>
              <w:t>AI 辅助·人脑主导</w:t>
            </w:r>
          </w:p>
        </w:tc>
        <w:tc>
          <w:tcPr>
            <w:tcW w:type="dxa" w:w="7143"/>
            <w:vAlign w:val="center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AI 仅用于基础配置/通用片段/接口模板，逐行人工校验；复杂逻辑、排错、优化、重构自主完成</w:t>
            </w:r>
          </w:p>
        </w:tc>
        <w:tc>
          <w:tcPr>
            <w:tcW w:type="dxa" w:w="850"/>
            <w:vAlign w:val="center"/>
            <w:shd w:val="clear" w:fill="F2F6FC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1</w:t>
            </w:r>
          </w:p>
        </w:tc>
        <w:tc>
          <w:tcPr>
            <w:tcW w:type="dxa" w:w="964"/>
            <w:vAlign w:val="center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  <w:tr>
        <w:trPr>
          <w:trHeight w:val="539" w:hRule="atLeast"/>
        </w:trPr>
        <w:tc>
          <w:tcPr>
            <w:tcW w:type="dxa" w:w="1531"/>
            <w:vMerge/>
          </w:tcPr>
          <w:p/>
        </w:tc>
        <w:tc>
          <w:tcPr>
            <w:tcW w:type="dxa" w:w="141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/>
                <w:sz w:val="19"/>
              </w:rPr>
              <w:t>过程痕迹</w:t>
            </w:r>
          </w:p>
        </w:tc>
        <w:tc>
          <w:tcPr>
            <w:tcW w:type="dxa" w:w="7143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完整保留 AI 交互调试记录与代码修改痕迹，体现自主开发过程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  <w:tr>
        <w:trPr>
          <w:trHeight w:val="539" w:hRule="atLeast"/>
        </w:trPr>
        <w:tc>
          <w:tcPr>
            <w:tcW w:type="dxa" w:w="1531"/>
            <w:vMerge w:val="restart"/>
            <w:shd w:val="clear" w:fill="F2F6FC"/>
            <w:vAlign w:val="center"/>
            <w:shd w:val="clear" w:fill="DEEAF6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2F5496"/>
                <w:sz w:val="19"/>
              </w:rPr>
              <w:t>六、项目文档</w:t>
            </w:r>
            <w:r>
              <w:rPr>
                <w:rFonts w:ascii="微软雅黑" w:hAnsi="微软雅黑" w:eastAsia="微软雅黑"/>
                <w:b/>
                <w:color w:val="2F5496"/>
                <w:sz w:val="19"/>
              </w:rPr>
              <w:br/>
              <w:t>与部署</w:t>
            </w:r>
            <w:r>
              <w:rPr>
                <w:rFonts w:ascii="微软雅黑" w:hAnsi="微软雅黑" w:eastAsia="微软雅黑"/>
                <w:b/>
                <w:color w:val="2F5496"/>
                <w:sz w:val="19"/>
              </w:rPr>
              <w:br/>
              <w:t>（1分）</w:t>
            </w:r>
          </w:p>
        </w:tc>
        <w:tc>
          <w:tcPr>
            <w:tcW w:type="dxa" w:w="1417"/>
            <w:vAlign w:val="center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/>
                <w:sz w:val="19"/>
              </w:rPr>
              <w:t>结题报告</w:t>
            </w:r>
          </w:p>
        </w:tc>
        <w:tc>
          <w:tcPr>
            <w:tcW w:type="dxa" w:w="7143"/>
            <w:vAlign w:val="center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含概述、选型依据、需求分析、数据库设计、功能详解、重难点、解决方案、AI 优化总结</w:t>
            </w:r>
          </w:p>
        </w:tc>
        <w:tc>
          <w:tcPr>
            <w:tcW w:type="dxa" w:w="850"/>
            <w:vAlign w:val="center"/>
            <w:shd w:val="clear" w:fill="F2F6FC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0.5</w:t>
            </w:r>
          </w:p>
        </w:tc>
        <w:tc>
          <w:tcPr>
            <w:tcW w:type="dxa" w:w="964"/>
            <w:vAlign w:val="center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  <w:tr>
        <w:trPr>
          <w:trHeight w:val="539" w:hRule="atLeast"/>
        </w:trPr>
        <w:tc>
          <w:tcPr>
            <w:tcW w:type="dxa" w:w="1531"/>
            <w:vMerge/>
          </w:tcPr>
          <w:p/>
        </w:tc>
        <w:tc>
          <w:tcPr>
            <w:tcW w:type="dxa" w:w="141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/>
                <w:sz w:val="19"/>
              </w:rPr>
              <w:t>部署与交付物</w:t>
            </w:r>
          </w:p>
        </w:tc>
        <w:tc>
          <w:tcPr>
            <w:tcW w:type="dxa" w:w="7143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应用可启动、功能稳定；交付源代码、SQL 脚本、接口文档、实验总结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0.5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  <w:tr>
        <w:trPr>
          <w:trHeight w:val="510" w:hRule="atLeast"/>
        </w:trPr>
        <w:tc>
          <w:tcPr>
            <w:tcW w:type="dxa" w:w="10091"/>
            <w:gridSpan w:val="3"/>
            <w:vAlign w:val="center"/>
            <w:shd w:val="clear" w:fill="FFF2CC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总　计（各项得分累加，满分 20 分）</w:t>
            </w:r>
          </w:p>
        </w:tc>
        <w:tc>
          <w:tcPr>
            <w:tcW w:type="dxa" w:w="850"/>
            <w:vAlign w:val="center"/>
            <w:shd w:val="clear" w:fill="FFF2CC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20</w:t>
            </w:r>
          </w:p>
        </w:tc>
        <w:tc>
          <w:tcPr>
            <w:tcW w:type="dxa" w:w="964"/>
            <w:vAlign w:val="center"/>
            <w:shd w:val="clear" w:fill="FFF2CC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20" w:after="40" w:line="300" w:lineRule="auto"/>
      </w:pPr>
      <w:r>
        <w:rPr>
          <w:rFonts w:ascii="微软雅黑" w:hAnsi="微软雅黑" w:eastAsia="微软雅黑"/>
          <w:b/>
          <w:color w:val="C00000"/>
          <w:sz w:val="19"/>
        </w:rPr>
        <w:t>违规处理：</w:t>
      </w:r>
      <w:r>
        <w:rPr>
          <w:rFonts w:ascii="微软雅黑" w:hAnsi="微软雅黑" w:eastAsia="微软雅黑"/>
          <w:b w:val="0"/>
          <w:sz w:val="19"/>
        </w:rPr>
        <w:t>严禁直接复制完整 AI 生成项目或抄袭开源/他人代码，一经查实项目计 0 分；须保留 AI 交互调试记录与修改痕迹，无法提供过程材料按未独立完成相应模块扣分；应用无法启动或核心功能不可运行，酌情扣减相应模块得分。</w:t>
      </w:r>
    </w:p>
    <w:p>
      <w:pPr>
        <w:spacing w:after="80"/>
      </w:pPr>
      <w:r>
        <w:rPr>
          <w:rFonts w:ascii="微软雅黑" w:hAnsi="微软雅黑" w:eastAsia="微软雅黑"/>
          <w:b/>
          <w:color w:val="2F5496"/>
          <w:sz w:val="19"/>
        </w:rPr>
        <w:t>评分等级：</w:t>
      </w:r>
      <w:r>
        <w:rPr>
          <w:rFonts w:ascii="微软雅黑" w:hAnsi="微软雅黑" w:eastAsia="微软雅黑"/>
          <w:b w:val="0"/>
          <w:sz w:val="19"/>
        </w:rPr>
        <w:t>优秀 18～20；良好 15～17.5；中等 12～14.5；及格 10～11.5；不及格 &lt;10。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3402"/>
        <w:gridCol w:w="3402"/>
        <w:gridCol w:w="3402"/>
      </w:tblGrid>
      <w:tr>
        <w:trPr>
          <w:trHeight w:val="850" w:hRule="atLeast"/>
        </w:trPr>
        <w:tc>
          <w:tcPr>
            <w:tcW w:type="dxa" w:w="2948"/>
            <w:vAlign w:val="center"/>
            <w:shd w:val="clear" w:fill="F2F2F2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总评得分：</w:t>
            </w:r>
          </w:p>
        </w:tc>
        <w:tc>
          <w:tcPr>
            <w:tcW w:type="dxa" w:w="5272"/>
            <w:vAlign w:val="center"/>
            <w:shd w:val="clear" w:fill="F2F2F2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教师评语：</w:t>
            </w:r>
          </w:p>
        </w:tc>
        <w:tc>
          <w:tcPr>
            <w:tcW w:type="dxa" w:w="3685"/>
            <w:vAlign w:val="center"/>
            <w:shd w:val="clear" w:fill="F2F2F2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教师签名：　　　　　日期：　　年　　月　　日</w:t>
            </w:r>
          </w:p>
        </w:tc>
      </w:tr>
    </w:tbl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