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b/>
          <w:bCs/>
          <w:color w:val="2E7D32"/>
          <w:sz w:val="96"/>
          <w:szCs w:val="96"/>
        </w:rPr>
        <w:t xml:space="preserve">YENDZI</w:t>
      </w:r>
    </w:p>
    <w:p>
      <w:pPr>
        <w:spacing w:after="480"/>
        <w:jc w:val="center"/>
      </w:pPr>
      <w:r>
        <w:rPr>
          <w:i/>
          <w:iCs/>
          <w:sz w:val="32"/>
          <w:szCs w:val="32"/>
        </w:rPr>
        <w:t xml:space="preserve">Yɛn Adze — Our Thing</w:t>
      </w:r>
    </w:p>
    <w:p>
      <w:pPr>
        <w:spacing w:after="240"/>
        <w:jc w:val="center"/>
      </w:pPr>
      <w:r>
        <w:rPr>
          <w:b/>
          <w:bCs/>
          <w:sz w:val="40"/>
          <w:szCs w:val="40"/>
        </w:rPr>
        <w:t xml:space="preserve">Build Status Report</w:t>
      </w:r>
    </w:p>
    <w:p>
      <w:pPr>
        <w:spacing w:after="960"/>
        <w:jc w:val="center"/>
      </w:pPr>
      <w:r>
        <w:rPr>
          <w:i/>
          <w:iCs/>
          <w:color w:val="666666"/>
          <w:sz w:val="24"/>
          <w:szCs w:val="24"/>
        </w:rPr>
        <w:t xml:space="preserve">What has been built, what has not, and where the build has left the spec</w:t>
      </w:r>
    </w:p>
    <w:p>
      <w:pPr>
        <w:spacing w:after="120"/>
        <w:jc w:val="center"/>
      </w:pPr>
      <w:r>
        <w:rPr>
          <w:color w:val="666666"/>
          <w:sz w:val="22"/>
          <w:szCs w:val="22"/>
        </w:rPr>
        <w:t xml:space="preserve">Version 1.0  ·  17 August 2026</w:t>
      </w:r>
    </w:p>
    <w:p>
      <w:pPr>
        <w:spacing w:after="120"/>
        <w:jc w:val="center"/>
      </w:pPr>
      <w:r>
        <w:rPr>
          <w:color w:val="666666"/>
          <w:sz w:val="22"/>
          <w:szCs w:val="22"/>
        </w:rPr>
        <w:t xml:space="preserve">Status: Frontend prototype — no backend exists</w:t>
      </w:r>
    </w:p>
    <w:p>
      <w:pPr>
        <w:pStyle w:val="Heading1"/>
        <w:pageBreakBefore/>
        <w:spacing w:after="240" w:before="480"/>
      </w:pPr>
      <w:r>
        <w:t xml:space="preserve">1. Why this document exists</w:t>
      </w:r>
    </w:p>
    <w:p>
      <w:pPr>
        <w:spacing w:after="160"/>
      </w:pPr>
      <w:r>
        <w:t xml:space="preserve">Documents 01–03 were written in May 2026 and describe what Yendzi intends to be. They are still the target and have not been superseded. This document records what the repository actually contains as of 17 August 2026, so the two are not confused.</w:t>
      </w:r>
    </w:p>
    <w:p>
      <w:pPr>
        <w:spacing w:after="160"/>
      </w:pPr>
      <w:r>
        <w:t xml:space="preserve">The short version: what exists is a Next.js front end running entirely on mock data held in TypeScript files. There is no backend, no database, no persistence, no SMS, no delivery integration, and no settled payment. None of the ten MVP acceptance criteria in PRD §14 are met yet, and none of them can be met without the backend described in Tech Spec §3.2.</w:t>
      </w:r>
    </w:p>
    <w:p>
      <w:pPr>
        <w:spacing w:after="160"/>
      </w:pPr>
      <w:r>
        <w:t xml:space="preserve">That is not a criticism of the work done. The front end is substantially complete and covers most of the customer and vendor journeys as screens. It is a warning against reading the PRD's feature list as a description of a working system.</w:t>
      </w:r>
    </w:p>
    <w:p>
      <w:pPr>
        <w:pStyle w:val="Heading1"/>
        <w:pageBreakBefore/>
        <w:spacing w:after="240" w:before="480"/>
      </w:pPr>
      <w:r>
        <w:t xml:space="preserve">2. Stack as built</w:t>
      </w:r>
    </w:p>
    <w:p>
      <w:pPr>
        <w:spacing w:after="160"/>
      </w:pPr>
      <w:r>
        <w:t xml:space="preserve">Where the build matches Tech Spec §3, the row is omitted. These are the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660"/>
        <w:gridCol w:w="1500"/>
      </w:tblGrid>
      <w:tr>
        <w:trPr>
          <w:tblHeader/>
        </w:trPr>
        <w:tc>
          <w:tcPr>
            <w:tcW w:type="dxa" w:w="150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Layer</w:t>
            </w:r>
          </w:p>
        </w:tc>
        <w:tc>
          <w:tcPr>
            <w:tcW w:type="dxa" w:w="270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Tech Spec §3 said</w:t>
            </w:r>
          </w:p>
        </w:tc>
        <w:tc>
          <w:tcPr>
            <w:tcW w:type="dxa" w:w="366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As built</w:t>
            </w:r>
          </w:p>
        </w:tc>
        <w:tc>
          <w:tcPr>
            <w:tcW w:type="dxa" w:w="150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Status</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Framework</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Next.js 14+</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Next.js 16.3.1, App Router, Turbopack</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2E7D32"/>
              </w:rPr>
              <w:t xml:space="preserve">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React</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(unstated)</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React 19.2.4</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2E7D32"/>
              </w:rPr>
              <w:t xml:space="preserve">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Styling</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Tailwind CSS</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Tailwind CSS v4, CSS-first @theme tokens</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2E7D32"/>
              </w:rPr>
              <w:t xml:space="preserve">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State</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Zustand / React Query</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Zustand 5 + persist to localStorage; no React Query</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Partial</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Forms</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React Hook Form + Zod</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React Hook Form 7 + Zod 4 installed</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Partial</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Backend</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Node 20 / NestJS, REST + GraphQL</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None. Six Next.js route handlers returning mock data</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Database</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PostgreSQL 15+</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None. Three TypeScript modules under lib/mock-data</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Cache / queue</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Redis, BullMQ</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None</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Object storage</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S3 / R2 + image CDN</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None. 103 hot-linked Pexels/Unsplash URLs</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Auth</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JWT + refresh, bcrypt, RBAC</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Mock OTP route accepting any 4-digit code</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Mock</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Payments</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Paystack or Flutterwave</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Paystack InlineJS v2, client-side only</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Partial</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SMS / email</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Hubtel or Africa's Talking; SendGrid</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None</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Maps</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Mapbox GL JS</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None</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PWA / offline</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next-pwa, service worker</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None. Cart persists via localStorage only</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Hosting</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AWS Cape Town or DigitalOcean, Docker, Terraform</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Vercel, no containers, no IaC</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Diverged</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Observability</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Sentry, Grafana, Loki, BetterStack</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None</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r>
      <w:tr>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Testing</w:t>
            </w:r>
          </w:p>
        </w:tc>
        <w:tc>
          <w:tcPr>
            <w:tcW w:type="dxa" w:w="27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Jest, Playwright, &gt;80% coverage</w:t>
            </w:r>
          </w:p>
        </w:tc>
        <w:tc>
          <w:tcPr>
            <w:tcW w:type="dxa" w:w="36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 test files and no test runner configured</w:t>
            </w:r>
          </w:p>
        </w:tc>
        <w:tc>
          <w:tcPr>
            <w:tcW w:type="dxa" w:w="15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r>
    </w:tbl>
    <w:p>
      <w:pPr>
        <w:spacing w:after="120"/>
      </w:pPr>
      <w:r>
        <w:t xml:space="preserve"/>
      </w:r>
    </w:p>
    <w:p>
      <w:pPr>
        <w:pStyle w:val="Heading1"/>
        <w:pageBreakBefore/>
        <w:spacing w:after="240" w:before="480"/>
      </w:pPr>
      <w:r>
        <w:t xml:space="preserve">3. What is actually in the repository</w:t>
      </w:r>
    </w:p>
    <w:p>
      <w:pPr>
        <w:pStyle w:val="Heading2"/>
        <w:spacing w:after="160" w:before="320"/>
      </w:pPr>
      <w:r>
        <w:t xml:space="preserve">3.1 Routes</w:t>
      </w:r>
    </w:p>
    <w:p>
      <w:pPr>
        <w:spacing w:after="160"/>
      </w:pPr>
      <w:r>
        <w:t xml:space="preserve">Twenty page routes exist and render:</w:t>
      </w:r>
    </w:p>
    <w:p>
      <w:pPr>
        <w:pStyle w:val="ListParagraph"/>
        <w:numPr>
          <w:ilvl w:val="0"/>
          <w:numId w:val="2"/>
        </w:numPr>
        <w:spacing w:after="80"/>
      </w:pPr>
      <w:r>
        <w:t xml:space="preserve">Storefront: /, /shop, /shop/[slug], /farmers, /farmers/[slug], /about, /learn, /for-business</w:t>
      </w:r>
    </w:p>
    <w:p>
      <w:pPr>
        <w:pStyle w:val="ListParagraph"/>
        <w:numPr>
          <w:ilvl w:val="0"/>
          <w:numId w:val="2"/>
        </w:numPr>
        <w:spacing w:after="80"/>
      </w:pPr>
      <w:r>
        <w:t xml:space="preserve">Customer: /signup, /login, /account, /checkout, /order-confirmed</w:t>
      </w:r>
    </w:p>
    <w:p>
      <w:pPr>
        <w:pStyle w:val="ListParagraph"/>
        <w:numPr>
          <w:ilvl w:val="0"/>
          <w:numId w:val="2"/>
        </w:numPr>
        <w:spacing w:after="80"/>
      </w:pPr>
      <w:r>
        <w:t xml:space="preserve">Vendor portal: /vendor/apply, /vendor/dashboard, /vendor/products, /vendor/products/new, /vendor/orders, /vendor/payouts</w:t>
      </w:r>
    </w:p>
    <w:p>
      <w:pPr>
        <w:pStyle w:val="ListParagraph"/>
        <w:numPr>
          <w:ilvl w:val="0"/>
          <w:numId w:val="2"/>
        </w:numPr>
        <w:spacing w:after="80"/>
      </w:pPr>
      <w:r>
        <w:t xml:space="preserve">Admin: /admin</w:t>
      </w:r>
    </w:p>
    <w:p>
      <w:pPr>
        <w:spacing w:after="200"/>
      </w:pPr>
      <w:r>
        <w:t xml:space="preserve">Missing against the sitemap in Project Documentation §6.1: Events, and Help / FAQ / Contact. Subscription boxes appear as marketing on the home page but have no route, no configurator and no management screen.</w:t>
      </w:r>
    </w:p>
    <w:p>
      <w:pPr>
        <w:pStyle w:val="Heading2"/>
        <w:spacing w:after="160" w:before="320"/>
      </w:pPr>
      <w:r>
        <w:t xml:space="preserve">3.2 API routes</w:t>
      </w:r>
    </w:p>
    <w:p>
      <w:pPr>
        <w:spacing w:after="160"/>
      </w:pPr>
      <w:r>
        <w:t xml:space="preserve">Six route handlers exist. All are in-process mocks: they validate input, return shaped JSON, and persist nothing. Restarting the server discards everything.</w:t>
      </w:r>
    </w:p>
    <w:p>
      <w:pPr>
        <w:pStyle w:val="ListParagraph"/>
        <w:numPr>
          <w:ilvl w:val="0"/>
          <w:numId w:val="2"/>
        </w:numPr>
        <w:spacing w:after="80"/>
      </w:pPr>
      <w:r>
        <w:t xml:space="preserve">POST /api/auth/send-otp — returns success without sending an SMS</w:t>
      </w:r>
    </w:p>
    <w:p>
      <w:pPr>
        <w:pStyle w:val="ListParagraph"/>
        <w:numPr>
          <w:ilvl w:val="0"/>
          <w:numId w:val="2"/>
        </w:numPr>
        <w:spacing w:after="80"/>
      </w:pPr>
      <w:r>
        <w:t xml:space="preserve">POST /api/auth/verify-otp — accepts any 4-digit code</w:t>
      </w:r>
    </w:p>
    <w:p>
      <w:pPr>
        <w:pStyle w:val="ListParagraph"/>
        <w:numPr>
          <w:ilvl w:val="0"/>
          <w:numId w:val="2"/>
        </w:numPr>
        <w:spacing w:after="80"/>
      </w:pPr>
      <w:r>
        <w:t xml:space="preserve">GET /api/products, GET /api/products/[slug] — read from lib/mock-data</w:t>
      </w:r>
    </w:p>
    <w:p>
      <w:pPr>
        <w:pStyle w:val="ListParagraph"/>
        <w:numPr>
          <w:ilvl w:val="0"/>
          <w:numId w:val="2"/>
        </w:numPr>
        <w:spacing w:after="80"/>
      </w:pPr>
      <w:r>
        <w:t xml:space="preserve">POST /api/orders — builds an order object and returns it; nothing is stored</w:t>
      </w:r>
    </w:p>
    <w:p>
      <w:pPr>
        <w:pStyle w:val="ListParagraph"/>
        <w:numPr>
          <w:ilvl w:val="0"/>
          <w:numId w:val="2"/>
        </w:numPr>
        <w:spacing w:after="80"/>
      </w:pPr>
      <w:r>
        <w:t xml:space="preserve">GET /api/vendor/dashboard — static figures</w:t>
      </w:r>
    </w:p>
    <w:p>
      <w:pPr>
        <w:pStyle w:val="Heading2"/>
        <w:spacing w:after="160" w:before="320"/>
      </w:pPr>
      <w:r>
        <w:t xml:space="preserve">3.3 Data</w:t>
      </w:r>
    </w:p>
    <w:p>
      <w:pPr>
        <w:spacing w:after="160"/>
      </w:pPr>
      <w:r>
        <w:t xml:space="preserve">Three modules under lib/mock-data hold 38 products, their farmers and six categories. Four Zustand stores (auth, cart, toast, vendor) hold client state; three persist to localStorage. This is the entire data layer.</w:t>
      </w:r>
    </w:p>
    <w:p>
      <w:pPr>
        <w:pStyle w:val="Heading1"/>
        <w:pageBreakBefore/>
        <w:spacing w:after="240" w:before="480"/>
      </w:pPr>
      <w:r>
        <w:t xml:space="preserve">4. Requirements against the PRD</w:t>
      </w:r>
    </w:p>
    <w:p>
      <w:pPr>
        <w:spacing w:after="160"/>
      </w:pPr>
      <w:r>
        <w:t xml:space="preserve">Read “UI only” as: the screen exists and looks finished, but nothing behind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200"/>
        <w:gridCol w:w="3860"/>
      </w:tblGrid>
      <w:tr>
        <w:trPr>
          <w:tblHeader/>
        </w:trPr>
        <w:tc>
          <w:tcPr>
            <w:tcW w:type="dxa" w:w="90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Ref</w:t>
            </w:r>
          </w:p>
        </w:tc>
        <w:tc>
          <w:tcPr>
            <w:tcW w:type="dxa" w:w="340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Requirement</w:t>
            </w:r>
          </w:p>
        </w:tc>
        <w:tc>
          <w:tcPr>
            <w:tcW w:type="dxa" w:w="120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Status</w:t>
            </w:r>
          </w:p>
        </w:tc>
        <w:tc>
          <w:tcPr>
            <w:tcW w:type="dxa" w:w="386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Note</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FR-01</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Marketplace browsing, search, filter, sort</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Partial</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Works against mock data; no server-side search</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FR-02</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Product detail pages</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2E7D32"/>
              </w:rPr>
              <w:t xml:space="preserve">Built</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Includes farm, harvest verb and dated stamp</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FR-03</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Farmer directory and profiles</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Partial</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Directory and profiles render; no follow</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FR-04</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Content hub: blog, events, newsletter</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Partial</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/learn lists articles; no events, no newsletter</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FR-05</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Registration, OTP, social login</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Mock</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OTP accepts any 4 digits; no Google login</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FR-06</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Customer dashboard</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UI only</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/account renders; no order history or wishlist</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FR-07</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Cart and multi-step checkout</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Partial</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3 steps built (address, slot, payment); packaging and review steps absent</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FR-08</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MoMo, card, bank transfer, saved cards</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Partial</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Paystack covers MoMo and card; no bank transfer, no saved cards</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FR-09</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Order tracking, SMS and email updates</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Confirmation screen only</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FR-10</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Subscriptions</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Marketing section only</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FR-11</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Vendor application</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UI only</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Form submits nowhere; no document upload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FR-12</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Vendor dashboard</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UI only</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All figures static</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FR-13</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Product listing by vendor</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26A00"/>
              </w:rPr>
              <w:t xml:space="preserve">UI only</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Form exists; nothing is saved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FR-14</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B2B registration and approval</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/for-business is a lead form</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FR-15</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B2B dashboard, tier pricing, invoicing</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FR-16</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Vendor approval queue</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FR-17</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Order oversight, refunds, disputes</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FR-18</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Content management</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No CMS; content is hard-coded</w:t>
            </w:r>
          </w:p>
        </w:tc>
      </w:tr>
      <w:tr>
        <w:tc>
          <w:tcPr>
            <w:tcW w:type="dxa" w:w="9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FR-19</w:t>
            </w:r>
          </w:p>
        </w:tc>
        <w:tc>
          <w:tcPr>
            <w:tcW w:type="dxa" w:w="3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Analytics dashboards</w:t>
            </w:r>
          </w:p>
        </w:tc>
        <w:tc>
          <w:tcPr>
            <w:tcW w:type="dxa" w:w="12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b/>
                <w:bCs/>
                <w:color w:val="B03A2E"/>
              </w:rPr>
              <w:t xml:space="preserve">Not built</w:t>
            </w:r>
          </w:p>
        </w:tc>
        <w:tc>
          <w:tcPr>
            <w:tcW w:type="dxa" w:w="38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
            </w:r>
          </w:p>
        </w:tc>
      </w:tr>
    </w:tbl>
    <w:p>
      <w:pPr>
        <w:spacing w:after="120"/>
      </w:pPr>
      <w:r>
        <w:t xml:space="preserve"/>
      </w:r>
    </w:p>
    <w:p>
      <w:pPr>
        <w:pStyle w:val="Heading1"/>
        <w:pageBreakBefore/>
        <w:spacing w:after="240" w:before="480"/>
      </w:pPr>
      <w:r>
        <w:t xml:space="preserve">5. Where the build has left the design guidelines</w:t>
      </w:r>
    </w:p>
    <w:p>
      <w:pPr>
        <w:spacing w:after="160"/>
      </w:pPr>
      <w:r>
        <w:t xml:space="preserve">Project Documentation §8 sets the visual direction. Three of its five lines no longer describe the build. One was changed by decision; two were not, and need one.</w:t>
      </w:r>
    </w:p>
    <w:p>
      <w:pPr>
        <w:pStyle w:val="Heading2"/>
        <w:spacing w:after="160" w:before="320"/>
      </w:pPr>
      <w:r>
        <w:t xml:space="preserve">5.1 Typography — changed by decision</w:t>
      </w:r>
    </w:p>
    <w:p>
      <w:pPr>
        <w:spacing w:after="160"/>
      </w:pPr>
      <w:r>
        <w:t xml:space="preserve">§8.1 specified a warm serif for headings with a sans-serif body. The build uses a single superfamily (Archivo) for every role, separated by width and weight instead. The reasoning: a high-contrast serif over cream with a terracotta accent is the most common look produced by design tooling right now, and it appeared regardless of subject. One condensed heavy cut across the whole page is closer to painted market signage, which is specific to the subject. §8.1 has been rewritten to match.</w:t>
      </w:r>
    </w:p>
    <w:p>
      <w:pPr>
        <w:pStyle w:val="Heading2"/>
        <w:spacing w:after="160" w:before="320"/>
      </w:pPr>
      <w:r>
        <w:t xml:space="preserve">5.2 Iconography — not met</w:t>
      </w:r>
    </w:p>
    <w:p>
      <w:pPr>
        <w:spacing w:after="160"/>
      </w:pPr>
      <w:r>
        <w:t xml:space="preserve">§8.1 asks for hand-drawn, organic icons, never clinical. The build uses lucide, a geometric open-source set. This was an interim step to remove emoji, which are drawn by the operating system and so rendered as a different glyph on every device. It is not the specified direction and should not be mistaken for it. A hand-drawn set has not been commissioned. Either commission one or amend the guideline.</w:t>
      </w:r>
    </w:p>
    <w:p>
      <w:pPr>
        <w:pStyle w:val="Heading2"/>
        <w:spacing w:after="160" w:before="320"/>
      </w:pPr>
      <w:r>
        <w:t xml:space="preserve">5.3 Motion — diverged</w:t>
      </w:r>
    </w:p>
    <w:p>
      <w:pPr>
        <w:spacing w:after="160"/>
      </w:pPr>
      <w:r>
        <w:t xml:space="preserve">§8.2 says “speed over flash — minimal animations, fast loads”. The build imports framer-motion in fifteen components and uses scroll parallax, spring physics, page transitions and a marquee. That is the opposite of the guideline, and it matters more here than on a European site: PRD §8.1 targets a sub-three-second load on 3G. This needs a decision, not a rationalisation. A global prefers-reduced-motion guard is also still missing.</w:t>
      </w:r>
    </w:p>
    <w:p>
      <w:pPr>
        <w:pStyle w:val="Heading2"/>
        <w:spacing w:after="160" w:before="320"/>
      </w:pPr>
      <w:r>
        <w:t xml:space="preserve">5.4 Palette — held</w:t>
      </w:r>
    </w:p>
    <w:p>
      <w:pPr>
        <w:spacing w:after="160"/>
      </w:pPr>
      <w:r>
        <w:t xml:space="preserve">The five specified colours are unchanged. Gold was already present. Two tints were added in August 2026 for a specific reason: cream text on terracotta measures 3.2:1, which fails WCAG AA for body copy, so a full-bleed terracotta panel was not usable. Deep terracotta (#6E3B26) carries cream at 8.0:1, matching deep green's 8.6:1, and sage (#86B497) plays the accent role on it. Both are tints of existing hues.</w:t>
      </w:r>
    </w:p>
    <w:p>
      <w:pPr>
        <w:pStyle w:val="Heading2"/>
        <w:spacing w:after="160" w:before="320"/>
      </w:pPr>
      <w:r>
        <w:t xml:space="preserve">5.5 Photography — not started</w:t>
      </w:r>
    </w:p>
    <w:p>
      <w:pPr>
        <w:spacing w:after="160"/>
      </w:pPr>
      <w:r>
        <w:t xml:space="preserve">§8.1 asks for natural light, farms, hands, produce close-ups and Ghanaian faces. The build hot-links 103 stock photographs from Pexels and Unsplash. This is the largest remaining gap between the brand direction and the build, it undercuts the traceability claim that the whole product rests on, and it also violates Tech Spec §7.5 (images should be served from Yendzi's own CDN).</w:t>
      </w:r>
    </w:p>
    <w:p>
      <w:pPr>
        <w:pStyle w:val="Heading1"/>
        <w:pageBreakBefore/>
        <w:spacing w:after="240" w:before="480"/>
      </w:pPr>
      <w:r>
        <w:t xml:space="preserve">6. Gaps that carry real risk</w:t>
      </w:r>
    </w:p>
    <w:p>
      <w:pPr>
        <w:pStyle w:val="Heading2"/>
        <w:spacing w:after="160" w:before="320"/>
      </w:pPr>
      <w:r>
        <w:t xml:space="preserve">6.1 Payment is not settled, only claimed</w:t>
      </w:r>
    </w:p>
    <w:p>
      <w:pPr>
        <w:spacing w:after="160"/>
      </w:pPr>
      <w:r>
        <w:t xml:space="preserve">Tech Spec §7.1 step 4 requires the provider to webhook Yendzi, and Yendzi to confirm the order from that webhook. No webhook endpoint exists. Order success is currently taken from the browser's success callback, which the customer's device controls and which can be forged or lost. Nothing may be shipped on the strength of that callback. This is the single most important thing to build before any real money moves.</w:t>
      </w:r>
    </w:p>
    <w:p>
      <w:pPr>
        <w:pStyle w:val="Heading2"/>
        <w:spacing w:after="160" w:before="320"/>
      </w:pPr>
      <w:r>
        <w:t xml:space="preserve">6.2 Authentication is a placeholder</w:t>
      </w:r>
    </w:p>
    <w:p>
      <w:pPr>
        <w:spacing w:after="160"/>
      </w:pPr>
      <w:r>
        <w:t xml:space="preserve">Any four-digit code verifies any phone number, and the resulting session lives in localStorage. There is no JWT, no refresh rotation, no rate limiting and no RBAC. Tech Spec §8.1 and §6.5 describe all four.</w:t>
      </w:r>
    </w:p>
    <w:p>
      <w:pPr>
        <w:pStyle w:val="Heading2"/>
        <w:spacing w:after="160" w:before="320"/>
      </w:pPr>
      <w:r>
        <w:t xml:space="preserve">6.3 No tests at all</w:t>
      </w:r>
    </w:p>
    <w:p>
      <w:pPr>
        <w:spacing w:after="160"/>
      </w:pPr>
      <w:r>
        <w:t xml:space="preserve">Tech Spec §12 asks for 80% unit coverage on business logic, integration tests on every public endpoint, and E2E cover on six critical flows. There is no test file and no runner in the repository, so the CI quality gates in §12.4 cannot pass as written.</w:t>
      </w:r>
    </w:p>
    <w:p>
      <w:pPr>
        <w:pStyle w:val="Heading2"/>
        <w:spacing w:after="160" w:before="320"/>
      </w:pPr>
      <w:r>
        <w:t xml:space="preserve">6.4 Accessibility is asserted, not verified</w:t>
      </w:r>
    </w:p>
    <w:p>
      <w:pPr>
        <w:spacing w:after="160"/>
      </w:pPr>
      <w:r>
        <w:t xml:space="preserve">PRD §8.6 sets WCAG 2.1 AA as the baseline. Three contrast failures were found and fixed on the sign-up screen in August 2026, all of them pre-existing. No site-wide audit has been run, so the true count is unknown.</w:t>
      </w:r>
    </w:p>
    <w:p>
      <w:pPr>
        <w:pStyle w:val="Heading2"/>
        <w:spacing w:after="160" w:before="320"/>
      </w:pPr>
      <w:r>
        <w:t xml:space="preserve">6.5 The design language is applied unevenly</w:t>
      </w:r>
    </w:p>
    <w:p>
      <w:pPr>
        <w:spacing w:after="160"/>
      </w:pPr>
      <w:r>
        <w:t xml:space="preserve">Square-cornered tokens were introduced for the storefront, but 104 uses of rounded-full and 50 of rounded-2xl remain — concentrated in checkout, the vendor portal and sign-up. Those screens still read as the previous design sitting beside the new one.</w:t>
      </w:r>
    </w:p>
    <w:p>
      <w:pPr>
        <w:pStyle w:val="Heading2"/>
        <w:spacing w:after="160" w:before="320"/>
      </w:pPr>
      <w:r>
        <w:t xml:space="preserve">6.6 Deployment is currently failing</w:t>
      </w:r>
    </w:p>
    <w:p>
      <w:pPr>
        <w:spacing w:after="160"/>
      </w:pPr>
      <w:r>
        <w:t xml:space="preserve">The Vercel build has been failing since mid-August and is undiagnosed. Ruled out: type errors, lockfile drift, and missing platform binaries — a clean clone builds locally. The open suspicion is the platform's Node version, since @paystack/inline-js requires Node 22 or newer while Next itself only requires 20.9. This is also a divergence from Tech Spec §3.4, which specified AWS or DigitalOcean with Docker and Terraform; none of that exists.</w:t>
      </w:r>
    </w:p>
    <w:p>
      <w:pPr>
        <w:pStyle w:val="Heading2"/>
        <w:spacing w:after="160" w:before="320"/>
      </w:pPr>
      <w:r>
        <w:t xml:space="preserve">6.7 Engineering practice</w:t>
      </w:r>
    </w:p>
    <w:p>
      <w:pPr>
        <w:spacing w:after="160"/>
      </w:pPr>
      <w:r>
        <w:t xml:space="preserve">Tech Spec §14.1 requires conventional commit prefixes, no direct commits to main, and one approval per pull request. Current history uses plain imperative subjects and commits have gone straight to main without review. Worth either adopting the practice or amending the spec, but the two should not stay in contradiction.</w:t>
      </w:r>
    </w:p>
    <w:p>
      <w:pPr>
        <w:pStyle w:val="Heading1"/>
        <w:pageBreakBefore/>
        <w:spacing w:after="240" w:before="480"/>
      </w:pPr>
      <w:r>
        <w:t xml:space="preserve">7. Open contradiction: how businesses order</w:t>
      </w:r>
    </w:p>
    <w:p>
      <w:pPr>
        <w:spacing w:after="160"/>
      </w:pPr>
      <w:r>
        <w:t xml:space="preserve">PRD §3.3 lists “manual ordering processes (phone calls, WhatsApp)” as one of four business problems Yendzi exists to solve, and US-16 specifies standing orders set in the product. The /for-business page currently markets the opposite: a testimonial praises sending a WhatsApp instead, and the feature list offers a dedicated account manager and “one number, one person”.</w:t>
      </w:r>
    </w:p>
    <w:p>
      <w:pPr>
        <w:spacing w:after="160"/>
      </w:pPr>
      <w:r>
        <w:t xml:space="preserve">Both positions are defensible. WhatsApp is how Accra kitchens actually order, and forcing a 40kg standing order through a consumer cart would lose the account. But if the order never becomes a record in the system, four things follow:</w:t>
      </w:r>
    </w:p>
    <w:p>
      <w:pPr>
        <w:pStyle w:val="ListParagraph"/>
        <w:numPr>
          <w:ilvl w:val="0"/>
          <w:numId w:val="2"/>
        </w:numPr>
        <w:spacing w:after="80"/>
      </w:pPr>
      <w:r>
        <w:t xml:space="preserve">The farm name and harvest date never attach to the order — the traceability that differentiates Yendzi from Makola is absent from its highest-value customers</w:t>
      </w:r>
    </w:p>
    <w:p>
      <w:pPr>
        <w:pStyle w:val="ListParagraph"/>
        <w:numPr>
          <w:ilvl w:val="0"/>
          <w:numId w:val="2"/>
        </w:numPr>
        <w:spacing w:after="80"/>
      </w:pPr>
      <w:r>
        <w:t xml:space="preserve">The Friday MoMo payout has no basis on which to compute the farmer's share</w:t>
      </w:r>
    </w:p>
    <w:p>
      <w:pPr>
        <w:pStyle w:val="ListParagraph"/>
        <w:numPr>
          <w:ilvl w:val="0"/>
          <w:numId w:val="2"/>
        </w:numPr>
        <w:spacing w:after="80"/>
      </w:pPr>
      <w:r>
        <w:t xml:space="preserve">“Adjust quantities any time”, promised as step 04 on that page, has no interface</w:t>
      </w:r>
    </w:p>
    <w:p>
      <w:pPr>
        <w:pStyle w:val="ListParagraph"/>
        <w:numPr>
          <w:ilvl w:val="0"/>
          <w:numId w:val="2"/>
        </w:numPr>
        <w:spacing w:after="80"/>
      </w:pPr>
      <w:r>
        <w:t xml:space="preserve">The vendor's order screen is blind to B2B demand, so farmers cannot plan plantings against it</w:t>
      </w:r>
    </w:p>
    <w:p>
      <w:pPr>
        <w:spacing w:after="200"/>
      </w:pPr>
      <w:r>
        <w:t xml:space="preserve">The resolution that keeps both: WhatsApp stays the interface, the platform stays the system of record — a message creates a real order. Until that is decided, the page and the PRD contradict each other and both have been annotated.</w:t>
      </w:r>
    </w:p>
    <w:p>
      <w:pPr>
        <w:pStyle w:val="Heading1"/>
        <w:pageBreakBefore/>
        <w:spacing w:after="240" w:before="480"/>
      </w:pPr>
      <w:r>
        <w:t xml:space="preserve">8. Recommended sequence</w:t>
      </w:r>
    </w:p>
    <w:p>
      <w:pPr>
        <w:spacing w:after="160"/>
      </w:pPr>
      <w:r>
        <w:t xml:space="preserve">In dependency order, not priority order.</w:t>
      </w:r>
    </w:p>
    <w:p>
      <w:pPr>
        <w:pStyle w:val="ListParagraph"/>
        <w:numPr>
          <w:ilvl w:val="0"/>
          <w:numId w:val="2"/>
        </w:numPr>
        <w:spacing w:after="80"/>
      </w:pPr>
      <w:r>
        <w:t xml:space="preserve">Diagnose the Vercel failure. Nothing else can be demonstrated until it deploys.</w:t>
      </w:r>
    </w:p>
    <w:p>
      <w:pPr>
        <w:pStyle w:val="ListParagraph"/>
        <w:numPr>
          <w:ilvl w:val="0"/>
          <w:numId w:val="2"/>
        </w:numPr>
        <w:spacing w:after="80"/>
      </w:pPr>
      <w:r>
        <w:t xml:space="preserve">Decide the three open design questions: iconography, motion, and photography. All three are cheaper to settle before more screens are built on the current assumptions.</w:t>
      </w:r>
    </w:p>
    <w:p>
      <w:pPr>
        <w:pStyle w:val="ListParagraph"/>
        <w:numPr>
          <w:ilvl w:val="0"/>
          <w:numId w:val="2"/>
        </w:numPr>
        <w:spacing w:after="80"/>
      </w:pPr>
      <w:r>
        <w:t xml:space="preserve">Decide the B2B ordering channel, since it determines whether the orders module needs a second intake path.</w:t>
      </w:r>
    </w:p>
    <w:p>
      <w:pPr>
        <w:pStyle w:val="ListParagraph"/>
        <w:numPr>
          <w:ilvl w:val="0"/>
          <w:numId w:val="2"/>
        </w:numPr>
        <w:spacing w:after="80"/>
      </w:pPr>
      <w:r>
        <w:t xml:space="preserve">Stand up the backend: Postgres schema per Tech Spec §5.2, then auth, then products, then orders. Replace lib/mock-data module by module so the front end keeps working throughout.</w:t>
      </w:r>
    </w:p>
    <w:p>
      <w:pPr>
        <w:pStyle w:val="ListParagraph"/>
        <w:numPr>
          <w:ilvl w:val="0"/>
          <w:numId w:val="2"/>
        </w:numPr>
        <w:spacing w:after="80"/>
      </w:pPr>
      <w:r>
        <w:t xml:space="preserve">Add the payment webhook and move order confirmation to the server. This gates any real transaction.</w:t>
      </w:r>
    </w:p>
    <w:p>
      <w:pPr>
        <w:pStyle w:val="ListParagraph"/>
        <w:numPr>
          <w:ilvl w:val="0"/>
          <w:numId w:val="2"/>
        </w:numPr>
        <w:spacing w:after="80"/>
      </w:pPr>
      <w:r>
        <w:t xml:space="preserve">Add SMS (OTP and order status) — the second half of a credible checkout.</w:t>
      </w:r>
    </w:p>
    <w:p>
      <w:pPr>
        <w:pStyle w:val="ListParagraph"/>
        <w:numPr>
          <w:ilvl w:val="0"/>
          <w:numId w:val="2"/>
        </w:numPr>
        <w:spacing w:after="80"/>
      </w:pPr>
      <w:r>
        <w:t xml:space="preserve">Introduce tests alongside the backend rather than after it, starting with the six E2E flows in Tech Spec §12.3.</w:t>
      </w:r>
    </w:p>
    <w:p>
      <w:pPr>
        <w:pStyle w:val="ListParagraph"/>
        <w:numPr>
          <w:ilvl w:val="0"/>
          <w:numId w:val="2"/>
        </w:numPr>
        <w:spacing w:after="80"/>
      </w:pPr>
      <w:r>
        <w:t xml:space="preserve">Finish the design pass: complete the radius conversion, run a site-wide contrast audit, replace stock photography.</w:t>
      </w:r>
    </w:p>
    <w:p>
      <w:pPr>
        <w:pStyle w:val="Heading1"/>
        <w:pageBreakBefore/>
        <w:spacing w:after="240" w:before="480"/>
      </w:pPr>
      <w:r>
        <w:t xml:space="preserve">9. Document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400"/>
        <w:gridCol w:w="3360"/>
      </w:tblGrid>
      <w:tr>
        <w:trPr>
          <w:tblHeader/>
        </w:trPr>
        <w:tc>
          <w:tcPr>
            <w:tcW w:type="dxa" w:w="260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Document</w:t>
            </w:r>
          </w:p>
        </w:tc>
        <w:tc>
          <w:tcPr>
            <w:tcW w:type="dxa" w:w="100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Version</w:t>
            </w:r>
          </w:p>
        </w:tc>
        <w:tc>
          <w:tcPr>
            <w:tcW w:type="dxa" w:w="240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Reflects</w:t>
            </w:r>
          </w:p>
        </w:tc>
        <w:tc>
          <w:tcPr>
            <w:tcW w:type="dxa" w:w="3360"/>
            <w:tcBorders>
              <w:top w:val="single" w:color="CCCCCC" w:sz="4"/>
              <w:left w:val="single" w:color="CCCCCC" w:sz="4"/>
              <w:bottom w:val="single" w:color="CCCCCC" w:sz="4"/>
              <w:right w:val="single" w:color="CCCCCC" w:sz="4"/>
            </w:tcBorders>
            <w:shd w:fill="2E7D32" w:val="clear"/>
            <w:tcMar>
              <w:top w:type="dxa" w:w="100"/>
              <w:left w:type="dxa" w:w="120"/>
              <w:bottom w:type="dxa" w:w="100"/>
              <w:right w:type="dxa" w:w="120"/>
            </w:tcMar>
          </w:tcPr>
          <w:p>
            <w:r>
              <w:rPr>
                <w:b/>
                <w:bCs/>
                <w:color w:val="FFFFFF"/>
              </w:rPr>
              <w:t xml:space="preserve">Notes</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01 Project Documentation</w:t>
            </w:r>
          </w:p>
        </w:tc>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1.1</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Intent, with §8 annotated</w:t>
            </w:r>
          </w:p>
        </w:tc>
        <w:tc>
          <w:tcPr>
            <w:tcW w:type="dxa" w:w="33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Design guidelines flagged where the build differs</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02 PRD</w:t>
            </w:r>
          </w:p>
        </w:tc>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1.1</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Intent, unchanged in substance</w:t>
            </w:r>
          </w:p>
        </w:tc>
        <w:tc>
          <w:tcPr>
            <w:tcW w:type="dxa" w:w="33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Paystack decision recorded; WhatsApp contradiction flagged</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03 Tech Spec</w:t>
            </w:r>
          </w:p>
        </w:tc>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1.1</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Intent, with §3 corrected</w:t>
            </w:r>
          </w:p>
        </w:tc>
        <w:tc>
          <w:tcPr>
            <w:tcW w:type="dxa" w:w="33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Stack rows, Node floor and open questions updated</w:t>
            </w:r>
          </w:p>
        </w:tc>
      </w:tr>
      <w:tr>
        <w:tc>
          <w:tcPr>
            <w:tcW w:type="dxa" w:w="26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04 Build Status</w:t>
            </w:r>
          </w:p>
        </w:tc>
        <w:tc>
          <w:tcPr>
            <w:tcW w:type="dxa" w:w="10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1.0</w:t>
            </w:r>
          </w:p>
        </w:tc>
        <w:tc>
          <w:tcPr>
            <w:tcW w:type="dxa" w:w="240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Reality as of 17 Aug 2026</w:t>
            </w:r>
          </w:p>
        </w:tc>
        <w:tc>
          <w:tcPr>
            <w:tcW w:type="dxa" w:w="3360"/>
            <w:tcBorders>
              <w:top w:val="single" w:color="CCCCCC" w:sz="4"/>
              <w:left w:val="single" w:color="CCCCCC" w:sz="4"/>
              <w:bottom w:val="single" w:color="CCCCCC" w:sz="4"/>
              <w:right w:val="single" w:color="CCCCCC" w:sz="4"/>
            </w:tcBorders>
            <w:tcMar>
              <w:top w:type="dxa" w:w="100"/>
              <w:left w:type="dxa" w:w="120"/>
              <w:bottom w:type="dxa" w:w="100"/>
              <w:right w:type="dxa" w:w="120"/>
            </w:tcMar>
          </w:tcPr>
          <w:p>
            <w:r>
              <w:rPr/>
              <w:t xml:space="preserve">This document. Re-issue when the backend lands</w:t>
            </w:r>
          </w:p>
        </w:tc>
      </w:tr>
    </w:tbl>
    <w:p>
      <w:pPr>
        <w:spacing w:after="120"/>
      </w:pPr>
      <w:r>
        <w:t xml:space="preserve"/>
      </w:r>
    </w:p>
    <w:p>
      <w:pPr>
        <w:spacing w:after="200"/>
      </w:pPr>
      <w:r>
        <w:t xml:space="preserve">Documents 01–03 describe where Yendzi is going and should not be edited to match the code. This one describes where it is, and should be rewritten whenever that changes materially.</w:t>
      </w:r>
    </w:p>
    <w:p>
      <w:pPr>
        <w:spacing w:before="480" w:after="80"/>
        <w:jc w:val="center"/>
      </w:pPr>
      <w:r>
        <w:rPr>
          <w:b/>
          <w:bCs/>
          <w:color w:val="2E7D32"/>
        </w:rPr>
        <w:t xml:space="preserve">Yendzi Build Status v1.0 — the map is not the territory.</w:t>
      </w:r>
    </w:p>
    <w:p>
      <w:pPr>
        <w:jc w:val="center"/>
      </w:pPr>
      <w:r>
        <w:rPr>
          <w:i/>
          <w:iCs/>
          <w:color w:val="666666"/>
        </w:rPr>
        <w:t xml:space="preserve">Yɛn Adze — Our 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YENDZI · Build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2E7D32"/>
      <w:sz w:val="44"/>
      <w:szCs w:val="44"/>
    </w:rPr>
  </w:style>
  <w:style w:type="paragraph" w:styleId="Heading2">
    <w:name w:val="Heading 2"/>
    <w:basedOn w:val="Normal"/>
    <w:next w:val="Normal"/>
    <w:qFormat/>
    <w:pPr>
      <w:spacing w:after="160" w:before="320"/>
      <w:outlineLvl w:val="1"/>
    </w:pPr>
    <w:rPr>
      <w:rFonts w:ascii="Calibri" w:cs="Calibri" w:eastAsia="Calibri" w:hAnsi="Calibri"/>
      <w:b/>
      <w:bCs/>
      <w:color w:val="1B1B1B"/>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2E7D32"/>
      <w:sz w:val="26"/>
      <w:szCs w:val="26"/>
    </w:rPr>
  </w:style>
  <w:style w:type="paragraph" w:styleId="Heading4">
    <w:name w:val="Heading 4"/>
    <w:basedOn w:val="Normal"/>
    <w:next w:val="Normal"/>
    <w:qFormat/>
    <w:pPr>
      <w:spacing w:after="100" w:before="200"/>
      <w:outlineLvl w:val="3"/>
    </w:pPr>
    <w:rPr>
      <w:rFonts w:ascii="Calibri" w:cs="Calibri" w:eastAsia="Calibri" w:hAnsi="Calibri"/>
      <w:b/>
      <w:bCs/>
      <w:color w:val="1B1B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Yendzi Team</dc:creator>
  <cp:lastModifiedBy>Un-named</cp:lastModifiedBy>
  <cp:revision>1</cp:revision>
  <dcterms:created xsi:type="dcterms:W3CDTF">2026-05-27T11:17:35.101Z</dcterms:created>
  <dcterms:modified xsi:type="dcterms:W3CDTF">2026-05-27T11:17:35.101Z</dcterms:modified>
</cp:coreProperties>
</file>

<file path=docProps/custom.xml><?xml version="1.0" encoding="utf-8"?>
<Properties xmlns="http://schemas.openxmlformats.org/officeDocument/2006/custom-properties" xmlns:vt="http://schemas.openxmlformats.org/officeDocument/2006/docPropsVTypes"/>
</file>