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85D10" w14:textId="64FB091E" w:rsidR="00F15EA7" w:rsidRPr="00335932" w:rsidRDefault="00726130" w:rsidP="0020357B">
      <w:pPr>
        <w:pStyle w:val="HeadingEULA"/>
      </w:pPr>
      <w:bookmarkStart w:id="0" w:name="_GoBack"/>
      <w:bookmarkEnd w:id="0"/>
      <w:r w:rsidRPr="00335932">
        <w:t>LICENCFELTÉTELEK MICROSOFT SZOFTVERHEZ</w:t>
      </w:r>
    </w:p>
    <w:p w14:paraId="7781957D" w14:textId="6ECBF834" w:rsidR="0046467A" w:rsidRPr="00335932" w:rsidRDefault="00726130" w:rsidP="0046467A">
      <w:pPr>
        <w:pStyle w:val="HeadingSoftwareTitle"/>
        <w:pBdr>
          <w:bottom w:val="none" w:sz="0" w:space="0" w:color="auto"/>
        </w:pBdr>
      </w:pPr>
      <w:r>
        <w:t>SOFTWARE FOR VIDEO CONFERENCING IN MOBILE APPLICATIONS POWERED BY SKYPE FOR BUSINESS</w:t>
      </w:r>
    </w:p>
    <w:p w14:paraId="58B29C81" w14:textId="7C488246" w:rsidR="0046467A" w:rsidRPr="00335932" w:rsidRDefault="004027B8" w:rsidP="00463AA0">
      <w:pPr>
        <w:pStyle w:val="Preamble"/>
        <w:spacing w:after="0"/>
      </w:pPr>
      <w:r>
        <w:pict w14:anchorId="47171B36">
          <v:rect id="_x0000_i1025" style="width:0;height:1.5pt" o:hralign="center" o:hrstd="t" o:hr="t" fillcolor="#a0a0a0" stroked="f"/>
        </w:pict>
      </w:r>
    </w:p>
    <w:p w14:paraId="306FC705" w14:textId="3B9DBFC6" w:rsidR="00F15EA7" w:rsidRPr="00335932" w:rsidRDefault="00726130" w:rsidP="00463AA0">
      <w:pPr>
        <w:pStyle w:val="Preamble"/>
        <w:spacing w:before="0"/>
      </w:pPr>
      <w:r w:rsidRPr="00335932">
        <w:t>A jelen dokumentumban foglalt licencfeltételek szerződést képeznek Ön és a Microsoft Corporation (vagy egy társvállalata) között. Ezen feltételek a fent nevezett szoftverre és a Microsoft bármely egyéb szolgáltatására vagy szoftverfrissítésére egyaránt vonatkoznak (kivéve, ha az ilyen szolgáltatásokhoz vagy frissítésekhez új vagy kiegészítő feltételek tartoznak, mely esetben a jövőre vonatkozóan ezen eltérő feltételek tekintendők érvényesnek, és nem módosítják az Ön vagy a Microsoft frissítés előtti szoftverhez vagy szolgáltatáshoz fűződő jogait). HA ELFOGADJA A JELEN LICENCFELTÉTELEKET, AKKOR ÖN AZ ALÁBB ISMERTETETT JOGOKKAL RENDELKEZIK. AZZAL, HOGY HASZNÁLJA A SZOFTVERT, ÖN ELFOGADJA A JELEN FELTÉTELEKET.</w:t>
      </w:r>
    </w:p>
    <w:p w14:paraId="4B32D79E" w14:textId="045847B5" w:rsidR="00B406AF" w:rsidRPr="00335932" w:rsidRDefault="00726130" w:rsidP="0020357B">
      <w:pPr>
        <w:pStyle w:val="Heading1"/>
        <w:numPr>
          <w:ilvl w:val="0"/>
          <w:numId w:val="26"/>
        </w:numPr>
      </w:pPr>
      <w:r w:rsidRPr="00335932">
        <w:rPr>
          <w:b/>
        </w:rPr>
        <w:t>TELEPÍTÉSI ÉS HASZNÁLATI JOGOK.</w:t>
      </w:r>
    </w:p>
    <w:p w14:paraId="7886A934" w14:textId="76F2C71B" w:rsidR="00F15EA7" w:rsidRPr="00335932" w:rsidRDefault="00726130" w:rsidP="007F0146">
      <w:pPr>
        <w:pStyle w:val="Heading2"/>
        <w:numPr>
          <w:ilvl w:val="1"/>
          <w:numId w:val="21"/>
        </w:numPr>
      </w:pPr>
      <w:bookmarkStart w:id="1" w:name="OLE_LINK7"/>
      <w:bookmarkStart w:id="2" w:name="OLE_LINK8"/>
      <w:r w:rsidRPr="00335932">
        <w:rPr>
          <w:b/>
        </w:rPr>
        <w:t>Általános rendelkezések.</w:t>
      </w:r>
      <w:r w:rsidRPr="00B7004C">
        <w:rPr>
          <w:rStyle w:val="LogoportDoNotTranslate"/>
          <w:rFonts w:ascii="Tahoma" w:hAnsi="Tahoma" w:cs="Tahoma"/>
          <w:color w:val="auto"/>
          <w:sz w:val="19"/>
        </w:rPr>
        <w:t xml:space="preserve"> </w:t>
      </w:r>
      <w:r w:rsidRPr="00335932">
        <w:t>Ön a szoftver példány</w:t>
      </w:r>
      <w:r w:rsidR="000A0B24">
        <w:t>ai</w:t>
      </w:r>
      <w:r w:rsidRPr="00335932">
        <w:t xml:space="preserve">t </w:t>
      </w:r>
      <w:r w:rsidR="000A0B24">
        <w:t xml:space="preserve">az eszközein kizárólag </w:t>
      </w:r>
      <w:r w:rsidR="00AD33B0">
        <w:t xml:space="preserve">olyan </w:t>
      </w:r>
      <w:r w:rsidR="000A0B24">
        <w:t>szoftveralkalmazás</w:t>
      </w:r>
      <w:r w:rsidR="00AD33B0">
        <w:t>-</w:t>
      </w:r>
      <w:r w:rsidR="000A0B24">
        <w:t>verzió</w:t>
      </w:r>
      <w:r w:rsidR="00AD33B0">
        <w:t>kk</w:t>
      </w:r>
      <w:r w:rsidR="000A0B24">
        <w:t>al használhatja, amelyek érvényesen licencelt Microsoft Skype Vállalati kiszolgálóval vagy Skype Vállalati online verzióval kommunikálnak</w:t>
      </w:r>
      <w:r w:rsidRPr="00335932">
        <w:t>.</w:t>
      </w:r>
    </w:p>
    <w:bookmarkEnd w:id="1"/>
    <w:bookmarkEnd w:id="2"/>
    <w:p w14:paraId="38D69ADA" w14:textId="51DC278B" w:rsidR="00710258" w:rsidRPr="00335932" w:rsidRDefault="00726130" w:rsidP="00710258">
      <w:pPr>
        <w:pStyle w:val="Heading2"/>
        <w:numPr>
          <w:ilvl w:val="1"/>
          <w:numId w:val="21"/>
        </w:numPr>
      </w:pPr>
      <w:r w:rsidRPr="00335932">
        <w:rPr>
          <w:b/>
        </w:rPr>
        <w:t>Harmadik féltől származó szoftverek.</w:t>
      </w:r>
      <w:r w:rsidRPr="00335932">
        <w:t xml:space="preserve"> A szoftver tartalmazhat olyan, harmadik féltől származó alkalmazást, amelyet Ön a jelen szerződés alapján vagy azok saját feltételei szerint kap licencbe. A harmadik felektől származó alkalmazásokra vonatkozó licencfeltételek, értesítések és nyilatkozatok (ha vannak) online a </w:t>
      </w:r>
      <w:hyperlink r:id="rId8" w:history="1">
        <w:r w:rsidRPr="00B7004C">
          <w:rPr>
            <w:rStyle w:val="Hyperlink"/>
            <w:rFonts w:cs="Tahoma"/>
          </w:rPr>
          <w:t>http://aka.ms/thirdpartynotices</w:t>
        </w:r>
      </w:hyperlink>
      <w:r w:rsidRPr="00335932">
        <w:t xml:space="preserve"> címen vagy a kapcsolódó értesítési fájlban tekinthetők meg. Az alábbi fenntartások, illetve a károkért való felelősség korlátozása és kizárása – az alkalmazandó jog által megengedett mértékig – abban az esetben is érvényes, ha ezekre az alkalmazásokra más szerződések vonatkoznak.</w:t>
      </w:r>
    </w:p>
    <w:p w14:paraId="37430964" w14:textId="64ED4CA5" w:rsidR="00F15EA7" w:rsidRPr="00335932" w:rsidRDefault="00726130" w:rsidP="00BE0EDE">
      <w:pPr>
        <w:pStyle w:val="Heading1"/>
        <w:numPr>
          <w:ilvl w:val="0"/>
          <w:numId w:val="26"/>
        </w:numPr>
      </w:pPr>
      <w:r w:rsidRPr="00335932">
        <w:rPr>
          <w:b/>
        </w:rPr>
        <w:t>A LICENC TERJEDELME.</w:t>
      </w:r>
      <w:r w:rsidRPr="00335932">
        <w:t xml:space="preserve"> Ön csak a szoftver licencét szerezte meg, a tulajdonjogát nem. A Microsoft minden egyéb jogot fenntart. Feltéve, hogy az alkalmazandó jogszabályok e korlátozások ellenében nem biztosítanak Önnek több jogot, Ön:</w:t>
      </w:r>
    </w:p>
    <w:p w14:paraId="21CC1C12" w14:textId="56749ED8" w:rsidR="00F15EA7" w:rsidRPr="00335932" w:rsidRDefault="00726130" w:rsidP="00D145B6">
      <w:pPr>
        <w:pStyle w:val="Bullet2"/>
        <w:numPr>
          <w:ilvl w:val="0"/>
          <w:numId w:val="30"/>
        </w:numPr>
        <w:tabs>
          <w:tab w:val="left" w:pos="4950"/>
        </w:tabs>
      </w:pPr>
      <w:r w:rsidRPr="00335932">
        <w:rPr>
          <w:b w:val="0"/>
          <w:bCs/>
        </w:rPr>
        <w:t>nem kerülheti meg a szoftver olyan technikai korlátozásait, amelyek annak csak meghatározott módokon történő használatát teszik lehetővé;</w:t>
      </w:r>
    </w:p>
    <w:p w14:paraId="2E5D90BE" w14:textId="0D651467" w:rsidR="00F15EA7" w:rsidRPr="00335932" w:rsidRDefault="00726130" w:rsidP="00D145B6">
      <w:pPr>
        <w:pStyle w:val="Bullet2"/>
        <w:numPr>
          <w:ilvl w:val="0"/>
          <w:numId w:val="30"/>
        </w:numPr>
      </w:pPr>
      <w:r w:rsidRPr="00335932">
        <w:rPr>
          <w:b w:val="0"/>
          <w:bCs/>
        </w:rPr>
        <w:t>nem fordíthatja vissza és nem fejtheti vissza a szoftvert, nem nyerheti vissza annak forráskódját;</w:t>
      </w:r>
    </w:p>
    <w:p w14:paraId="56869753" w14:textId="3A74C61B" w:rsidR="00FD293A" w:rsidRPr="00335932" w:rsidRDefault="00726130" w:rsidP="00D145B6">
      <w:pPr>
        <w:pStyle w:val="Bullet2"/>
        <w:numPr>
          <w:ilvl w:val="0"/>
          <w:numId w:val="30"/>
        </w:numPr>
      </w:pPr>
      <w:r w:rsidRPr="00335932">
        <w:rPr>
          <w:b w:val="0"/>
          <w:bCs/>
        </w:rPr>
        <w:t>nem távolíthatja el, minimalizálhatja, blokkolhatja vagy módosíthatja a Microsoft vagy annak szállítóinak szoftverben foglalt értesítéseit;</w:t>
      </w:r>
    </w:p>
    <w:p w14:paraId="2045DC0F" w14:textId="50AC5305" w:rsidR="00DC3A02" w:rsidRPr="00335932" w:rsidRDefault="00726130" w:rsidP="00D145B6">
      <w:pPr>
        <w:pStyle w:val="Bullet2"/>
        <w:numPr>
          <w:ilvl w:val="0"/>
          <w:numId w:val="30"/>
        </w:numPr>
      </w:pPr>
      <w:r w:rsidRPr="00335932">
        <w:rPr>
          <w:b w:val="0"/>
        </w:rPr>
        <w:t>nem használhatja a szoftvert kereskedelmi, non-profit vagy bevételszerzési tevékenységekhez kivéve, ha külön szerződés keretében Ön kereskedelmi használati jogokat vásárolt;</w:t>
      </w:r>
    </w:p>
    <w:p w14:paraId="04681DE1" w14:textId="100BED1D" w:rsidR="000E462E" w:rsidRPr="00335932" w:rsidRDefault="00726130" w:rsidP="00D145B6">
      <w:pPr>
        <w:pStyle w:val="Bullet2"/>
        <w:numPr>
          <w:ilvl w:val="0"/>
          <w:numId w:val="30"/>
        </w:numPr>
      </w:pPr>
      <w:r w:rsidRPr="00335932">
        <w:rPr>
          <w:b w:val="0"/>
          <w:bCs/>
        </w:rPr>
        <w:t>nem használhatja a szoftvert semmiféle jogszabályba ütköző módon vagy kártékony programok létrehozásához vagy terjesztéséhez; vagy</w:t>
      </w:r>
    </w:p>
    <w:p w14:paraId="294EE23C" w14:textId="5AF7EC35" w:rsidR="00F15EA7" w:rsidRPr="00335932" w:rsidRDefault="00726130" w:rsidP="00A501E5">
      <w:pPr>
        <w:pStyle w:val="Bullet2"/>
        <w:numPr>
          <w:ilvl w:val="0"/>
          <w:numId w:val="30"/>
        </w:numPr>
      </w:pPr>
      <w:r w:rsidRPr="00335932">
        <w:rPr>
          <w:b w:val="0"/>
          <w:bCs/>
        </w:rPr>
        <w:t>nem oszthatja meg, teheti közzé, terjesztheti vagy adhatja kölcsön a szoftvert, a szoftvert nem kínálhatja fel másoknak használatra különállóan üzemeltetett megoldásként, és a szoftvert vagy a jelen szerződést nem ruházhatja át egyetlen harmadik félre sem.</w:t>
      </w:r>
    </w:p>
    <w:p w14:paraId="66A82FA4" w14:textId="3113D4D4" w:rsidR="00F31CA3" w:rsidRPr="00335932" w:rsidRDefault="00726130" w:rsidP="008D5599">
      <w:pPr>
        <w:pStyle w:val="Heading1"/>
        <w:numPr>
          <w:ilvl w:val="0"/>
          <w:numId w:val="26"/>
        </w:numPr>
      </w:pPr>
      <w:r w:rsidRPr="00335932">
        <w:rPr>
          <w:b/>
        </w:rPr>
        <w:t>VIDEOKODEKEK.</w:t>
      </w:r>
      <w:r w:rsidRPr="00335932">
        <w:t xml:space="preserve"> EZT A TERMÉKET AZ AVC, A VC-1 ÉS AZ MPEG-4 PART 2 KÉPI SZABADALOMHOZ TARTOZÓ LICENCEK ÉRTELMÉBEN SZEMÉLYES ÉS NEM ÜZLETI CÉLÚ FELHASZNÁLÁSRA EGY FOGYASZTÓNAK LICENCELJÜK (i) VIDEOANYAG KÓDOLÁSÁRA A FENTI SZABVÁNYOKNAK („VIDEOSZABVÁNYOK</w:t>
      </w:r>
      <w:r>
        <w:t>”</w:t>
      </w:r>
      <w:r w:rsidRPr="00335932">
        <w:t xml:space="preserve">) MEGFELELŐEN VAGY (ii) OLYAN AVC, VC-1 ÉS MPEG-4 PART 2 VIDEOANYAG DEKÓDOLÁSÁRA, AMELYET EGY FOGYASZTÓ SZEMÉLYES ÉS NEM ÜZLETI CÉLÚ TEVÉKENYSÉG SORÁN RÖGZÍTETT VAGY AMELY ILYEN VIDEOANYAG SZOLGÁLTATÁSÁRA LICENCCEL RENDELKEZŐ VIDEOSZOLGÁLTATÓTÓL SZÁRMAZIK. A LICENC NEM VONATKOZIK ÉS LICENC NEM VÉLELMEZHETŐ SEMMILYEN MÁS FELHASZNÁLÁSRA. TOVÁBBI TÁJÉKOZTATÁSSAL AZ MPEG LA, L.L.C. VÁLLALAT SZOLGÁL. LÁSD: </w:t>
      </w:r>
      <w:hyperlink r:id="rId9" w:history="1">
        <w:r w:rsidRPr="009C514A">
          <w:rPr>
            <w:rStyle w:val="Hyperlink"/>
            <w:rFonts w:cs="Tahoma"/>
          </w:rPr>
          <w:t>http://aka.ms/mpegla</w:t>
        </w:r>
      </w:hyperlink>
      <w:r w:rsidRPr="00335932">
        <w:t>.</w:t>
      </w:r>
    </w:p>
    <w:p w14:paraId="5249D2B1" w14:textId="6E2C686C" w:rsidR="00F15EA7" w:rsidRPr="00335932" w:rsidRDefault="00726130" w:rsidP="002A4950">
      <w:pPr>
        <w:pStyle w:val="Heading1"/>
        <w:numPr>
          <w:ilvl w:val="0"/>
          <w:numId w:val="26"/>
        </w:numPr>
      </w:pPr>
      <w:r w:rsidRPr="00335932">
        <w:rPr>
          <w:b/>
        </w:rPr>
        <w:lastRenderedPageBreak/>
        <w:t>EXPORTKORLÁTOZÁSOK.</w:t>
      </w:r>
      <w:r w:rsidRPr="00335932">
        <w:t xml:space="preserve"> Ön köteles betartani a szoftverre vonatkozó, a célterületet, a végfelhasználókat és a végfelhasználást illető korlátozásokat tartalmazó valamennyi belföldi és nemzetközi jogszabályt és előírást. Az exportkorlátozásokról további tájékoztatás a következő webhelyen található: </w:t>
      </w:r>
      <w:hyperlink r:id="rId10" w:history="1">
        <w:r w:rsidRPr="009C514A">
          <w:rPr>
            <w:rStyle w:val="Hyperlink"/>
            <w:rFonts w:cs="Tahoma"/>
          </w:rPr>
          <w:t>http://aka.ms/exporting</w:t>
        </w:r>
      </w:hyperlink>
      <w:r w:rsidRPr="00335932">
        <w:t>.</w:t>
      </w:r>
    </w:p>
    <w:p w14:paraId="7524A14C" w14:textId="70F3BEA1" w:rsidR="00F15EA7" w:rsidRPr="00335932" w:rsidRDefault="00726130" w:rsidP="002A4950">
      <w:pPr>
        <w:pStyle w:val="Heading1"/>
        <w:numPr>
          <w:ilvl w:val="0"/>
          <w:numId w:val="26"/>
        </w:numPr>
      </w:pPr>
      <w:r w:rsidRPr="00335932">
        <w:rPr>
          <w:b/>
        </w:rPr>
        <w:t>TERMÉKTÁMOGATÁSI SZOLGÁLTATÁSOK.</w:t>
      </w:r>
      <w:r w:rsidRPr="00335932">
        <w:t xml:space="preserve"> A Microsoft a jelen szerződés értelmében nem köteles terméktámogatási szolgáltatásokat nyújtani a szoftverhez. Minden biztosított támogatás „adott állapotban”, „annak minden hibájával együtt” érhető el, bármiféle garanciavállalás nélkül.</w:t>
      </w:r>
    </w:p>
    <w:p w14:paraId="194CC803" w14:textId="03F72068" w:rsidR="00F15EA7" w:rsidRPr="00335932" w:rsidRDefault="00726130" w:rsidP="00896399">
      <w:pPr>
        <w:pStyle w:val="Heading1"/>
        <w:numPr>
          <w:ilvl w:val="0"/>
          <w:numId w:val="26"/>
        </w:numPr>
      </w:pPr>
      <w:r w:rsidRPr="00335932">
        <w:rPr>
          <w:b/>
        </w:rPr>
        <w:t>A SZERZŐDÉS TELJESSÉGE.</w:t>
      </w:r>
      <w:r w:rsidRPr="00335932">
        <w:t xml:space="preserve"> A jelen szerződés, valamint a Microsoft által megadott, kiegészítésekre, frissítésekre vagy harmadik felek által biztosított alkalmazásokra vonatkozó egyéb feltételek alkotják a teljes megállapodást erre a szoftverre vonatkozóan.</w:t>
      </w:r>
    </w:p>
    <w:p w14:paraId="31A1E80B" w14:textId="0758CAAA" w:rsidR="00F15EA7" w:rsidRPr="00335932" w:rsidRDefault="00726130" w:rsidP="00896399">
      <w:pPr>
        <w:pStyle w:val="Heading1"/>
        <w:numPr>
          <w:ilvl w:val="0"/>
          <w:numId w:val="26"/>
        </w:numPr>
      </w:pPr>
      <w:r w:rsidRPr="00335932">
        <w:rPr>
          <w:b/>
        </w:rPr>
        <w:t>ALKALMAZANDÓ JOG ÉS VITARENDEZÉSI LEHETŐSÉGET BIZTOSÍTÓ HELYEK.</w:t>
      </w:r>
      <w:r w:rsidRPr="00335932">
        <w:t xml:space="preserve"> Ha Ön az Amerikai Egyesült Államokban vagy Kanadában vásárolta meg a szoftvert, a jelen szerződés értelmezésével, az azzal kapcsolatos jogviták és minden egyéb követelés tekintetében (beleértve az állami fogyasztóvédelmi törvényekkel, a tisztességtelen verseny tilalmának megszegésével és a szerződésen kívüli károkozással kapcsolatos igényeket is) az Ön lakhelye (vagy vállalat esetén székhelye) szerinti államnak, illetve országnak a törvényei az irányadók, tekintet nélkül a nemzetközi magánjog irányadó jogot megállapító alapelveire. Ha a szoftvert bármely más országban szerezte be, az adott ország törvényei az irányadók. Ha megállapítható amerikai egyesült államokbeli szövetségi illetékesség, akkor Ön és a Microsoft hozzájárulnak Washington állam King megyéjében működő szövetségi bíróságok kizárólagos joghatóságához és illetékességéhez minden bíróság által tárgyalt jogvita esetén. Ha nem, akkor Ön és a Microsoft hozzájárulnak Washington állam King megyéjében működő Legfelső Bíróság kizárólagos joghatóságához és illetékességéhez minden bíróság által tárgyalt jogvita esetén.</w:t>
      </w:r>
    </w:p>
    <w:p w14:paraId="70F3046E" w14:textId="4401C746" w:rsidR="006E477F" w:rsidRPr="00335932" w:rsidRDefault="00726130" w:rsidP="00896399">
      <w:pPr>
        <w:pStyle w:val="Heading1"/>
        <w:numPr>
          <w:ilvl w:val="0"/>
          <w:numId w:val="26"/>
        </w:numPr>
      </w:pPr>
      <w:r w:rsidRPr="00335932">
        <w:rPr>
          <w:b/>
        </w:rPr>
        <w:t>FOGYASZTÓI JOGOK; REGIONÁLIS ELTÉRÉSEK.</w:t>
      </w:r>
      <w:r w:rsidRPr="00335932">
        <w:t xml:space="preserve"> A jelen szerződés bizonyos jogokat határoz meg. Előfordulhat, hogy az Ön államának, tartományának vagy országának törvényei más jogokat is biztosítanak Önnek, ideértve a fogyasztói jogokat is. A Microsofttal fennálló kapcsolatán kívül Önt azzal a féllel szemben is megillethetik bizonyos jogok, amelytől a szoftvert beszerezte. A jelen szerződés nem módosítja az ilyen jogokat, ha az állam, a tartomány vagy az ország törvényei ezt nem engedik meg. Ha például Ön a szoftvert az alábbi térségek valamelyikében szerezte be, vagy ha kötelezően alkalmazandók országspecifikus törvények, akkor Önre a következő rendelkezések vonatkoznak:</w:t>
      </w:r>
    </w:p>
    <w:p w14:paraId="35FDEA05" w14:textId="272EDE13" w:rsidR="006E477F" w:rsidRPr="00335932" w:rsidRDefault="00726130" w:rsidP="00896399">
      <w:pPr>
        <w:pStyle w:val="Heading2"/>
        <w:numPr>
          <w:ilvl w:val="1"/>
          <w:numId w:val="14"/>
        </w:numPr>
        <w:ind w:left="717"/>
      </w:pPr>
      <w:r w:rsidRPr="00335932">
        <w:rPr>
          <w:b/>
        </w:rPr>
        <w:t>Ausztráliában.</w:t>
      </w:r>
      <w:r w:rsidRPr="00335932">
        <w:t xml:space="preserve"> Önt az ausztrál fogyasztóvédelmi törvény értelmében kötelező garanciák illetik meg, és a jelen szerződésnek nem célja e jogainak csorbítása.</w:t>
      </w:r>
    </w:p>
    <w:p w14:paraId="6907979B" w14:textId="2C0A0A05" w:rsidR="006E477F" w:rsidRPr="00335932" w:rsidRDefault="00726130" w:rsidP="00896399">
      <w:pPr>
        <w:pStyle w:val="Heading2"/>
        <w:numPr>
          <w:ilvl w:val="1"/>
          <w:numId w:val="14"/>
        </w:numPr>
        <w:ind w:left="717"/>
      </w:pPr>
      <w:r w:rsidRPr="00335932">
        <w:rPr>
          <w:b/>
        </w:rPr>
        <w:t>Kanadában.</w:t>
      </w:r>
      <w:r w:rsidRPr="00335932">
        <w:t xml:space="preserve"> Ha Ön Kanadában szerezte be a szoftvert, leállíthatja a frissítéseket, ha letiltja az automatikus frissítés funkciót, ha eszközén megszakítja az internetkapcsolatot (de ha és amikor ismételten csatlakozik, a szoftver folytatja a frissítések keresését és telepítését), vagy ha eltávolítja a szoftvert. Azt, hogy az Ön konkrét eszköze, illetve szoftvere esetében miként kell kikapcsolni a frissítéseket, a termék dokumentációja tartalmazza (ha van ilyen).</w:t>
      </w:r>
    </w:p>
    <w:p w14:paraId="635014AF" w14:textId="182F1E96" w:rsidR="006E477F" w:rsidRPr="00335932" w:rsidRDefault="00726130" w:rsidP="00896399">
      <w:pPr>
        <w:pStyle w:val="Heading2"/>
        <w:numPr>
          <w:ilvl w:val="1"/>
          <w:numId w:val="14"/>
        </w:numPr>
        <w:ind w:left="717"/>
      </w:pPr>
      <w:r w:rsidRPr="00335932">
        <w:rPr>
          <w:b/>
        </w:rPr>
        <w:t>Németország és Ausztria.</w:t>
      </w:r>
    </w:p>
    <w:p w14:paraId="123675B0" w14:textId="77777777" w:rsidR="006E477F" w:rsidRPr="00133F64" w:rsidRDefault="00726130" w:rsidP="00F23EF9">
      <w:pPr>
        <w:ind w:left="1440" w:hanging="720"/>
        <w:rPr>
          <w:b w:val="0"/>
          <w:bCs/>
        </w:rPr>
      </w:pPr>
      <w:r w:rsidRPr="00335932">
        <w:t>(i)</w:t>
      </w:r>
      <w:r w:rsidRPr="00335932">
        <w:tab/>
        <w:t>Szavatosság.</w:t>
      </w:r>
      <w:r w:rsidRPr="00335932">
        <w:rPr>
          <w:b w:val="0"/>
        </w:rPr>
        <w:t xml:space="preserve"> A megfelelően licencelt szoftver alapvetően a szoftverhez mellékelt Microsoft-dokumentációban foglaltaknak megfelelően fog működni. A Microsoft azonban nem nyújt szerződéses garanciát a licencelt szoftverhez kapcsolódóan.</w:t>
      </w:r>
    </w:p>
    <w:p w14:paraId="4E4D9AEE" w14:textId="77777777" w:rsidR="006E477F" w:rsidRPr="00133F64" w:rsidRDefault="00726130" w:rsidP="00F23EF9">
      <w:pPr>
        <w:ind w:left="1440" w:hanging="720"/>
        <w:rPr>
          <w:b w:val="0"/>
          <w:bCs/>
        </w:rPr>
      </w:pPr>
      <w:r w:rsidRPr="00335932">
        <w:t>(ii)</w:t>
      </w:r>
      <w:r w:rsidRPr="00335932">
        <w:tab/>
        <w:t>A felelősség korlátozása.</w:t>
      </w:r>
      <w:r w:rsidRPr="00335932">
        <w:rPr>
          <w:b w:val="0"/>
        </w:rPr>
        <w:t xml:space="preserve"> Szándékos magatartás, súlyos gondatlanság, a Termékfelelősségi Törvényen alapuló igények, valamint halál, személyi vagy fizikai sérülés esetén a Microsoft a törvényi szabályoknak megfelelően tartozik felelősséggel.</w:t>
      </w:r>
    </w:p>
    <w:p w14:paraId="2B4FB661" w14:textId="670153DD" w:rsidR="00F15EA7" w:rsidRPr="00335932" w:rsidRDefault="00726130" w:rsidP="00896399">
      <w:pPr>
        <w:pStyle w:val="Heading1"/>
        <w:ind w:left="720"/>
      </w:pPr>
      <w:r w:rsidRPr="00335932">
        <w:t>Az előző (ii) pont alapján a Microsoft csak akkor tartozik felelősséggel a kismértékű gondatlanságért, ha a Microsoft olyan lényeges szerződési kötelezettségeit szegi meg, amelyek teljesítése elősegíti a jelen szerződés rendelkezéseinek betartását, amelyek megszegése veszélyezteti a jelen szerződés célját, és amelyek betartásában egy fél folyamatosan bízhat (úgynevezett „sarkalatos kötelezettségek”). A kismértékű gondatlanság egyéb eseteiben a Microsoft nem felelős a kismértékű gondatlanságért.</w:t>
      </w:r>
    </w:p>
    <w:p w14:paraId="2C146C8C" w14:textId="42A97B9F" w:rsidR="00F15EA7" w:rsidRPr="00335932" w:rsidRDefault="00726130" w:rsidP="00CB50D2">
      <w:pPr>
        <w:pStyle w:val="Heading1"/>
        <w:numPr>
          <w:ilvl w:val="0"/>
          <w:numId w:val="26"/>
        </w:numPr>
      </w:pPr>
      <w:r w:rsidRPr="00335932">
        <w:rPr>
          <w:b/>
        </w:rPr>
        <w:lastRenderedPageBreak/>
        <w:t>A SZAVATOSSÁG KIZÁRÁSA. A LICENC AZ „ADOTT ÁLLAPOTÚ” SZOFTVERHEZ BIZTOSÍT ÖNNEK JOGOKAT. ÖN A SZOFTVERT SAJÁT FELELŐSSÉGÉRE HASZNÁLJA. A MICROSOFT NEM NYÚJT SEMMIFÉLE KIFEJEZETT SZAVATOSSÁGOT, GARANCIÁT VAGY FELTÉTELT. A MICROSOFT EZÚTON AZ ALKALMAZANDÓ JOGSZABÁLYOK ÁLTAL MEGENGEDETT LEGNAGYOBB MÉRTÉKBEN KIZÁR BÁRMIFÉLE VÉLELMEZETT SZAVATOSSÁGOT, BELEÉRTVE A FORGALMAZHATÓSÁGRA, ILLETVE AZ ADOTT CÉLRA VALÓ ALKALMASSÁGRA ÉS A JOGBITORLÁS-MENTESSÉGRE VONATKOZÓAKAT IS.</w:t>
      </w:r>
    </w:p>
    <w:p w14:paraId="26951160" w14:textId="308FB50B" w:rsidR="00F15EA7" w:rsidRPr="00335932" w:rsidRDefault="00726130" w:rsidP="00896399">
      <w:pPr>
        <w:pStyle w:val="Heading1"/>
        <w:numPr>
          <w:ilvl w:val="0"/>
          <w:numId w:val="26"/>
        </w:numPr>
      </w:pPr>
      <w:r w:rsidRPr="00335932">
        <w:rPr>
          <w:b/>
        </w:rPr>
        <w:t>KÁRFELELŐSSÉG KIZÁRÁSA ÉS KORLÁTOZÁSA. HA AZ ELŐBBI SZAVATOSSÁGKIZÁRÁS ELLENÉRE ÖNNEK BÁRMIFÉLE ALAPJA VAN ARRA, HOGY KÁRTÉRÍTÉST KÉRJEN, A MICROSOFTTÓL VAGY A MICROSOFT SZÁLLÍTÓITÓL CSAK KÖZVETLEN KÁR ESETÉN, 5,00 USD EREJÉIG KAPHAT KÁRTÉRÍTÉST. ÖN NEM KAPHAT KÁRTÉRÍTÉST SEMMIFÉLE EGYÉB KÁRÉRT, BELEÉRTVE A KÖVETKEZMÉNYI, AZ ÜZLETI HASZON ELMARADÁSÁBÓL EREDŐ, A RENDKÍVÜLI, A KÖZVETETT ÉS A VÉLETLENSZERŰ KÁROKAT IS.</w:t>
      </w:r>
    </w:p>
    <w:p w14:paraId="3FC85389" w14:textId="2B8CD7BD" w:rsidR="00F15EA7" w:rsidRPr="00335932" w:rsidRDefault="00726130" w:rsidP="00896399">
      <w:pPr>
        <w:pStyle w:val="Body1"/>
      </w:pPr>
      <w:r w:rsidRPr="00335932">
        <w:t>Ez a korlátozás vonatkozik (a) bármely, a szoftverrel, szolgáltatással, harmadik fél webhelyén található tartalommal (beleértve a kódot is) vagy harmadik fél webhelyével vagy alkalmazásával kapcsolatos ügyre, valamint (b) a szerződésszegéssel, a garanciális kötelezettségek megsértésével, garanciával vagy feltétellel, fokozott felelősséggel, hanyagsággal vagy más, szerződésen kívül okozott vagy egyéb kárral kapcsolatos igényre, minden esetben az alkalmazandó jogszabályok által megengedett legteljesebb mértékben.</w:t>
      </w:r>
    </w:p>
    <w:p w14:paraId="54016D2E" w14:textId="77777777" w:rsidR="00262C9F" w:rsidRPr="00335932" w:rsidRDefault="00726130" w:rsidP="00896399">
      <w:pPr>
        <w:pStyle w:val="Body1"/>
      </w:pPr>
      <w:r w:rsidRPr="00335932">
        <w:t>A korlátozás akkor is érvényes, ha a Microsoft tudott, vagy ha a Microsoftnak tudnia kellett volna az ilyen károk bekövetkeztének lehetőségéről. Előfordulhat, hogy a fenti korlátozás nem vonatkozik Önre, mert tagállama, megyéje vagy országa nem teszi lehetővé a járulékos, következményi vagy egyéb károkért való felelősség kizárását, illetve korlátozását.</w:t>
      </w:r>
    </w:p>
    <w:p w14:paraId="5ADBB01B" w14:textId="038E7DC4" w:rsidR="00D91859" w:rsidRPr="00335932" w:rsidRDefault="004027B8" w:rsidP="00A17E74">
      <w:pPr>
        <w:pStyle w:val="Heading1"/>
        <w:ind w:left="357"/>
      </w:pPr>
    </w:p>
    <w:sectPr w:rsidR="00D91859" w:rsidRPr="00335932" w:rsidSect="00FA1A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A6937" w14:textId="77777777" w:rsidR="004027B8" w:rsidRDefault="004027B8" w:rsidP="002B5C2F">
      <w:r>
        <w:separator/>
      </w:r>
    </w:p>
  </w:endnote>
  <w:endnote w:type="continuationSeparator" w:id="0">
    <w:p w14:paraId="7340FF41" w14:textId="77777777" w:rsidR="004027B8" w:rsidRDefault="004027B8" w:rsidP="002B5C2F">
      <w:r>
        <w:continuationSeparator/>
      </w:r>
    </w:p>
  </w:endnote>
  <w:endnote w:type="continuationNotice" w:id="1">
    <w:p w14:paraId="0B30017A" w14:textId="77777777" w:rsidR="004027B8" w:rsidRDefault="004027B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7AD53" w14:textId="3C8A28B9" w:rsidR="00BA2CF9" w:rsidRPr="00ED21B0" w:rsidRDefault="004027B8" w:rsidP="00ED21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63F74" w14:textId="77777777" w:rsidR="00BA2CF9" w:rsidRDefault="004027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F9DE" w14:textId="44EC6922" w:rsidR="00BA2CF9" w:rsidRPr="00ED21B0" w:rsidRDefault="004027B8" w:rsidP="00ED2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2AF2" w14:textId="77777777" w:rsidR="004027B8" w:rsidRDefault="004027B8" w:rsidP="002B5C2F">
      <w:r>
        <w:separator/>
      </w:r>
    </w:p>
  </w:footnote>
  <w:footnote w:type="continuationSeparator" w:id="0">
    <w:p w14:paraId="780EC7AD" w14:textId="77777777" w:rsidR="004027B8" w:rsidRDefault="004027B8" w:rsidP="002B5C2F">
      <w:r>
        <w:continuationSeparator/>
      </w:r>
    </w:p>
  </w:footnote>
  <w:footnote w:type="continuationNotice" w:id="1">
    <w:p w14:paraId="64C0BE13" w14:textId="77777777" w:rsidR="004027B8" w:rsidRDefault="004027B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02E9B" w14:textId="77777777" w:rsidR="00BA2CF9" w:rsidRDefault="004027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EA200" w14:textId="77777777" w:rsidR="00BA2CF9" w:rsidRDefault="004027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4B1F8" w14:textId="77777777" w:rsidR="00BA2CF9" w:rsidRDefault="004027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96FA8"/>
    <w:multiLevelType w:val="multilevel"/>
    <w:tmpl w:val="8F5E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>
    <w:nsid w:val="27B21473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3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A97E29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9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F7A53"/>
    <w:multiLevelType w:val="multilevel"/>
    <w:tmpl w:val="8F5E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5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8"/>
  </w:num>
  <w:num w:numId="4">
    <w:abstractNumId w:val="27"/>
  </w:num>
  <w:num w:numId="5">
    <w:abstractNumId w:val="31"/>
  </w:num>
  <w:num w:numId="6">
    <w:abstractNumId w:val="32"/>
  </w:num>
  <w:num w:numId="7">
    <w:abstractNumId w:val="22"/>
  </w:num>
  <w:num w:numId="8">
    <w:abstractNumId w:val="15"/>
  </w:num>
  <w:num w:numId="9">
    <w:abstractNumId w:val="3"/>
  </w:num>
  <w:num w:numId="10">
    <w:abstractNumId w:val="5"/>
  </w:num>
  <w:num w:numId="11">
    <w:abstractNumId w:val="29"/>
  </w:num>
  <w:num w:numId="12">
    <w:abstractNumId w:val="21"/>
  </w:num>
  <w:num w:numId="13">
    <w:abstractNumId w:val="1"/>
  </w:num>
  <w:num w:numId="14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3"/>
  </w:num>
  <w:num w:numId="16">
    <w:abstractNumId w:val="26"/>
  </w:num>
  <w:num w:numId="17">
    <w:abstractNumId w:val="25"/>
  </w:num>
  <w:num w:numId="18">
    <w:abstractNumId w:val="6"/>
  </w:num>
  <w:num w:numId="19">
    <w:abstractNumId w:val="4"/>
  </w:num>
  <w:num w:numId="20">
    <w:abstractNumId w:val="19"/>
  </w:num>
  <w:num w:numId="21">
    <w:abstractNumId w:val="12"/>
  </w:num>
  <w:num w:numId="22">
    <w:abstractNumId w:val="2"/>
  </w:num>
  <w:num w:numId="23">
    <w:abstractNumId w:val="24"/>
  </w:num>
  <w:num w:numId="24">
    <w:abstractNumId w:val="8"/>
  </w:num>
  <w:num w:numId="25">
    <w:abstractNumId w:val="30"/>
  </w:num>
  <w:num w:numId="26">
    <w:abstractNumId w:val="10"/>
  </w:num>
  <w:num w:numId="27">
    <w:abstractNumId w:val="17"/>
  </w:num>
  <w:num w:numId="28">
    <w:abstractNumId w:val="18"/>
  </w:num>
  <w:num w:numId="29">
    <w:abstractNumId w:val="14"/>
  </w:num>
  <w:num w:numId="30">
    <w:abstractNumId w:val="34"/>
  </w:num>
  <w:num w:numId="31">
    <w:abstractNumId w:val="20"/>
  </w:num>
  <w:num w:numId="32">
    <w:abstractNumId w:val="0"/>
  </w:num>
  <w:num w:numId="33">
    <w:abstractNumId w:val="0"/>
  </w:num>
  <w:num w:numId="34">
    <w:abstractNumId w:val="11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24"/>
    <w:rsid w:val="000A0B24"/>
    <w:rsid w:val="000A1CC1"/>
    <w:rsid w:val="004027B8"/>
    <w:rsid w:val="00522725"/>
    <w:rsid w:val="00726130"/>
    <w:rsid w:val="0073667B"/>
    <w:rsid w:val="0099145F"/>
    <w:rsid w:val="00AD33B0"/>
    <w:rsid w:val="00C85C12"/>
    <w:rsid w:val="00CD16A8"/>
    <w:rsid w:val="00CF687A"/>
    <w:rsid w:val="00E1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hu-HU" w:eastAsia="hu-HU" w:bidi="hu-H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hu-HU" w:eastAsia="hu-HU" w:bidi="hu-H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thirdpartynoti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ka.ms/exp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a.ms/mpegl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2017-07-04T18:08:00Z</dcterms:created>
  <dcterms:modified xsi:type="dcterms:W3CDTF">2017-07-05T19:18:00Z</dcterms:modified>
</cp:coreProperties>
</file>