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62987F73" w:rsidR="00F15EA7" w:rsidRPr="00BB1692" w:rsidRDefault="007D554D" w:rsidP="0020357B">
      <w:pPr>
        <w:pStyle w:val="HeadingEULA"/>
      </w:pPr>
      <w:bookmarkStart w:id="0" w:name="_GoBack"/>
      <w:bookmarkEnd w:id="0"/>
      <w:r w:rsidRPr="00BB1692">
        <w:t>MICROSOFT PROGRAMMATŪRAS LICENCES NOSACĪJUMI</w:t>
      </w:r>
    </w:p>
    <w:p w14:paraId="7781957D" w14:textId="6ECBF834" w:rsidR="0046467A" w:rsidRPr="00BB1692" w:rsidRDefault="007D554D" w:rsidP="0046467A">
      <w:pPr>
        <w:pStyle w:val="HeadingSoftwareTitle"/>
        <w:pBdr>
          <w:bottom w:val="none" w:sz="0" w:space="0" w:color="auto"/>
        </w:pBdr>
      </w:pPr>
      <w:r>
        <w:t>SOFTWARE FOR VIDEO CONFERENCING IN MOBILE APPLICATIONS POWERED BY SKYPE FOR BUSINESS</w:t>
      </w:r>
    </w:p>
    <w:p w14:paraId="58B29C81" w14:textId="38A5772F" w:rsidR="0046467A" w:rsidRPr="00BB1692" w:rsidRDefault="00DB2C24" w:rsidP="00463AA0">
      <w:pPr>
        <w:pStyle w:val="Preamble"/>
        <w:spacing w:after="0"/>
      </w:pPr>
      <w:r>
        <w:pict w14:anchorId="47171B36">
          <v:rect id="_x0000_i1025" style="width:0;height:1.5pt" o:hralign="center" o:hrstd="t" o:hr="t" fillcolor="#a0a0a0" stroked="f"/>
        </w:pict>
      </w:r>
    </w:p>
    <w:p w14:paraId="306FC705" w14:textId="74CD1EFC" w:rsidR="00F15EA7" w:rsidRPr="00BB1692" w:rsidRDefault="007D554D" w:rsidP="00463AA0">
      <w:pPr>
        <w:pStyle w:val="Preamble"/>
        <w:spacing w:before="0"/>
      </w:pPr>
      <w:r>
        <w:t>Šie licences nosacījumi ir līgums starp jums un korporāciju Microsoft (vai kādu tās saistīto uzņēmumu). Tie attiecas uz iepriekš norādīto programmatūru un jebkuriem Microsoft pakalpojumiem vai programmatūras atjauninājumiem (izņemot gadījumus, kad šādos pakalpojumos vai atjauninājumos ir iekļauti jauni vai papildu nosacījumi, — šādā gadījumā turpmāk ir piemērojami šie citi nosacījumi un tie nemaina jūsu vai korporācijas Microsoft tiesības saistībā ar iepriekš atjauninātu programmatūru vai pakalpojumiem). JA IEVĒROJAT ŠOS LICENCES NOSACĪJUMUS, JUMS IR TĀLĀK APRAKSTĪTĀS TIESĪBAS. IZMANTOJOT PROGRAMMATŪRU, JŪS PIEKRĪTAT ŠIEM NOSACĪJUMIEM.</w:t>
      </w:r>
    </w:p>
    <w:p w14:paraId="4B32D79E" w14:textId="045847B5" w:rsidR="00B406AF" w:rsidRPr="00BB1692" w:rsidRDefault="007D554D" w:rsidP="0020357B">
      <w:pPr>
        <w:pStyle w:val="Heading1"/>
        <w:numPr>
          <w:ilvl w:val="0"/>
          <w:numId w:val="26"/>
        </w:numPr>
      </w:pPr>
      <w:r w:rsidRPr="24E09967">
        <w:rPr>
          <w:b/>
        </w:rPr>
        <w:t>INSTALĒŠANAS UN LIETOŠANAS TIESĪBAS.</w:t>
      </w:r>
    </w:p>
    <w:p w14:paraId="7886A934" w14:textId="5F964427" w:rsidR="00F15EA7" w:rsidRPr="00BB1692" w:rsidRDefault="007D554D" w:rsidP="00A70A34">
      <w:pPr>
        <w:pStyle w:val="Heading2"/>
        <w:numPr>
          <w:ilvl w:val="1"/>
          <w:numId w:val="21"/>
        </w:numPr>
      </w:pPr>
      <w:bookmarkStart w:id="1" w:name="OLE_LINK7"/>
      <w:bookmarkStart w:id="2" w:name="OLE_LINK8"/>
      <w:r w:rsidRPr="24E09967">
        <w:rPr>
          <w:b/>
        </w:rPr>
        <w:t xml:space="preserve">Vispārīgi nosacījumi. </w:t>
      </w:r>
      <w:r w:rsidRPr="00BB1692">
        <w:t xml:space="preserve">Jums ir tiesības </w:t>
      </w:r>
      <w:r>
        <w:t>lietot</w:t>
      </w:r>
      <w:r w:rsidRPr="00BB1692">
        <w:t xml:space="preserve"> programmatūras kopijas</w:t>
      </w:r>
      <w:r>
        <w:t xml:space="preserve"> savās ierīcēs tikai ar lietojumprogrammu versijām, kurās tiek izveidots savienojums ar pareizi licencētu programmatūru Microsoft Skype darbam Server vai pakalpojumu Skype darbam Online</w:t>
      </w:r>
      <w:r w:rsidRPr="00BB1692">
        <w:t>.</w:t>
      </w:r>
    </w:p>
    <w:bookmarkEnd w:id="1"/>
    <w:bookmarkEnd w:id="2"/>
    <w:p w14:paraId="38D69ADA" w14:textId="51DC278B" w:rsidR="00710258" w:rsidRPr="00BB1692" w:rsidRDefault="007D554D" w:rsidP="00710258">
      <w:pPr>
        <w:pStyle w:val="Heading2"/>
        <w:numPr>
          <w:ilvl w:val="1"/>
          <w:numId w:val="21"/>
        </w:numPr>
      </w:pPr>
      <w:r w:rsidRPr="24E09967">
        <w:rPr>
          <w:b/>
        </w:rPr>
        <w:t>Trešās personas programmatūra.</w:t>
      </w:r>
      <w:r>
        <w:t xml:space="preserve"> Programmatūrā var būt ietvertas trešo personu lietojumprogrammas, kuras jums tiek licencētas saskaņā ar šo līgumu vai saskaņā ar citiem nosacījumiem. Licences nosacījumiem, paziņojumiem un apliecinājumiem, ja tādi ir, par trešo personu lietojumprogrammām varat piekļūt tiešsaistē, vietnē </w:t>
      </w:r>
      <w:hyperlink r:id="rId8">
        <w:r w:rsidRPr="00A14351">
          <w:rPr>
            <w:rStyle w:val="Hyperlink"/>
            <w:rFonts w:eastAsia="Tahoma" w:cs="Tahoma"/>
          </w:rPr>
          <w:t>http://aka.ms/thirdpartynotices</w:t>
        </w:r>
      </w:hyperlink>
      <w:r>
        <w:t>, vai iekļautā paziņojumu failā. Pat ja šādām lietojumprogrammām ir piemērojami citi līgumi, ir spēkā arī tālāk minētā atruna, ierobežojumi un atteikšanās no zaudējumu atlīdzināšanas, ciktāl to atļauj piemērojamie tiesību akti.</w:t>
      </w:r>
    </w:p>
    <w:p w14:paraId="37430964" w14:textId="64ED4CA5" w:rsidR="00F15EA7" w:rsidRPr="00BB1692" w:rsidRDefault="007D554D" w:rsidP="00BE0EDE">
      <w:pPr>
        <w:pStyle w:val="Heading1"/>
        <w:numPr>
          <w:ilvl w:val="0"/>
          <w:numId w:val="26"/>
        </w:numPr>
      </w:pPr>
      <w:r w:rsidRPr="24E09967">
        <w:rPr>
          <w:b/>
        </w:rPr>
        <w:t>LICENCES PIEMĒROŠANAS APJOMS.</w:t>
      </w:r>
      <w:r>
        <w:t xml:space="preserve"> Programmatūra tiek licencēta, nevis pārdota. Korporācija Microsoft patur visas pārējās tiesības. Ja vien piemērojamie tiesību akti nesniedz plašākas tiesības, neraugoties uz šo ierobežojumu, jūs nedrīkstat (un jums nav tiesību):</w:t>
      </w:r>
    </w:p>
    <w:p w14:paraId="21CC1C12" w14:textId="56749ED8" w:rsidR="00F15EA7" w:rsidRPr="00BB1692" w:rsidRDefault="007D554D" w:rsidP="00D145B6">
      <w:pPr>
        <w:pStyle w:val="Bullet2"/>
        <w:numPr>
          <w:ilvl w:val="0"/>
          <w:numId w:val="30"/>
        </w:numPr>
        <w:tabs>
          <w:tab w:val="left" w:pos="4950"/>
        </w:tabs>
      </w:pPr>
      <w:r>
        <w:rPr>
          <w:b w:val="0"/>
        </w:rPr>
        <w:t>apiet jebkādus programmatūras tehniskos ierobežojumus, kas programmatūru jums ļauj lietot tikai noteiktos veidos;</w:t>
      </w:r>
    </w:p>
    <w:p w14:paraId="2E5D90BE" w14:textId="0D651467" w:rsidR="00F15EA7" w:rsidRPr="00BB1692" w:rsidRDefault="007D554D" w:rsidP="00D145B6">
      <w:pPr>
        <w:pStyle w:val="Bullet2"/>
        <w:numPr>
          <w:ilvl w:val="0"/>
          <w:numId w:val="30"/>
        </w:numPr>
      </w:pPr>
      <w:r>
        <w:rPr>
          <w:b w:val="0"/>
        </w:rPr>
        <w:t>dekonstruēt, dekompilēt vai izjaukt programmatūru;</w:t>
      </w:r>
    </w:p>
    <w:p w14:paraId="56869753" w14:textId="3A74C61B" w:rsidR="00FD293A" w:rsidRPr="00BB1692" w:rsidRDefault="007D554D" w:rsidP="00D145B6">
      <w:pPr>
        <w:pStyle w:val="Bullet2"/>
        <w:numPr>
          <w:ilvl w:val="0"/>
          <w:numId w:val="30"/>
        </w:numPr>
      </w:pPr>
      <w:r>
        <w:rPr>
          <w:b w:val="0"/>
        </w:rPr>
        <w:t>noņemt, minimizēt, bloķēt vai modificēt jebkādus programmatūrā esošos Microsoft vai tās piegādātāju paziņojumus;</w:t>
      </w:r>
    </w:p>
    <w:p w14:paraId="2045DC0F" w14:textId="50AC5305" w:rsidR="00DC3A02" w:rsidRPr="00BB1692" w:rsidRDefault="007D554D" w:rsidP="00D145B6">
      <w:pPr>
        <w:pStyle w:val="Bullet2"/>
        <w:numPr>
          <w:ilvl w:val="0"/>
          <w:numId w:val="30"/>
        </w:numPr>
      </w:pPr>
      <w:r>
        <w:rPr>
          <w:b w:val="0"/>
        </w:rPr>
        <w:t>programmatūru lietot komerciālu vai bezpeļņas darbību veikšanai vai ienākumu gūšanas nolūkā, ja vien saskaņā ar atsevišķu līgumu neesat ieguvis komerciālas lietošanas tiesības;</w:t>
      </w:r>
    </w:p>
    <w:p w14:paraId="04681DE1" w14:textId="100BED1D" w:rsidR="000E462E" w:rsidRPr="00BB1692" w:rsidRDefault="007D554D" w:rsidP="00D145B6">
      <w:pPr>
        <w:pStyle w:val="Bullet2"/>
        <w:numPr>
          <w:ilvl w:val="0"/>
          <w:numId w:val="30"/>
        </w:numPr>
      </w:pPr>
      <w:r>
        <w:rPr>
          <w:b w:val="0"/>
        </w:rPr>
        <w:t>programmatūru lietot jebkādā pretlikumīgā veidā vai arī, lai izveidotu vai vairotu ļaunprogrammatūru; vai</w:t>
      </w:r>
    </w:p>
    <w:p w14:paraId="294EE23C" w14:textId="0FFE5407" w:rsidR="00F15EA7" w:rsidRPr="00BB1692" w:rsidRDefault="007D554D" w:rsidP="00A501E5">
      <w:pPr>
        <w:pStyle w:val="Bullet2"/>
        <w:numPr>
          <w:ilvl w:val="0"/>
          <w:numId w:val="30"/>
        </w:numPr>
      </w:pPr>
      <w:r>
        <w:rPr>
          <w:b w:val="0"/>
        </w:rPr>
        <w:t>programmatūru kopīgot, publicēt, izplatīt vai aizdot, programmatūru nodrošināt kā savrupu, viesotu risinājumu, lai to varētu lietot citi, vai programmatūru vai šo līgumu nodot kādai trešajai personai.</w:t>
      </w:r>
    </w:p>
    <w:p w14:paraId="66A82FA4" w14:textId="5145B03F" w:rsidR="00F31CA3" w:rsidRPr="00BB1692" w:rsidRDefault="007D554D" w:rsidP="002A4950">
      <w:pPr>
        <w:pStyle w:val="Heading1"/>
        <w:numPr>
          <w:ilvl w:val="0"/>
          <w:numId w:val="26"/>
        </w:numPr>
      </w:pPr>
      <w:r w:rsidRPr="24E09967">
        <w:rPr>
          <w:b/>
        </w:rPr>
        <w:t>VIDEO KODEKI.</w:t>
      </w:r>
      <w:r>
        <w:t xml:space="preserve"> ŠIS PRODUKTS IR LICENCĒTS PATĒRĒTĀJAM PERSONISKAI UN NEKOMERCIĀLAI LIETOŠANAI SASKAŅĀ AR AVC, VC-1 UN MPEG-4 PART 2 VIZUĀLO STANDARTU PATENTU PORTFEĻA LICENCĒM, LAI (i) KODĒTU VIDEO ATBILSTOŠI IEPRIEKŠ MINĒTAJIEM STANDARTIEM („VIDEO STANDARTI”) UN/VAI (ii) DEKODĒTU AVC, VC-1 UN MPEG-4 PART 2 VIDEO, KO PERSONISKĀM UN NEKOMERCIĀLĀM VAJADZĪBĀM KODĒJIS PATĒRĒTĀJS VAI KAS IEGŪTS NO VIDEO PAKALPOJUMU SNIEDZĒJA, KURŠ IR LICENCĒTS NODROŠINĀT ŠĀDUS VIDEO. LICENCES JEBKĀDAI CITA VEIDA LIETOŠANAI NETIEK PIEŠĶIRTAS UN NAV IETVERTAS. PLAŠĀKU INFORMĀCIJU VAR SAŅEMT UZŅĒMUMĀ MPEG LA, L.L.C. SKATIET VIETNI </w:t>
      </w:r>
      <w:hyperlink r:id="rId9" w:history="1">
        <w:r w:rsidRPr="00A14351">
          <w:rPr>
            <w:rStyle w:val="Hyperlink"/>
            <w:rFonts w:cs="Tahoma"/>
          </w:rPr>
          <w:t>http://aka.ms/mpegla</w:t>
        </w:r>
      </w:hyperlink>
      <w:r>
        <w:t>.</w:t>
      </w:r>
    </w:p>
    <w:p w14:paraId="5249D2B1" w14:textId="681A3E54" w:rsidR="00F15EA7" w:rsidRPr="00BB1692" w:rsidRDefault="007D554D" w:rsidP="002A4950">
      <w:pPr>
        <w:pStyle w:val="Heading1"/>
        <w:numPr>
          <w:ilvl w:val="0"/>
          <w:numId w:val="26"/>
        </w:numPr>
      </w:pPr>
      <w:r w:rsidRPr="24E09967">
        <w:rPr>
          <w:b/>
        </w:rPr>
        <w:lastRenderedPageBreak/>
        <w:t>EKSPORTĒŠANAS IEROBEŽOJUMI.</w:t>
      </w:r>
      <w:r>
        <w:t xml:space="preserve"> Jums ir jāievēro visi vietējie un starptautiskie tiesību akti saistībā ar eksportēšanu, kas attiecas uz programmatūru, tostarp mērķu, lietotāju un lietošanas ierobežojumi. Papildinformāciju par eksportēšanas ierobežojumiem skatiet vietnē </w:t>
      </w:r>
      <w:hyperlink r:id="rId10" w:history="1">
        <w:r w:rsidRPr="00A14351">
          <w:rPr>
            <w:rStyle w:val="Hyperlink"/>
            <w:rFonts w:cs="Tahoma"/>
          </w:rPr>
          <w:t>http://aka.ms/exporting</w:t>
        </w:r>
      </w:hyperlink>
      <w:r>
        <w:t>.</w:t>
      </w:r>
    </w:p>
    <w:p w14:paraId="7524A14C" w14:textId="40A853DE" w:rsidR="00F15EA7" w:rsidRPr="00BB1692" w:rsidRDefault="007D554D" w:rsidP="002A4950">
      <w:pPr>
        <w:pStyle w:val="Heading1"/>
        <w:numPr>
          <w:ilvl w:val="0"/>
          <w:numId w:val="26"/>
        </w:numPr>
      </w:pPr>
      <w:r w:rsidRPr="24E09967">
        <w:rPr>
          <w:b/>
        </w:rPr>
        <w:t>ATBALSTA PAKALPOJUMI.</w:t>
      </w:r>
      <w:r>
        <w:t xml:space="preserve"> Saskaņā ar šī līguma nosacījumiem korporācijai Microsoft nav pienākuma šai programmatūrai nodrošināt jebkādus atbalsta pakalpojumus. Viss nodrošinātais atbalsts ir „tāds, kāds tas ir”, „ar visiem trūkumiem”, un tam netiek sniegtas nekādas garantijas.</w:t>
      </w:r>
    </w:p>
    <w:p w14:paraId="194CC803" w14:textId="03F72068" w:rsidR="00F15EA7" w:rsidRPr="00BB1692" w:rsidRDefault="007D554D" w:rsidP="00896399">
      <w:pPr>
        <w:pStyle w:val="Heading1"/>
        <w:numPr>
          <w:ilvl w:val="0"/>
          <w:numId w:val="26"/>
        </w:numPr>
      </w:pPr>
      <w:r w:rsidRPr="24E09967">
        <w:rPr>
          <w:b/>
        </w:rPr>
        <w:t>PILNA APJOMA LĪGUMS.</w:t>
      </w:r>
      <w:r>
        <w:t xml:space="preserve"> Šis līgums, kā arī jebkādi citi nosacījumi, ko Microsoft nodrošina papildinājumiem, atjauninājumiem vai trešo personu lietojumprogrammām, veido šīs programmatūras pilna apjoma līgumu.</w:t>
      </w:r>
    </w:p>
    <w:p w14:paraId="31A1E80B" w14:textId="0758CAAA" w:rsidR="00F15EA7" w:rsidRPr="00BB1692" w:rsidRDefault="007D554D" w:rsidP="00896399">
      <w:pPr>
        <w:pStyle w:val="Heading1"/>
        <w:numPr>
          <w:ilvl w:val="0"/>
          <w:numId w:val="26"/>
        </w:numPr>
      </w:pPr>
      <w:r w:rsidRPr="24E09967">
        <w:rPr>
          <w:b/>
        </w:rPr>
        <w:t>PIEMĒROJAMIE TIESĪBU AKTI UN STRĪDU RISINĀŠANAS VIETA.</w:t>
      </w:r>
      <w:r>
        <w:t xml:space="preserve"> Ja programmatūru ieguvāt Amerikas Savienotajās Valstīs vai Kanādā, tad visas šī līguma interpretācijas, prasības par tā pārkāpumiem un visas pārējās prasības (tostarp par patērētāju tiesību aizsardzību, negodīgu konkurenci un tiesību pārkāpumiem) neatkarīgi no tiesību aktu principu pretrunām tiek risinātas saskaņā ar jūsu mītnes štatā vai provincē (vai galvenajā jūsu komercdarbības vietā) spēkā esošajiem tiesību aktiem. Ja programmatūru ieguvāt jebkurā citā valstī, uz programmatūru attiecas tās tiesību akti. Ja pastāv ASV federālā jurisdikcija, jūs un korporācija Microsoft vienojaties, ka ekskluzīvā jurisdikcija un lietas izskatīšanas vieta ir Vašingtonas štata Kinga apgabala federālā tiesa visiem strīdiem, kas tiek izskatīti tiesā. Ja tā nav, jūs un korporācija Microsoft vienojaties, ka ekskluzīvā jurisdikcija un lietas izskatīšanas vieta ir Vašingtonas štata Kinga apgabala Augstākā tiesa visiem strīdiem, kas tiek izskatīti tiesā.</w:t>
      </w:r>
    </w:p>
    <w:p w14:paraId="70F3046E" w14:textId="4401C746" w:rsidR="006E477F" w:rsidRPr="00BB1692" w:rsidRDefault="007D554D" w:rsidP="00896399">
      <w:pPr>
        <w:pStyle w:val="Heading1"/>
        <w:numPr>
          <w:ilvl w:val="0"/>
          <w:numId w:val="26"/>
        </w:numPr>
      </w:pPr>
      <w:r w:rsidRPr="24E09967">
        <w:rPr>
          <w:b/>
        </w:rPr>
        <w:t>PATĒRĒTĀJU TIESĪBAS ATKARĪBĀ NO REĢIONA.</w:t>
      </w:r>
      <w:r>
        <w:t xml:space="preserve"> Šajā līgumā ir aprakstītas noteiktas juridiskās tiesības. Saskaņā ar jūsu štatā, provincē vai valstī spēkā esošajiem tiesību aktiem jums var būt arī citas tiesības, tostarp patērētāja tiesības. Atsevišķi un kā daļa no jūsu attiecībām ar korporāciju Microsoft, jums var būt arī tiesības attiecībā uz līgumslēdzēju pusi, no kuras iegādājāties programmatūru. Šis līgums nemaina šīs citas tiesības, ja tas nav atļauts jūsu štatā, provincē vai valstī spēkā esošajos likumos. Piemēram, ja programmatūru iegādājāties vienā no tālāk minētajiem reģioniem vai ir attiecināmi attiecīgās valsts obligātie tiesību akti, tad jums ir saistoši tālāk sniegtie nosacījumi.</w:t>
      </w:r>
    </w:p>
    <w:p w14:paraId="35FDEA05" w14:textId="272EDE13" w:rsidR="006E477F" w:rsidRPr="00BB1692" w:rsidRDefault="007D554D" w:rsidP="00896399">
      <w:pPr>
        <w:pStyle w:val="Heading2"/>
        <w:numPr>
          <w:ilvl w:val="1"/>
          <w:numId w:val="14"/>
        </w:numPr>
        <w:ind w:left="717"/>
      </w:pPr>
      <w:r w:rsidRPr="24E09967">
        <w:rPr>
          <w:b/>
        </w:rPr>
        <w:t>Austrālija.</w:t>
      </w:r>
      <w:r>
        <w:t xml:space="preserve"> Uz jums attiecas Austrālijas Patērētāju likumā noteiktās garantijas, un neviens no šī līguma nosacījumiem nav paredzēts šo tiesību ietekmēšanai.</w:t>
      </w:r>
    </w:p>
    <w:p w14:paraId="6907979B" w14:textId="2C0A0A05" w:rsidR="006E477F" w:rsidRPr="00BB1692" w:rsidRDefault="007D554D" w:rsidP="00896399">
      <w:pPr>
        <w:pStyle w:val="Heading2"/>
        <w:numPr>
          <w:ilvl w:val="1"/>
          <w:numId w:val="14"/>
        </w:numPr>
        <w:ind w:left="717"/>
      </w:pPr>
      <w:r w:rsidRPr="24E09967">
        <w:rPr>
          <w:b/>
        </w:rPr>
        <w:t>Kanāda.</w:t>
      </w:r>
      <w:r>
        <w:t xml:space="preserve"> Ja šo programmatūru ieguvāt Kanādā, jums ir tiesības apturēt atjauninājumu saņemšanu, izslēdzot automātisko atjauninājumu līdzekli, ierīci atvienojot no interneta (taču, ja un kad atkal izveidojat savienojumu ar internetu, programmatūra atsāk pārbaudīt, vai ir pieejami atjauninājumi, un tos instalēt) vai programmatūru atinstalējot. Produkta dokumentācijā, ja tāda ir, var būt arī norādīts, kā izslēgt atjauninājumus jūsu konkrētajai ierīcei vai programmatūrai.</w:t>
      </w:r>
    </w:p>
    <w:p w14:paraId="635014AF" w14:textId="182F1E96" w:rsidR="006E477F" w:rsidRPr="00BB1692" w:rsidRDefault="007D554D" w:rsidP="00896399">
      <w:pPr>
        <w:pStyle w:val="Heading2"/>
        <w:numPr>
          <w:ilvl w:val="1"/>
          <w:numId w:val="14"/>
        </w:numPr>
        <w:ind w:left="717"/>
      </w:pPr>
      <w:r w:rsidRPr="24E09967">
        <w:rPr>
          <w:b/>
        </w:rPr>
        <w:t>Vācija un Austrija.</w:t>
      </w:r>
    </w:p>
    <w:p w14:paraId="123675B0" w14:textId="77777777" w:rsidR="006E477F" w:rsidRPr="00BB1692" w:rsidRDefault="007D554D" w:rsidP="006066BB">
      <w:pPr>
        <w:ind w:left="1260" w:hanging="540"/>
      </w:pPr>
      <w:r w:rsidRPr="00BB1692">
        <w:t>(i)</w:t>
      </w:r>
      <w:r w:rsidRPr="00BB1692">
        <w:tab/>
        <w:t>Garantija.</w:t>
      </w:r>
      <w:r w:rsidRPr="00BB1692">
        <w:rPr>
          <w:b w:val="0"/>
        </w:rPr>
        <w:t xml:space="preserve"> Atbilstoši licencētas programmatūras darbība pilnībā atbildīs visos korporācijas Microsoft programmatūrai pievienotajos materiālos sniegtajiem aprakstiem. Tomēr Microsoft nesniedz nekādas garantijas saistībā ar licencēto programmatūru.</w:t>
      </w:r>
    </w:p>
    <w:p w14:paraId="4E4D9AEE" w14:textId="77777777" w:rsidR="006E477F" w:rsidRPr="00BB1692" w:rsidRDefault="007D554D" w:rsidP="006066BB">
      <w:pPr>
        <w:ind w:left="1260" w:hanging="540"/>
      </w:pPr>
      <w:r w:rsidRPr="00BB1692">
        <w:t>(ii)</w:t>
      </w:r>
      <w:r w:rsidRPr="00BB1692">
        <w:tab/>
        <w:t>Atbildības ierobežojums.</w:t>
      </w:r>
      <w:r w:rsidRPr="00BB1692">
        <w:rPr>
          <w:b w:val="0"/>
        </w:rPr>
        <w:t xml:space="preserve"> Ar nodomu veiktu darbību, rupjas nolaidības, sūdzību saskaņā ar Atbildība par ražojumiem likumu (Product Liability Act), tostarp nāves un personiskas vai fiziskas traumas gadījumā korporācija Microsoft ir atbildīga saskaņā ar likumā noteiktajām tiesībām.</w:t>
      </w:r>
    </w:p>
    <w:p w14:paraId="2B4FB661" w14:textId="7CB95B55" w:rsidR="00F15EA7" w:rsidRPr="00BB1692" w:rsidRDefault="007D554D" w:rsidP="00896399">
      <w:pPr>
        <w:pStyle w:val="Heading1"/>
        <w:ind w:left="720"/>
      </w:pPr>
      <w:r>
        <w:t>Saskaņā ar iepriekšējo punktu (ii) korporācija Microsoft par nelielu nolaidību ir atbildīga tikai tādā gadījumā, ja Microsoft pārkāpa tādas materiālās līgumsaistības, no kurām ir atkarīga atbilstoša šī līguma izpilde un kuru pārkāpšana rada apdraudējumu šī līguma noslēgšanas mērķim, kā arī uz kuru ievērošanu līgumslēdzēja puse var paļauties (tiek dēvētas par „kardinālajām saistībām”). Korporācija Microsoft nav atbildīga par citiem nelielas nolaidības gadījumiem.</w:t>
      </w:r>
    </w:p>
    <w:p w14:paraId="2C146C8C" w14:textId="59EB1436" w:rsidR="00F15EA7" w:rsidRPr="00BB1692" w:rsidRDefault="007D554D" w:rsidP="00CB50D2">
      <w:pPr>
        <w:pStyle w:val="Heading1"/>
        <w:numPr>
          <w:ilvl w:val="0"/>
          <w:numId w:val="26"/>
        </w:numPr>
      </w:pPr>
      <w:r w:rsidRPr="24E09967">
        <w:rPr>
          <w:b/>
        </w:rPr>
        <w:t xml:space="preserve">GARANTIJU ATRUNA. PROGRAMMATŪRA IR LICENCĒTA „TĀDA, KĀDA TĀ IR”. TĀS LIETOŠANAS RISKS IR JĀUZŅEMAS JUMS. KORPORĀCIJA MICROSOFT NESNIEDZ NEKĀDAS TIEŠAS GARANTIJAS, GALVOJUMUS VAI NOSACĪJUMUS. CIKTĀL TO ATĻAUJ PIEMĒROJAMIE TIESĪBU AKTI, MICROSOFT NENODROŠINA NEKĀDU NETIEŠO GARANTIJU, TOSTARP PAR </w:t>
      </w:r>
      <w:r w:rsidRPr="24E09967">
        <w:rPr>
          <w:b/>
        </w:rPr>
        <w:lastRenderedPageBreak/>
        <w:t>PIEMĒROTĪBU PĀRDOŠANAI UN NOTEIKTAM MĒRĶIM, UN TIESĪBU NEPĀRKĀPŠANAS GARANTIJU.</w:t>
      </w:r>
    </w:p>
    <w:p w14:paraId="26951160" w14:textId="308FB50B" w:rsidR="00F15EA7" w:rsidRPr="00BB1692" w:rsidRDefault="007D554D" w:rsidP="00896399">
      <w:pPr>
        <w:pStyle w:val="Heading1"/>
        <w:numPr>
          <w:ilvl w:val="0"/>
          <w:numId w:val="26"/>
        </w:numPr>
      </w:pPr>
      <w:r w:rsidRPr="24E09967">
        <w:rPr>
          <w:b/>
        </w:rPr>
        <w:t>ZAUDĒJUMU ATLĪDZINĀŠANAS IEROBEŽOJUMI UN IZŅĒMUMI. JA, NERAUGOTIES UZ IEPRIEKŠ SNIEGTO GARANTIJAS ATRUNU, JUMS IR PAMATS SAŅEMT ATLĪDZĪBU PAR ZAUDĒJUMIEM, JŪS NO KORPORĀCIJAS MICROSOFT VAI TĀS PIEGĀDĀTĀJIEM VARAT SAŅEMT ATLĪDZĪBU TIKAI PAR TIEŠAJIEM ZAUDĒJUMIEM, KURU SUMMA NEPĀRSNIEDZ 5,00 ASV DOLĀRUS. JŪS NEVARAT SAŅEMT ATLĪDZĪBU PAR CITIEM ZAUDĒJUMIEM, TOSTARP PAR IZRIETOŠAJIEM, PEĻŅAS, ĪPAŠAJIEM, NETIEŠAJIEM VAI NEJAUŠAJIEM ZAUDĒJUMIEM.</w:t>
      </w:r>
    </w:p>
    <w:p w14:paraId="3FC85389" w14:textId="2B8CD7BD" w:rsidR="00F15EA7" w:rsidRPr="00BB1692" w:rsidRDefault="007D554D" w:rsidP="00896399">
      <w:pPr>
        <w:pStyle w:val="Body1"/>
      </w:pPr>
      <w:r>
        <w:t>Šis ierobežojums attiecas uz a) visu saistībā ar programmatūru, pakalpojumiem, saturu (tostarp kodu) trešās personas interneta vietnēs vai trešās personas lietojumprogrammās; un b) prasībām par līguma pārkāpumiem, garantijas, galvojuma vai nosacījumu pārkāpumiem; nepārprotamu atbildību, nolaidību vai citu tiesību pārkāpumu; vai jebkādu citu prasību; katrā gadījumā šis ierobežojums ir spēkā tādā apmērā, kādā to atļauj piemērojamie tiesību akti.</w:t>
      </w:r>
    </w:p>
    <w:p w14:paraId="54016D2E" w14:textId="77777777" w:rsidR="00262C9F" w:rsidRPr="00BB1692" w:rsidRDefault="007D554D" w:rsidP="00896399">
      <w:pPr>
        <w:pStyle w:val="Body1"/>
      </w:pPr>
      <w:r>
        <w:t>Tas ir spēkā arī tad, ja korporācija Microsoft zināja vai tai vajadzēja zināt par zaudējumu iespējamību. Minētie ierobežojumi vai izņēmumi var neattiekties uz jums, ja saskaņā ar jūsu štata, provinces vai valsts likumdošanu nav atļauts noteikt izņēmumus vai ierobežot nejaušus, izrietošus vai citus zaudējumus.</w:t>
      </w:r>
    </w:p>
    <w:sectPr w:rsidR="00262C9F" w:rsidRPr="00BB1692"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E4401" w14:textId="77777777" w:rsidR="00DB2C24" w:rsidRDefault="00DB2C24" w:rsidP="002B5C2F">
      <w:r>
        <w:separator/>
      </w:r>
    </w:p>
  </w:endnote>
  <w:endnote w:type="continuationSeparator" w:id="0">
    <w:p w14:paraId="31B4C8C0" w14:textId="77777777" w:rsidR="00DB2C24" w:rsidRDefault="00DB2C24" w:rsidP="002B5C2F">
      <w:r>
        <w:continuationSeparator/>
      </w:r>
    </w:p>
  </w:endnote>
  <w:endnote w:type="continuationNotice" w:id="1">
    <w:p w14:paraId="5DBD1A4B" w14:textId="77777777" w:rsidR="00DB2C24" w:rsidRDefault="00DB2C2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48094128" w:rsidR="006066BB" w:rsidRPr="00F06FD0" w:rsidRDefault="00DB2C24" w:rsidP="00F06F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E567A" w14:textId="77777777" w:rsidR="006066BB" w:rsidRDefault="00DB2C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3221716D" w:rsidR="006066BB" w:rsidRPr="00F06FD0" w:rsidRDefault="00DB2C24" w:rsidP="00F06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EF363" w14:textId="77777777" w:rsidR="00DB2C24" w:rsidRDefault="00DB2C24" w:rsidP="002B5C2F">
      <w:r>
        <w:separator/>
      </w:r>
    </w:p>
  </w:footnote>
  <w:footnote w:type="continuationSeparator" w:id="0">
    <w:p w14:paraId="31B53AF1" w14:textId="77777777" w:rsidR="00DB2C24" w:rsidRDefault="00DB2C24" w:rsidP="002B5C2F">
      <w:r>
        <w:continuationSeparator/>
      </w:r>
    </w:p>
  </w:footnote>
  <w:footnote w:type="continuationNotice" w:id="1">
    <w:p w14:paraId="56A6D5CA" w14:textId="77777777" w:rsidR="00DB2C24" w:rsidRDefault="00DB2C2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42195" w14:textId="77777777" w:rsidR="006066BB" w:rsidRDefault="00DB2C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8A566" w14:textId="77777777" w:rsidR="006066BB" w:rsidRDefault="00DB2C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5711E" w14:textId="77777777" w:rsidR="006066BB" w:rsidRDefault="00DB2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BBAA01B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CE74CF1"/>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45E39B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FB2445A"/>
    <w:multiLevelType w:val="multilevel"/>
    <w:tmpl w:val="BBAA01B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0"/>
  </w:num>
  <w:num w:numId="6">
    <w:abstractNumId w:val="32"/>
  </w:num>
  <w:num w:numId="7">
    <w:abstractNumId w:val="22"/>
  </w:num>
  <w:num w:numId="8">
    <w:abstractNumId w:val="15"/>
  </w:num>
  <w:num w:numId="9">
    <w:abstractNumId w:val="3"/>
  </w:num>
  <w:num w:numId="10">
    <w:abstractNumId w:val="5"/>
  </w:num>
  <w:num w:numId="11">
    <w:abstractNumId w:val="28"/>
  </w:num>
  <w:num w:numId="12">
    <w:abstractNumId w:val="21"/>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9"/>
  </w:num>
  <w:num w:numId="21">
    <w:abstractNumId w:val="11"/>
  </w:num>
  <w:num w:numId="22">
    <w:abstractNumId w:val="2"/>
  </w:num>
  <w:num w:numId="23">
    <w:abstractNumId w:val="23"/>
  </w:num>
  <w:num w:numId="24">
    <w:abstractNumId w:val="8"/>
  </w:num>
  <w:num w:numId="25">
    <w:abstractNumId w:val="29"/>
  </w:num>
  <w:num w:numId="26">
    <w:abstractNumId w:val="10"/>
  </w:num>
  <w:num w:numId="27">
    <w:abstractNumId w:val="17"/>
  </w:num>
  <w:num w:numId="28">
    <w:abstractNumId w:val="18"/>
  </w:num>
  <w:num w:numId="29">
    <w:abstractNumId w:val="14"/>
  </w:num>
  <w:num w:numId="30">
    <w:abstractNumId w:val="34"/>
  </w:num>
  <w:num w:numId="31">
    <w:abstractNumId w:val="20"/>
  </w:num>
  <w:num w:numId="32">
    <w:abstractNumId w:val="0"/>
  </w:num>
  <w:num w:numId="33">
    <w:abstractNumId w:val="0"/>
  </w:num>
  <w:num w:numId="34">
    <w:abstractNumId w:val="16"/>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54D"/>
    <w:rsid w:val="00335086"/>
    <w:rsid w:val="00420D36"/>
    <w:rsid w:val="00662E93"/>
    <w:rsid w:val="007D554D"/>
    <w:rsid w:val="00A55676"/>
    <w:rsid w:val="00A97DC3"/>
    <w:rsid w:val="00D35515"/>
    <w:rsid w:val="00DB2C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lv-LV" w:eastAsia="lv-LV" w:bidi="lv-LV"/>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lv-LV" w:eastAsia="lv-LV" w:bidi="lv-LV"/>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2017-07-04T18:54:00Z</dcterms:created>
  <dcterms:modified xsi:type="dcterms:W3CDTF">2017-07-05T19:17:00Z</dcterms:modified>
</cp:coreProperties>
</file>