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F595B" w14:textId="07AFB9D4" w:rsidR="001418CF" w:rsidRDefault="003E2811" w:rsidP="001418CF">
      <w:pPr>
        <w:pStyle w:val="HeadingEULA"/>
      </w:pPr>
      <w:bookmarkStart w:id="0" w:name="_GoBack"/>
      <w:bookmarkEnd w:id="0"/>
      <w:r w:rsidRPr="00D56CA1">
        <w:t>„MICROSOFT“ PROGRAMINĖS ĮRANGOS LICENCIJOS SĄLYGOS</w:t>
      </w:r>
    </w:p>
    <w:p w14:paraId="7781957D" w14:textId="1EA33ECE" w:rsidR="0046467A" w:rsidRPr="00D56CA1" w:rsidRDefault="001418CF" w:rsidP="001418CF">
      <w:pPr>
        <w:pStyle w:val="HeadingEULA"/>
      </w:pPr>
      <w:r>
        <w:t>PROGRAMINĖ ĮRANGA, SKIRTA VAIZDO KONFERENCIJOMS MOBILIOSIOSE PROGRAMOSE, VEIKIANČIOSE „</w:t>
      </w:r>
      <w:r w:rsidR="003E2811">
        <w:t>SKYPE</w:t>
      </w:r>
      <w:r>
        <w:t>“ VERSLUI PLATFORMOJE</w:t>
      </w:r>
    </w:p>
    <w:p w14:paraId="58B29C81" w14:textId="7C488246" w:rsidR="0046467A" w:rsidRPr="00D56CA1" w:rsidRDefault="000C5744" w:rsidP="00463AA0">
      <w:pPr>
        <w:pStyle w:val="Preamble"/>
        <w:spacing w:after="0"/>
      </w:pPr>
      <w:r>
        <w:pict w14:anchorId="47171B36">
          <v:rect id="_x0000_i1025" style="width:0;height:1.5pt" o:hralign="center" o:hrstd="t" o:hr="t" fillcolor="#a0a0a0" stroked="f"/>
        </w:pict>
      </w:r>
    </w:p>
    <w:p w14:paraId="306FC705" w14:textId="5825CF03" w:rsidR="00F15EA7" w:rsidRPr="00D56CA1" w:rsidRDefault="003E2811" w:rsidP="00463AA0">
      <w:pPr>
        <w:pStyle w:val="Preamble"/>
        <w:spacing w:before="0"/>
      </w:pPr>
      <w:r w:rsidRPr="00D56CA1">
        <w:t>Šios licencijos sąlygos yra sutartis tarp jūsų ir „Microsoft Corporation“ (arba vienos iš su ja susijusių įmonių). Jos taikomos pirmiau nurodytai programinei įrangai ir bet kokioms „Microsoft“ paslaugoms ar programinės įrangos naujini</w:t>
      </w:r>
      <w:r>
        <w:t>ui</w:t>
      </w:r>
      <w:r w:rsidRPr="00D56CA1">
        <w:t xml:space="preserve"> (išskyrus atvejus, kai paslaugoms ar naujini</w:t>
      </w:r>
      <w:r>
        <w:t>ui</w:t>
      </w:r>
      <w:r w:rsidRPr="00D56CA1">
        <w:t xml:space="preserve"> taikomos naujos ar papildomos sąlygos; tokiu atveju nurodytos kitokios sąlygos netaikomos atgaline data ir nekeičia jūsų ar „Microsoft“ teisių, susijusių su programine įranga ar paslaugomis iki jų atnaujinimo). JEI SUTINKATE SU ŠIOMIS LICENCIJOS SĄLYGOMIS, JUMS SUTEIKIAMOS TOLIAU NURODYTOS TEISĖS. NAUDODAMI PROGRAMINĘ ĮRANGĄ, JŪS SUTINKATE SU ŠIOMIS SĄLYGOMIS.</w:t>
      </w:r>
    </w:p>
    <w:p w14:paraId="4B32D79E" w14:textId="045847B5" w:rsidR="00B406AF" w:rsidRPr="00D56CA1" w:rsidRDefault="003E2811" w:rsidP="0020357B">
      <w:pPr>
        <w:pStyle w:val="Heading1"/>
        <w:numPr>
          <w:ilvl w:val="0"/>
          <w:numId w:val="26"/>
        </w:numPr>
      </w:pPr>
      <w:r w:rsidRPr="00D56CA1">
        <w:rPr>
          <w:b/>
        </w:rPr>
        <w:t>DIEGIMO IR NAUDOJIMO TEISĖS.</w:t>
      </w:r>
    </w:p>
    <w:p w14:paraId="7886A934" w14:textId="31B28910" w:rsidR="00F15EA7" w:rsidRPr="00D56CA1" w:rsidRDefault="003E2811" w:rsidP="00A70A34">
      <w:pPr>
        <w:pStyle w:val="Heading2"/>
        <w:numPr>
          <w:ilvl w:val="1"/>
          <w:numId w:val="21"/>
        </w:numPr>
      </w:pPr>
      <w:bookmarkStart w:id="1" w:name="OLE_LINK7"/>
      <w:bookmarkStart w:id="2" w:name="OLE_LINK8"/>
      <w:r w:rsidRPr="00D56CA1">
        <w:rPr>
          <w:b/>
        </w:rPr>
        <w:t>Bendrosios nuostatos.</w:t>
      </w:r>
      <w:r>
        <w:rPr>
          <w:b/>
        </w:rPr>
        <w:t xml:space="preserve"> </w:t>
      </w:r>
      <w:r w:rsidR="001418CF">
        <w:t>Programinės įrangos kopijas savo įrenginiuose galite naudoti tik su programų versijomis, kurios palaiko ryšį su tinkamai licencijuot</w:t>
      </w:r>
      <w:r w:rsidR="00E0526E">
        <w:t>ais</w:t>
      </w:r>
      <w:r w:rsidR="001418CF">
        <w:t xml:space="preserve"> „Microsoft Skype“ verslui serveriu arba internetine „Skype“ verslui.</w:t>
      </w:r>
    </w:p>
    <w:bookmarkEnd w:id="1"/>
    <w:bookmarkEnd w:id="2"/>
    <w:p w14:paraId="38D69ADA" w14:textId="6E0DD538" w:rsidR="00710258" w:rsidRPr="00D56CA1" w:rsidRDefault="003E2811" w:rsidP="00A427F8">
      <w:pPr>
        <w:pStyle w:val="Heading2"/>
        <w:numPr>
          <w:ilvl w:val="1"/>
          <w:numId w:val="21"/>
        </w:numPr>
      </w:pPr>
      <w:r w:rsidRPr="00D56CA1">
        <w:rPr>
          <w:b/>
        </w:rPr>
        <w:t>Trečiosios šalies programinė įranga.</w:t>
      </w:r>
      <w:r w:rsidRPr="00D56CA1">
        <w:t xml:space="preserve"> Į programinę įrangą gali būti įtraukta trečiosios šalies programų, kurios licencijuojamos jums pagal šią sutartį arba pagal jų atskiras sąlygas. Trečiosios šalies programų licencijos sąlygas, pranešimus ir patvirtinimus, jei jų yra, galima peržiūrėti svetainėje </w:t>
      </w:r>
      <w:hyperlink r:id="rId8" w:history="1">
        <w:r w:rsidRPr="004E14A4">
          <w:rPr>
            <w:rStyle w:val="Hyperlink"/>
          </w:rPr>
          <w:t>http://aka.ms/thirdpartynotices</w:t>
        </w:r>
      </w:hyperlink>
      <w:r w:rsidRPr="00D56CA1">
        <w:t xml:space="preserve"> arba pridėtame pranešimų faile. Net jei tokių programų naudojimą reglamentuoja kitos sutartys, taip pat galioja toliau išvardytos patyrus žalą taikomos atsakomybės atsisakymo nuostatos, apribojimai ir išimtys, kiek leidžia taikytina teisė.</w:t>
      </w:r>
    </w:p>
    <w:p w14:paraId="37430964" w14:textId="64ED4CA5" w:rsidR="00F15EA7" w:rsidRPr="00D56CA1" w:rsidRDefault="003E2811" w:rsidP="00BE0EDE">
      <w:pPr>
        <w:pStyle w:val="Heading1"/>
        <w:numPr>
          <w:ilvl w:val="0"/>
          <w:numId w:val="26"/>
        </w:numPr>
      </w:pPr>
      <w:r w:rsidRPr="00D56CA1">
        <w:rPr>
          <w:b/>
        </w:rPr>
        <w:t>LICENCIJOS TAIKYMO SRITIS.</w:t>
      </w:r>
      <w:r w:rsidRPr="00D56CA1">
        <w:t xml:space="preserve"> Programinė įranga yra licencijuota, o ne parduota. „Microsoft“ pasilieka visas kitas teises. Nebent nepaisant šio apribojimo taikytina teisė suteikia jums daugiau teisių, jums draudžiama (ir jūs neturite teisės):</w:t>
      </w:r>
    </w:p>
    <w:p w14:paraId="21CC1C12" w14:textId="648C0643" w:rsidR="00F15EA7" w:rsidRPr="003D295A" w:rsidRDefault="003E2811" w:rsidP="00D145B6">
      <w:pPr>
        <w:pStyle w:val="Bullet2"/>
        <w:numPr>
          <w:ilvl w:val="0"/>
          <w:numId w:val="30"/>
        </w:numPr>
        <w:tabs>
          <w:tab w:val="left" w:pos="4950"/>
        </w:tabs>
        <w:rPr>
          <w:b w:val="0"/>
          <w:bCs/>
        </w:rPr>
      </w:pPr>
      <w:r w:rsidRPr="00D56CA1">
        <w:rPr>
          <w:b w:val="0"/>
          <w:bCs/>
        </w:rPr>
        <w:t>apeiti koki</w:t>
      </w:r>
      <w:r w:rsidR="00384630">
        <w:rPr>
          <w:b w:val="0"/>
          <w:bCs/>
        </w:rPr>
        <w:t>ų</w:t>
      </w:r>
      <w:r w:rsidRPr="00D56CA1">
        <w:rPr>
          <w:b w:val="0"/>
          <w:bCs/>
        </w:rPr>
        <w:t xml:space="preserve"> nors programinės įrangos technini</w:t>
      </w:r>
      <w:r w:rsidR="00384630">
        <w:rPr>
          <w:b w:val="0"/>
          <w:bCs/>
        </w:rPr>
        <w:t>ų</w:t>
      </w:r>
      <w:r w:rsidRPr="00D56CA1">
        <w:rPr>
          <w:b w:val="0"/>
          <w:bCs/>
        </w:rPr>
        <w:t xml:space="preserve"> apribojim</w:t>
      </w:r>
      <w:r w:rsidR="00384630">
        <w:rPr>
          <w:b w:val="0"/>
          <w:bCs/>
        </w:rPr>
        <w:t>ų</w:t>
      </w:r>
      <w:r w:rsidRPr="00D56CA1">
        <w:rPr>
          <w:b w:val="0"/>
          <w:bCs/>
        </w:rPr>
        <w:t>, pagal kuriuos jums leidžiama ja naudotis tik tam tikru būdu;</w:t>
      </w:r>
    </w:p>
    <w:p w14:paraId="2E5D90BE" w14:textId="47CC36E2" w:rsidR="00F15EA7" w:rsidRPr="003D295A" w:rsidRDefault="003E2811" w:rsidP="00D145B6">
      <w:pPr>
        <w:pStyle w:val="Bullet2"/>
        <w:numPr>
          <w:ilvl w:val="0"/>
          <w:numId w:val="30"/>
        </w:numPr>
        <w:rPr>
          <w:b w:val="0"/>
          <w:bCs/>
        </w:rPr>
      </w:pPr>
      <w:r w:rsidRPr="00D56CA1">
        <w:rPr>
          <w:b w:val="0"/>
          <w:bCs/>
        </w:rPr>
        <w:t xml:space="preserve">perdaryti, dekompiliuoti arba išskaidyti </w:t>
      </w:r>
      <w:r w:rsidR="00384630">
        <w:rPr>
          <w:b w:val="0"/>
          <w:bCs/>
        </w:rPr>
        <w:t>programinę</w:t>
      </w:r>
      <w:r w:rsidRPr="00D56CA1">
        <w:rPr>
          <w:b w:val="0"/>
          <w:bCs/>
        </w:rPr>
        <w:t xml:space="preserve"> įrang</w:t>
      </w:r>
      <w:r w:rsidR="00384630">
        <w:rPr>
          <w:b w:val="0"/>
          <w:bCs/>
        </w:rPr>
        <w:t>ą</w:t>
      </w:r>
      <w:r w:rsidRPr="00D56CA1">
        <w:rPr>
          <w:b w:val="0"/>
          <w:bCs/>
        </w:rPr>
        <w:t>;</w:t>
      </w:r>
    </w:p>
    <w:p w14:paraId="56869753" w14:textId="3A74C61B" w:rsidR="00FD293A" w:rsidRPr="003D295A" w:rsidRDefault="003E2811" w:rsidP="00D145B6">
      <w:pPr>
        <w:pStyle w:val="Bullet2"/>
        <w:numPr>
          <w:ilvl w:val="0"/>
          <w:numId w:val="30"/>
        </w:numPr>
        <w:rPr>
          <w:b w:val="0"/>
          <w:bCs/>
        </w:rPr>
      </w:pPr>
      <w:r w:rsidRPr="00D56CA1">
        <w:rPr>
          <w:b w:val="0"/>
          <w:bCs/>
        </w:rPr>
        <w:t>pašalinti, minimizuoti, užblokuoti arba modifikuoti bet kokius „Microsoft“ ar jos tiekėjų pranešimus programinėje įrangoje;</w:t>
      </w:r>
    </w:p>
    <w:p w14:paraId="2045DC0F" w14:textId="50AC5305" w:rsidR="00DC3A02" w:rsidRPr="003D295A" w:rsidRDefault="003E2811" w:rsidP="00D145B6">
      <w:pPr>
        <w:pStyle w:val="Bullet2"/>
        <w:numPr>
          <w:ilvl w:val="0"/>
          <w:numId w:val="30"/>
        </w:numPr>
        <w:rPr>
          <w:b w:val="0"/>
          <w:bCs/>
        </w:rPr>
      </w:pPr>
      <w:r w:rsidRPr="00D56CA1">
        <w:rPr>
          <w:b w:val="0"/>
        </w:rPr>
        <w:t>naudoti programinę įrangą komerciniais, ne pelno arba pajamų generavimo tikslais, nebent pagal atskirą sutartį jums suteiktos komercinio naudojimo teisės;</w:t>
      </w:r>
    </w:p>
    <w:p w14:paraId="04681DE1" w14:textId="100BED1D" w:rsidR="000E462E" w:rsidRPr="00D56CA1" w:rsidRDefault="003E2811" w:rsidP="00D145B6">
      <w:pPr>
        <w:pStyle w:val="Bullet2"/>
        <w:numPr>
          <w:ilvl w:val="0"/>
          <w:numId w:val="30"/>
        </w:numPr>
      </w:pPr>
      <w:r w:rsidRPr="00D56CA1">
        <w:rPr>
          <w:b w:val="0"/>
          <w:bCs/>
        </w:rPr>
        <w:t>naudoti programinę įrangą įstatymus pažeidžiančiu būdu, kurti arba platinti kenkėjišką programą; arba</w:t>
      </w:r>
    </w:p>
    <w:p w14:paraId="294EE23C" w14:textId="67BD3429" w:rsidR="00F15EA7" w:rsidRPr="003D295A" w:rsidRDefault="003E2811" w:rsidP="00A501E5">
      <w:pPr>
        <w:pStyle w:val="Bullet2"/>
        <w:numPr>
          <w:ilvl w:val="0"/>
          <w:numId w:val="30"/>
        </w:numPr>
        <w:rPr>
          <w:b w:val="0"/>
          <w:bCs/>
        </w:rPr>
      </w:pPr>
      <w:r w:rsidRPr="00D56CA1">
        <w:rPr>
          <w:b w:val="0"/>
          <w:bCs/>
        </w:rPr>
        <w:t>bendrinti, publikuoti, platinti arba skolinti programinę įrangą, pateikti programinę įrangą kaip atskirai teikiamą sprendimą, kuriuo galėtų naudotis kiti, arba perleisti programinę įrangą arba šią sutartį kokiai nors trečiajai šaliai.</w:t>
      </w:r>
    </w:p>
    <w:p w14:paraId="66A82FA4" w14:textId="47C045E7" w:rsidR="00F31CA3" w:rsidRPr="00D56CA1" w:rsidRDefault="003E2811" w:rsidP="002A4950">
      <w:pPr>
        <w:pStyle w:val="Heading1"/>
        <w:numPr>
          <w:ilvl w:val="0"/>
          <w:numId w:val="26"/>
        </w:numPr>
      </w:pPr>
      <w:r w:rsidRPr="00D56CA1">
        <w:rPr>
          <w:b/>
        </w:rPr>
        <w:t>VAIZDO KODEKAI.</w:t>
      </w:r>
      <w:r w:rsidRPr="00D56CA1">
        <w:t xml:space="preserve"> ŠIS PRODUKTAS LICENCIJUOTAS PAGAL „AVC“, „VC-1“ IR „MPEG-4 PART 2 VISUAL“ VAIZDO ĮRAŠŲ PATENTŲ PAKETŲ LICENCIJAS NAUDOTI ASMENINIAIS IR NEKOMERCINIAIS VARTOTOJO TIKSLAIS NORINT </w:t>
      </w:r>
      <w:r>
        <w:t>(</w:t>
      </w:r>
      <w:r w:rsidRPr="00D56CA1">
        <w:t>i) UŽŠIFRUOTI VAIZDO ĮRAŠUS PAGAL PIRMIAU NURODYTUS STANDARTUS (TOLIAU</w:t>
      </w:r>
      <w:r w:rsidR="00E0526E">
        <w:t> </w:t>
      </w:r>
      <w:r w:rsidRPr="00D56CA1">
        <w:t xml:space="preserve">– „VAIZDO STANDARTAI“) ARBA </w:t>
      </w:r>
      <w:r>
        <w:t>(</w:t>
      </w:r>
      <w:r w:rsidRPr="00D56CA1">
        <w:t xml:space="preserve">ii) IŠŠIFRUOTI „AVC“, „VC-1“ IR „MPEG-4 PART 2“ VAIZDO ĮRAŠUS, UŽŠIFRUOTUS VARTOTOJO ASMENINIAIS IR NEKOMERCINIAIS TIKSLAIS ARBA ĮSIGYTUS IŠ LICENCIJĄ TOKIUS VAIZDO ĮRAŠUS TIEKTI TURINČIO TIEKĖJO. LICENCIJA NAUDOTI KOKIAIS NORS KITAIS TIKSLAIS NESUTEIKIAMA IR NENUMATOMA. DAUGIAU INFORMACIJOS GALITE GAUTI IŠ „MPEG LA, L.L.C.“. ŽR. </w:t>
      </w:r>
      <w:hyperlink r:id="rId9" w:history="1">
        <w:r w:rsidRPr="004E14A4">
          <w:rPr>
            <w:rStyle w:val="Hyperlink"/>
            <w:rFonts w:cs="Tahoma"/>
          </w:rPr>
          <w:t>http://aka.ms/mpegla</w:t>
        </w:r>
      </w:hyperlink>
      <w:r w:rsidRPr="00D56CA1">
        <w:t>.</w:t>
      </w:r>
    </w:p>
    <w:p w14:paraId="5249D2B1" w14:textId="0E5ABEA9" w:rsidR="00F15EA7" w:rsidRPr="00D56CA1" w:rsidRDefault="003E2811" w:rsidP="002A4950">
      <w:pPr>
        <w:pStyle w:val="Heading1"/>
        <w:numPr>
          <w:ilvl w:val="0"/>
          <w:numId w:val="26"/>
        </w:numPr>
      </w:pPr>
      <w:r w:rsidRPr="00D56CA1">
        <w:rPr>
          <w:b/>
        </w:rPr>
        <w:t>EKSPORTO APRIBOJIMAI.</w:t>
      </w:r>
      <w:r w:rsidRPr="00D56CA1">
        <w:t xml:space="preserve"> Turite vykdyti visus vietinius ir tarptautinius eksporto įstatymus ir taisykles, taip pat programinei įrangai taikomas nuostatas, įskaitant apribojimus, susijusius su paskirties vieta, </w:t>
      </w:r>
      <w:r w:rsidRPr="00D56CA1">
        <w:lastRenderedPageBreak/>
        <w:t xml:space="preserve">galutiniais vartotojais ir galutiniu naudojimu. Daugiau informacijos apie eksporto apribojimus žr. </w:t>
      </w:r>
      <w:hyperlink r:id="rId10" w:history="1">
        <w:r w:rsidRPr="004E14A4">
          <w:rPr>
            <w:rStyle w:val="Hyperlink"/>
            <w:rFonts w:cs="Tahoma"/>
          </w:rPr>
          <w:t>http://aka.ms/exporting</w:t>
        </w:r>
      </w:hyperlink>
      <w:r w:rsidRPr="00D56CA1">
        <w:t>.</w:t>
      </w:r>
    </w:p>
    <w:p w14:paraId="7524A14C" w14:textId="3A8206F5" w:rsidR="00F15EA7" w:rsidRPr="00D56CA1" w:rsidRDefault="003E2811" w:rsidP="002A4950">
      <w:pPr>
        <w:pStyle w:val="Heading1"/>
        <w:numPr>
          <w:ilvl w:val="0"/>
          <w:numId w:val="26"/>
        </w:numPr>
      </w:pPr>
      <w:r w:rsidRPr="00D56CA1">
        <w:rPr>
          <w:b/>
        </w:rPr>
        <w:t>PALAIKYMO PASLAUGOS.</w:t>
      </w:r>
      <w:r w:rsidRPr="00D56CA1">
        <w:t xml:space="preserve"> „Microsoft“ pagal šią sutartį neįsipareigoja teikti kokių nors su programine įranga susijusių palaikymo paslaugų. Bet kokios palaikymo paslaugos teikiamos tokios, kokios yra, su visais trūkumais ir nesuteikiant jokių garantijų.</w:t>
      </w:r>
    </w:p>
    <w:p w14:paraId="194CC803" w14:textId="4050E6E7" w:rsidR="00F15EA7" w:rsidRPr="00D56CA1" w:rsidRDefault="003E2811" w:rsidP="00896399">
      <w:pPr>
        <w:pStyle w:val="Heading1"/>
        <w:numPr>
          <w:ilvl w:val="0"/>
          <w:numId w:val="26"/>
        </w:numPr>
      </w:pPr>
      <w:r w:rsidRPr="00D56CA1">
        <w:rPr>
          <w:b/>
        </w:rPr>
        <w:t>VIENTISA SUTARTIS.</w:t>
      </w:r>
      <w:r w:rsidRPr="00D56CA1">
        <w:t xml:space="preserve"> Ši sutartis ir bet kokios kitos sąlygos, kurias „Microsoft“ gali taikyti papildomoms programoms, naujiniams ar trečiosios šalies programoms, sudaro vientisą sutartį dėl programinės įrangos.</w:t>
      </w:r>
    </w:p>
    <w:p w14:paraId="31A1E80B" w14:textId="3BF7554A" w:rsidR="00F15EA7" w:rsidRPr="00D56CA1" w:rsidRDefault="003E2811" w:rsidP="00896399">
      <w:pPr>
        <w:pStyle w:val="Heading1"/>
        <w:numPr>
          <w:ilvl w:val="0"/>
          <w:numId w:val="26"/>
        </w:numPr>
      </w:pPr>
      <w:r w:rsidRPr="00D56CA1">
        <w:rPr>
          <w:b/>
        </w:rPr>
        <w:t>TAIKYTINA TEISĖ IR GINČŲ SPRENDIMO VIETA.</w:t>
      </w:r>
      <w:r w:rsidRPr="00D56CA1">
        <w:t xml:space="preserve"> Jei programinę įrangą įsigijote Jungtinėse Amerikos Valstijose arba Kanadoje, šios sutarties aiškinimą, pretenzijas dėl jos pažeidimo ir visas kitas pretenzijas (įskaitant pretenzijas dėl vartotojų apsaugos, nesąžiningos konkurencijos ir civilinės teisės pažeidimo) reglamentuoja valstijos ar provincijos, kurioje gyvenate (arba kurioje yra jūsų pagrindinė verslo veiklos vieta), įstatymai, nepaisant teisės normų prieštaravimų. Jei programinę įrangą įsigijote kitoje šalyje, taikomi tos šalies įstatymai. Jei taikoma JAV federalinė jurisdikcija, jūs ir „Microsoft“ sutinkate su išskirtine jurisdikcija ir vieta – federaliniu teismu</w:t>
      </w:r>
      <w:r w:rsidR="00384630">
        <w:t xml:space="preserve"> </w:t>
      </w:r>
      <w:r w:rsidRPr="00D56CA1">
        <w:t>Kingo apygardoje, Vašingtono valstijoje, JAV, kuriame būtų nagrinėjami visi teisminiai ginčai. Jei minėta jurisdikcija netaikoma, jūs ir „Microsoft“ sutinkate su išskirtine jurisdikcija ir vieta – Aukštesniuoju Teismu</w:t>
      </w:r>
      <w:r w:rsidR="00384630">
        <w:t xml:space="preserve"> </w:t>
      </w:r>
      <w:r w:rsidRPr="00D56CA1">
        <w:t>Kingo apygardoje, Vašingtono valstijoje, kuriame būtų nagrinėjami visi teisminiai ginčai.</w:t>
      </w:r>
    </w:p>
    <w:p w14:paraId="70F3046E" w14:textId="4401C746" w:rsidR="006E477F" w:rsidRPr="00D56CA1" w:rsidRDefault="003E2811" w:rsidP="00896399">
      <w:pPr>
        <w:pStyle w:val="Heading1"/>
        <w:numPr>
          <w:ilvl w:val="0"/>
          <w:numId w:val="26"/>
        </w:numPr>
      </w:pPr>
      <w:r w:rsidRPr="00D56CA1">
        <w:rPr>
          <w:b/>
        </w:rPr>
        <w:t>VARTOTOJO TEISĖS SKIRTINGUOSE REGIONUOSE.</w:t>
      </w:r>
      <w:r w:rsidRPr="00D56CA1">
        <w:t xml:space="preserve"> Šioje sutartyje aprašomos tam tikros teisės. Pagal savo valstijos, provincijos ar šalies įstatymus galite turėti ir kitų teisių, įskaitant vartotojo teises. Atskirai nuo jūsų santykių su „Microsoft“, taip pat galite turėti teisių, susijusių su šalimi, iš kurios įsigijote programinę įrangą. Ši sutartis nepakeičia jokių kitų teisių, nebent tai leidžiama pagal jūsų valstijos, provincijos ar šalies įstatymus. Pavyzdžiui, jei programinę įrangą įsigijote viename iš toliau nurodytų regionų arba jei taikomi privalomi šalies įstatymai, tada jums taikomos toliau nurodytos nuostatos:</w:t>
      </w:r>
    </w:p>
    <w:p w14:paraId="35FDEA05" w14:textId="530110AF" w:rsidR="006E477F" w:rsidRPr="00D56CA1" w:rsidRDefault="003E2811" w:rsidP="00896399">
      <w:pPr>
        <w:pStyle w:val="Heading2"/>
        <w:numPr>
          <w:ilvl w:val="1"/>
          <w:numId w:val="14"/>
        </w:numPr>
        <w:ind w:left="717"/>
      </w:pPr>
      <w:r w:rsidRPr="00D56CA1">
        <w:rPr>
          <w:b/>
        </w:rPr>
        <w:t>Australija.</w:t>
      </w:r>
      <w:r w:rsidRPr="00D56CA1">
        <w:t xml:space="preserve"> Pagal Australijos vartotojų teisių įstatymą jums suteikiamos įstatymu numatytos garantijos ir jokia šios sutarties nuostata tų teisių nepakeičia</w:t>
      </w:r>
      <w:r>
        <w:t>;</w:t>
      </w:r>
    </w:p>
    <w:p w14:paraId="6907979B" w14:textId="485620B9" w:rsidR="006E477F" w:rsidRPr="00D56CA1" w:rsidRDefault="003E2811" w:rsidP="00896399">
      <w:pPr>
        <w:pStyle w:val="Heading2"/>
        <w:numPr>
          <w:ilvl w:val="1"/>
          <w:numId w:val="14"/>
        </w:numPr>
        <w:ind w:left="717"/>
      </w:pPr>
      <w:r w:rsidRPr="00D56CA1">
        <w:rPr>
          <w:b/>
        </w:rPr>
        <w:t>Kanada.</w:t>
      </w:r>
      <w:r w:rsidRPr="00D56CA1">
        <w:t xml:space="preserve"> Jei programinę įrangą įsigijote Kanadoje, galite sustabdyti naujinių gavimą išjungdami automatinio naujinimo funkciją, atjungdami įrenginį nuo interneto (tačiau iš naujo prisijungus prie interneto, programinė įranga vėl tikrins, ar yra naujinių, ir tęs jų diegimą) arba pašalindami programinę įrangą. Produkto dokumentacijoje, jei ji yra, taip pat gali būti nurodyta, kaip išjungti naujinim</w:t>
      </w:r>
      <w:r>
        <w:t>ą</w:t>
      </w:r>
      <w:r w:rsidRPr="00D56CA1">
        <w:t xml:space="preserve"> konkrečiame įrengi</w:t>
      </w:r>
      <w:r>
        <w:t>nyje arba programinėje įrangoje;</w:t>
      </w:r>
    </w:p>
    <w:p w14:paraId="635014AF" w14:textId="2B3224A9" w:rsidR="006E477F" w:rsidRPr="00D56CA1" w:rsidRDefault="003E2811" w:rsidP="00896399">
      <w:pPr>
        <w:pStyle w:val="Heading2"/>
        <w:numPr>
          <w:ilvl w:val="1"/>
          <w:numId w:val="14"/>
        </w:numPr>
        <w:ind w:left="717"/>
      </w:pPr>
      <w:r w:rsidRPr="00D56CA1">
        <w:rPr>
          <w:b/>
        </w:rPr>
        <w:t>Vokietija ir Austrija</w:t>
      </w:r>
    </w:p>
    <w:p w14:paraId="123675B0" w14:textId="6D131249" w:rsidR="006E477F" w:rsidRPr="002E6D5F" w:rsidRDefault="003E2811" w:rsidP="004E14A4">
      <w:pPr>
        <w:ind w:left="1080" w:hanging="360"/>
        <w:rPr>
          <w:b w:val="0"/>
          <w:bCs/>
        </w:rPr>
      </w:pPr>
      <w:r>
        <w:t>(</w:t>
      </w:r>
      <w:r w:rsidRPr="00D56CA1">
        <w:t>i)</w:t>
      </w:r>
      <w:r w:rsidRPr="00D56CA1">
        <w:tab/>
        <w:t>Garantija.</w:t>
      </w:r>
      <w:r w:rsidRPr="00D56CA1">
        <w:rPr>
          <w:b w:val="0"/>
        </w:rPr>
        <w:t xml:space="preserve"> Tinkamai licencijuota programinė įranga iš esmės veiks taip, kaip aprašyta prie programinės įrangos pridėtoje „Microsoft“ medžiagoje. Tačiau „Microsoft“ nesuteikia jokių sutartinių garantijų, susijusių su licencijuota programine įranga</w:t>
      </w:r>
      <w:r>
        <w:rPr>
          <w:b w:val="0"/>
        </w:rPr>
        <w:t>;</w:t>
      </w:r>
    </w:p>
    <w:p w14:paraId="4E4D9AEE" w14:textId="72DFA6C2" w:rsidR="006E477F" w:rsidRPr="002E6D5F" w:rsidRDefault="003E2811" w:rsidP="004E14A4">
      <w:pPr>
        <w:tabs>
          <w:tab w:val="left" w:pos="1080"/>
        </w:tabs>
        <w:ind w:left="1080" w:hanging="360"/>
        <w:rPr>
          <w:b w:val="0"/>
          <w:bCs/>
        </w:rPr>
      </w:pPr>
      <w:r>
        <w:t>(</w:t>
      </w:r>
      <w:r w:rsidRPr="00D56CA1">
        <w:t>ii)</w:t>
      </w:r>
      <w:r w:rsidRPr="00D56CA1">
        <w:tab/>
        <w:t>Atsakomybės ribojimas.</w:t>
      </w:r>
      <w:r w:rsidRPr="00D56CA1">
        <w:rPr>
          <w:b w:val="0"/>
        </w:rPr>
        <w:t xml:space="preserve"> Tyčinio elgesio, didelio neatsargumo, pretenzijų, pagrįstų A</w:t>
      </w:r>
      <w:r>
        <w:rPr>
          <w:b w:val="0"/>
        </w:rPr>
        <w:t xml:space="preserve">tsakomybės už produktą aktu, </w:t>
      </w:r>
      <w:r w:rsidRPr="00D56CA1">
        <w:rPr>
          <w:b w:val="0"/>
        </w:rPr>
        <w:t>mirties arba kūno sužalojimo atveju „Microsoft“ atsako pagal įstatymus.</w:t>
      </w:r>
    </w:p>
    <w:p w14:paraId="2B4FB661" w14:textId="7183983B" w:rsidR="00F15EA7" w:rsidRPr="00D56CA1" w:rsidRDefault="003E2811" w:rsidP="003E2811">
      <w:pPr>
        <w:pStyle w:val="Heading1"/>
        <w:ind w:left="720"/>
      </w:pPr>
      <w:r w:rsidRPr="00D56CA1">
        <w:t>Atsižvelgiant į anksčiau pateiktą ii išlygą, „Microsoft“ bus laikoma atsakinga tik už mažiausio laipsnio neatsargumą, jei „Microsoft“ nesilaiko esminių sutartinių įsipareigojimų, kurių laikymasis padeda tinkamai vykdyti šią sutartį, kurių nesilaikant kyla grėsmė šios sutarties paskirčiai ir kurių nuolatinio laikymosi šalis gali tikėtis (tokie įsipareigojimai vadinami pagrindiniais įsip</w:t>
      </w:r>
      <w:r>
        <w:t>areigojimais</w:t>
      </w:r>
      <w:r w:rsidRPr="00D56CA1">
        <w:t>). Kitais mažiausio laipsnio neatsargumo atvejais „Microsoft“ nebus laikoma atsakinga už mažiausio laipsnio neatsargumą.</w:t>
      </w:r>
    </w:p>
    <w:p w14:paraId="2C146C8C" w14:textId="5B44631B" w:rsidR="00F15EA7" w:rsidRPr="00D56CA1" w:rsidRDefault="003E2811" w:rsidP="00CB50D2">
      <w:pPr>
        <w:pStyle w:val="Heading1"/>
        <w:numPr>
          <w:ilvl w:val="0"/>
          <w:numId w:val="26"/>
        </w:numPr>
      </w:pPr>
      <w:r w:rsidRPr="00D56CA1">
        <w:rPr>
          <w:b/>
        </w:rPr>
        <w:t>GARANTIJOS APRIBOJIMAS. ŠI PROGRAMINĖ ĮRANGA LICENCIJUOJAMA TOKIA, KOKIA YRA. VISĄ SU JOS NAUDOJIMU SUSIJUSIĄ RIZIKĄ PRISIIMATE JŪS. „MICROSOFT“ NESUTEIKIA JOKIŲ AIŠKIŲ GARANTIJŲ AR SĄLYGŲ. KIEK LEIDŽIA TAIKYTINA TEISĖ, „MICROSOFT“ NETEIKIA JOKIŲ NUMANOMŲ GARANTIJŲ, ĮSKAITANT GARANTIJĄ DĖL TINKAMUMO PARDUOTI, TINKAMUMO KONKREČIAM TIKSLUI IR PAŽEIDIMO NEBUVIMO.</w:t>
      </w:r>
    </w:p>
    <w:p w14:paraId="26951160" w14:textId="308FB50B" w:rsidR="00F15EA7" w:rsidRPr="00D56CA1" w:rsidRDefault="003E2811" w:rsidP="00896399">
      <w:pPr>
        <w:pStyle w:val="Heading1"/>
        <w:numPr>
          <w:ilvl w:val="0"/>
          <w:numId w:val="26"/>
        </w:numPr>
      </w:pPr>
      <w:r w:rsidRPr="00D56CA1">
        <w:rPr>
          <w:b/>
        </w:rPr>
        <w:lastRenderedPageBreak/>
        <w:t>NUOSTOLIŲ ATLYGINIMO APRIBOJIMAS IR NEĮTRAUKIMAS. JEI NEPAISANT PIRMIAU PATEIKTO GARANTIJOS APRIBOJIMO GALITE PAGRĮSTAI REIKALAUTI ATLYGINTI ŽALĄ, IŠ „MICROSOFT“ IR JOS TIEKĖJŲ GALITE GAUTI TIK KOMPENSACIJĄ UŽ TIESIOGINIUS NUOSTOLIUS, TAČIAU KOMPENSACIJOS SUMA NEVIRŠYS 5,00 USD. JUMS NEBUS ATLYGINTA UŽ JOKIĄ KITOKIĄ ŽALĄ, ĮSKAITANT PRIEŽASTINIUS NUOSTOLIUS, PRARASTĄ PELNĄ, YPATINGUS, NETIESIOGINIUS AR ATSITIKTINIUS NUOSTOLIUS.</w:t>
      </w:r>
    </w:p>
    <w:p w14:paraId="3FC85389" w14:textId="76E9A9D3" w:rsidR="00F15EA7" w:rsidRPr="00D56CA1" w:rsidRDefault="003E2811" w:rsidP="00896399">
      <w:pPr>
        <w:pStyle w:val="Body1"/>
      </w:pPr>
      <w:r w:rsidRPr="00D56CA1">
        <w:t xml:space="preserve">Šis apribojimas taikomas </w:t>
      </w:r>
      <w:r>
        <w:t>(</w:t>
      </w:r>
      <w:r w:rsidRPr="00D56CA1">
        <w:t>a) viskam, kas susiję su programine įranga, paslaugomis, trečiosios šalies interneto svetainėse esančiu turiniu (įskaitant kodą) arba tr</w:t>
      </w:r>
      <w:r>
        <w:t>ečiosios šalies programomis; (</w:t>
      </w:r>
      <w:r w:rsidRPr="00D56CA1">
        <w:t>b) pretenzijoms dėl sutarties pažeidimo, garantijų arba sąlygų pažeidimo, atsakomybės be kaltės, neatsargumo ir kitais atvejais, kiek leidžia taikytina teisė.</w:t>
      </w:r>
    </w:p>
    <w:p w14:paraId="54016D2E" w14:textId="77777777" w:rsidR="00262C9F" w:rsidRPr="00D56CA1" w:rsidRDefault="003E2811" w:rsidP="00896399">
      <w:pPr>
        <w:pStyle w:val="Body1"/>
      </w:pPr>
      <w:r w:rsidRPr="00D56CA1">
        <w:t>Jis taip pat taikomas, net jei „Microsoft“ žinojo arba turėjo žinoti apie nuostolių galimybę. Pirmiau išvardyti apribojimai ar išimtys gali būti netaikomos, jei jūsų valstija, provincija ar šalis neleidžia atsisakyti arba apriboti atsitiktinių, priežastinių arba kitokių nuostolių.</w:t>
      </w:r>
    </w:p>
    <w:sectPr w:rsidR="00262C9F" w:rsidRPr="00D56CA1"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C1E17" w14:textId="77777777" w:rsidR="000C5744" w:rsidRDefault="000C5744" w:rsidP="002B5C2F">
      <w:r>
        <w:separator/>
      </w:r>
    </w:p>
  </w:endnote>
  <w:endnote w:type="continuationSeparator" w:id="0">
    <w:p w14:paraId="30516B2F" w14:textId="77777777" w:rsidR="000C5744" w:rsidRDefault="000C5744" w:rsidP="002B5C2F">
      <w:r>
        <w:continuationSeparator/>
      </w:r>
    </w:p>
  </w:endnote>
  <w:endnote w:type="continuationNotice" w:id="1">
    <w:p w14:paraId="4713AF55" w14:textId="77777777" w:rsidR="000C5744" w:rsidRDefault="000C57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F929" w14:textId="77777777" w:rsidR="007D62D5" w:rsidRDefault="007D62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79340" w14:textId="77777777" w:rsidR="007D62D5" w:rsidRDefault="007D62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CCC04" w14:textId="77777777" w:rsidR="007D62D5" w:rsidRDefault="007D6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1E9F6" w14:textId="77777777" w:rsidR="000C5744" w:rsidRDefault="000C5744" w:rsidP="002B5C2F">
      <w:r>
        <w:separator/>
      </w:r>
    </w:p>
  </w:footnote>
  <w:footnote w:type="continuationSeparator" w:id="0">
    <w:p w14:paraId="7ADE84CB" w14:textId="77777777" w:rsidR="000C5744" w:rsidRDefault="000C5744" w:rsidP="002B5C2F">
      <w:r>
        <w:continuationSeparator/>
      </w:r>
    </w:p>
  </w:footnote>
  <w:footnote w:type="continuationNotice" w:id="1">
    <w:p w14:paraId="29D46A13" w14:textId="77777777" w:rsidR="000C5744" w:rsidRDefault="000C574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30CA6" w14:textId="77777777" w:rsidR="007D62D5" w:rsidRDefault="007D62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BD55D" w14:textId="77777777" w:rsidR="007D62D5" w:rsidRDefault="007D62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64A34" w14:textId="77777777" w:rsidR="007D62D5" w:rsidRDefault="007D62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577B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26BA247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4601498"/>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E3E3140"/>
    <w:multiLevelType w:val="multilevel"/>
    <w:tmpl w:val="26BA247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7"/>
  </w:num>
  <w:num w:numId="28">
    <w:abstractNumId w:val="18"/>
  </w:num>
  <w:num w:numId="29">
    <w:abstractNumId w:val="14"/>
  </w:num>
  <w:num w:numId="30">
    <w:abstractNumId w:val="34"/>
  </w:num>
  <w:num w:numId="31">
    <w:abstractNumId w:val="20"/>
  </w:num>
  <w:num w:numId="32">
    <w:abstractNumId w:val="0"/>
  </w:num>
  <w:num w:numId="33">
    <w:abstractNumId w:val="0"/>
  </w:num>
  <w:num w:numId="34">
    <w:abstractNumId w:val="16"/>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396"/>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CF"/>
    <w:rsid w:val="00071531"/>
    <w:rsid w:val="000C465B"/>
    <w:rsid w:val="000C5744"/>
    <w:rsid w:val="001418CF"/>
    <w:rsid w:val="002267A1"/>
    <w:rsid w:val="00384630"/>
    <w:rsid w:val="003E2811"/>
    <w:rsid w:val="004275AB"/>
    <w:rsid w:val="00520522"/>
    <w:rsid w:val="007D62D5"/>
    <w:rsid w:val="009E7A5A"/>
    <w:rsid w:val="00B179D1"/>
    <w:rsid w:val="00E0526E"/>
    <w:rsid w:val="00FE66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lt-LT" w:eastAsia="lt-LT" w:bidi="lt-L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lt-LT" w:eastAsia="lt-LT" w:bidi="lt-L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2017-07-04T18:55:00Z</dcterms:created>
  <dcterms:modified xsi:type="dcterms:W3CDTF">2017-07-05T19:17:00Z</dcterms:modified>
</cp:coreProperties>
</file>