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4EA2C013" w:rsidR="00F15EA7" w:rsidRPr="003E5A6B" w:rsidRDefault="00CC2668" w:rsidP="0020357B">
      <w:pPr>
        <w:pStyle w:val="HeadingEULA"/>
      </w:pPr>
      <w:bookmarkStart w:id="0" w:name="_GoBack"/>
      <w:bookmarkEnd w:id="0"/>
      <w:r>
        <w:t>TERMOS DE LICENÇA PARA SOFTWARE MICROSOFT</w:t>
      </w:r>
    </w:p>
    <w:p w14:paraId="7781957D" w14:textId="6711859E" w:rsidR="0046467A" w:rsidRPr="00684578" w:rsidRDefault="00CC2668" w:rsidP="0046467A">
      <w:pPr>
        <w:pStyle w:val="HeadingSoftwareTitle"/>
        <w:pBdr>
          <w:bottom w:val="none" w:sz="0" w:space="0" w:color="auto"/>
        </w:pBdr>
        <w:rPr>
          <w:lang w:val="en-US"/>
        </w:rPr>
      </w:pPr>
      <w:r>
        <w:rPr>
          <w:lang w:val="en-US"/>
        </w:rPr>
        <w:t>SOFTWARE FOR VIDEO CONFERENCING IN MOBILE APPLICATIONS POWERED BY SKYPE FOR BUSINESS</w:t>
      </w:r>
    </w:p>
    <w:p w14:paraId="58B29C81" w14:textId="296B7FDC" w:rsidR="0046467A" w:rsidRPr="003E5A6B" w:rsidRDefault="0062321D" w:rsidP="00463AA0">
      <w:pPr>
        <w:pStyle w:val="Preamble"/>
        <w:spacing w:after="0"/>
      </w:pPr>
      <w:r>
        <w:pict w14:anchorId="47171B36">
          <v:rect id="_x0000_i1025" style="width:0;height:1.5pt" o:hralign="center" o:hrstd="t" o:hr="t" fillcolor="#a0a0a0" stroked="f"/>
        </w:pict>
      </w:r>
    </w:p>
    <w:p w14:paraId="306FC705" w14:textId="547A7F18" w:rsidR="00F15EA7" w:rsidRPr="003E5A6B" w:rsidRDefault="00CC2668" w:rsidP="00463AA0">
      <w:pPr>
        <w:pStyle w:val="Preamble"/>
        <w:spacing w:before="0"/>
      </w:pPr>
      <w:r>
        <w:t>Os presentes termos de licença constituem um acordo entre você e a Microsoft Corporation (ou uma de suas afiliadas). Eles se aplicam ao software nomeado acima e a quaisquer atualizações de software ou serviços da Microsoft (exceto até a extensão de que tais serviços ou atualizações sejam acompanhadas pelos novos termos ou pelos termos adicionais, caso em que estes termos diferentes se aplicam provavelmente e não alteram seus direitos nem os direitos da Microsoft com relação a serviços ou softwares pré-atualizados). SE VOCÊ CONCORDAR COM ESTES TERMOS DE LICENÇA, TERÁ OS DIREITOS INDICADOS ABAIXO. USAR O SOFTWARE REPRESENTA A SUA ACEITAÇÃO DESTES TERMOS.</w:t>
      </w:r>
    </w:p>
    <w:p w14:paraId="4B32D79E" w14:textId="15A8427F" w:rsidR="00B406AF" w:rsidRPr="003E5A6B" w:rsidRDefault="00CC2668" w:rsidP="0020357B">
      <w:pPr>
        <w:pStyle w:val="Heading1"/>
        <w:numPr>
          <w:ilvl w:val="0"/>
          <w:numId w:val="26"/>
        </w:numPr>
      </w:pPr>
      <w:r>
        <w:rPr>
          <w:b/>
        </w:rPr>
        <w:t>DIREITOS DE INSTALAÇÃO E USO.</w:t>
      </w:r>
    </w:p>
    <w:p w14:paraId="7886A934" w14:textId="531BA46A" w:rsidR="00F15EA7" w:rsidRPr="003E5A6B" w:rsidRDefault="00CC2668" w:rsidP="00A70A34">
      <w:pPr>
        <w:pStyle w:val="Heading2"/>
        <w:numPr>
          <w:ilvl w:val="1"/>
          <w:numId w:val="21"/>
        </w:numPr>
      </w:pPr>
      <w:bookmarkStart w:id="1" w:name="OLE_LINK7"/>
      <w:bookmarkStart w:id="2" w:name="OLE_LINK8"/>
      <w:r>
        <w:rPr>
          <w:b/>
        </w:rPr>
        <w:t xml:space="preserve">Disposições Gerais. </w:t>
      </w:r>
      <w:r>
        <w:t>Você pode usar cópias do software</w:t>
      </w:r>
      <w:r w:rsidR="00F56818">
        <w:t xml:space="preserve"> em seus dispositivos somente com versões d</w:t>
      </w:r>
      <w:r>
        <w:t>e</w:t>
      </w:r>
      <w:r w:rsidR="00F56818">
        <w:t xml:space="preserve"> aplicativo</w:t>
      </w:r>
      <w:r>
        <w:t>s</w:t>
      </w:r>
      <w:r w:rsidR="00F56818">
        <w:t xml:space="preserve"> de software que sejam compatíveis com o Microsoft Skype for Business Server ou Skype for Business Online devidamente licenciado</w:t>
      </w:r>
      <w:r>
        <w:t>.</w:t>
      </w:r>
    </w:p>
    <w:bookmarkEnd w:id="1"/>
    <w:bookmarkEnd w:id="2"/>
    <w:p w14:paraId="38D69ADA" w14:textId="672D6BDB" w:rsidR="00710258" w:rsidRPr="003E5A6B" w:rsidRDefault="00CC2668" w:rsidP="00710258">
      <w:pPr>
        <w:pStyle w:val="Heading2"/>
        <w:numPr>
          <w:ilvl w:val="1"/>
          <w:numId w:val="21"/>
        </w:numPr>
      </w:pPr>
      <w:r>
        <w:rPr>
          <w:b/>
        </w:rPr>
        <w:t>Software de Terceiros.</w:t>
      </w:r>
      <w:r>
        <w:t xml:space="preserve"> O software pode incluir aplicativos de terceiros que são licenciados a você de acordo com este contrato ou sob seus próprios termos. Os termos de licença, as notificações e os reconhecimentos, se houver, para os aplicativos de terceiros podem ser acessados online em </w:t>
      </w:r>
      <w:hyperlink r:id="rId8" w:history="1">
        <w:r w:rsidRPr="004E74EF">
          <w:rPr>
            <w:rStyle w:val="Hyperlink"/>
          </w:rPr>
          <w:t>http://aka.ms/thirdpartynotices</w:t>
        </w:r>
      </w:hyperlink>
      <w:r>
        <w:t xml:space="preserve"> ou em um arquivo de notificações que o acompanhe. Mesmo que tais aplicativos sejam regidos por outros contratos, o aviso de isenção, as limitações e as exclusões de danos a seguir também se aplicam à extensão permitida pela lei aplicável.</w:t>
      </w:r>
    </w:p>
    <w:p w14:paraId="37430964" w14:textId="64ED4CA5" w:rsidR="00F15EA7" w:rsidRPr="003E5A6B" w:rsidRDefault="00CC2668" w:rsidP="00BE0EDE">
      <w:pPr>
        <w:pStyle w:val="Heading1"/>
        <w:numPr>
          <w:ilvl w:val="0"/>
          <w:numId w:val="26"/>
        </w:numPr>
      </w:pPr>
      <w:r>
        <w:rPr>
          <w:b/>
        </w:rPr>
        <w:t>ESCOPO DA LICENÇA.</w:t>
      </w:r>
      <w:r>
        <w:t xml:space="preserve"> O software é licenciado, não vendido. A Microsoft se reserva todos os outros direitos. Salvo quando a lei aplicável conferir outros direitos, não obstante a presente limitação, você não (e não terá direito a):</w:t>
      </w:r>
    </w:p>
    <w:p w14:paraId="21CC1C12" w14:textId="56749ED8" w:rsidR="00F15EA7" w:rsidRPr="003E5A6B" w:rsidRDefault="00CC2668" w:rsidP="00D145B6">
      <w:pPr>
        <w:pStyle w:val="Bullet2"/>
        <w:numPr>
          <w:ilvl w:val="0"/>
          <w:numId w:val="30"/>
        </w:numPr>
        <w:tabs>
          <w:tab w:val="left" w:pos="4950"/>
        </w:tabs>
      </w:pPr>
      <w:r>
        <w:rPr>
          <w:b w:val="0"/>
          <w:bCs/>
        </w:rPr>
        <w:t>contornar quaisquer limitações técnicas no software que permitam o seu uso apenas de determinadas maneiras;</w:t>
      </w:r>
    </w:p>
    <w:p w14:paraId="2E5D90BE" w14:textId="1AB664AE" w:rsidR="00F15EA7" w:rsidRPr="003E5A6B" w:rsidRDefault="00CC2668" w:rsidP="00D145B6">
      <w:pPr>
        <w:pStyle w:val="Bullet2"/>
        <w:numPr>
          <w:ilvl w:val="0"/>
          <w:numId w:val="30"/>
        </w:numPr>
      </w:pPr>
      <w:r>
        <w:rPr>
          <w:b w:val="0"/>
          <w:bCs/>
        </w:rPr>
        <w:t>fazer engenharia reversa, descompilar nem desmontar o software;</w:t>
      </w:r>
    </w:p>
    <w:p w14:paraId="56869753" w14:textId="3A74C61B" w:rsidR="00FD293A" w:rsidRPr="003E5A6B" w:rsidRDefault="00CC2668" w:rsidP="00D145B6">
      <w:pPr>
        <w:pStyle w:val="Bullet2"/>
        <w:numPr>
          <w:ilvl w:val="0"/>
          <w:numId w:val="30"/>
        </w:numPr>
      </w:pPr>
      <w:r>
        <w:rPr>
          <w:b w:val="0"/>
          <w:bCs/>
        </w:rPr>
        <w:t>remover, minimizar, bloquear ou modificar quaisquer notificações da Microsoft ou de seus fornecedores no software;</w:t>
      </w:r>
    </w:p>
    <w:p w14:paraId="2045DC0F" w14:textId="30A34058" w:rsidR="00DC3A02" w:rsidRPr="003E5A6B" w:rsidRDefault="00CC2668" w:rsidP="00D145B6">
      <w:pPr>
        <w:pStyle w:val="Bullet2"/>
        <w:numPr>
          <w:ilvl w:val="0"/>
          <w:numId w:val="30"/>
        </w:numPr>
      </w:pPr>
      <w:r>
        <w:rPr>
          <w:b w:val="0"/>
        </w:rPr>
        <w:t>usar o software para atividades comerciais, sem fins lucrativos ou de geração de receitas a menos que você tenha direitos de uso comerciais segundo um contrato separado;</w:t>
      </w:r>
    </w:p>
    <w:p w14:paraId="04681DE1" w14:textId="100BED1D" w:rsidR="000E462E" w:rsidRPr="00892C67" w:rsidRDefault="00CC2668" w:rsidP="00D145B6">
      <w:pPr>
        <w:pStyle w:val="Bullet2"/>
        <w:numPr>
          <w:ilvl w:val="0"/>
          <w:numId w:val="30"/>
        </w:numPr>
      </w:pPr>
      <w:r>
        <w:rPr>
          <w:b w:val="0"/>
          <w:bCs/>
        </w:rPr>
        <w:t xml:space="preserve">usar o software de qualquer maneira que seja ilegal, criar </w:t>
      </w:r>
      <w:r w:rsidRPr="00892C67">
        <w:rPr>
          <w:b w:val="0"/>
          <w:bCs/>
        </w:rPr>
        <w:t>ou propagar malwares ou</w:t>
      </w:r>
    </w:p>
    <w:p w14:paraId="294EE23C" w14:textId="041CAD37" w:rsidR="00F15EA7" w:rsidRPr="003E5A6B" w:rsidRDefault="00CC2668" w:rsidP="00A501E5">
      <w:pPr>
        <w:pStyle w:val="Bullet2"/>
        <w:numPr>
          <w:ilvl w:val="0"/>
          <w:numId w:val="30"/>
        </w:numPr>
      </w:pPr>
      <w:r>
        <w:rPr>
          <w:b w:val="0"/>
          <w:bCs/>
        </w:rPr>
        <w:t>compartilhar, publicar, distribuir ou emprestar o software, fornecê-lo como uma solução hospedada independente para outras pessoas usarem ou transferir o software ou este contrato a um terceiro.</w:t>
      </w:r>
    </w:p>
    <w:p w14:paraId="66A82FA4" w14:textId="46983FB3" w:rsidR="00F31CA3" w:rsidRPr="003E5A6B" w:rsidRDefault="00CC2668" w:rsidP="002A4950">
      <w:pPr>
        <w:pStyle w:val="Heading1"/>
        <w:numPr>
          <w:ilvl w:val="0"/>
          <w:numId w:val="26"/>
        </w:numPr>
      </w:pPr>
      <w:r>
        <w:rPr>
          <w:b/>
        </w:rPr>
        <w:t>CODIFICAÇÕES DE VÍDEO.</w:t>
      </w:r>
      <w:r>
        <w:t xml:space="preserve"> ESTE PRODUTO ESTÁ LICENCIADO DE ACORDO COM AS LICENÇAS DE PORTFÓLIO DE PATENTES DO PADRÃO AVC, VC-1 E O PADRÃO VISUAL MPEG-4 PARTE 2 PARA USO PESSOAL E NÃO COMERCIAL DE UM CONSUMIDOR PARA (i) CODIFICAR VÍDEO EM CONFORMIDADE COM OS PADRÕES ACIMA (“PADRÕES DE VÍDEO”) OU (ii) DECODIFICAR AVC, VC-1, VÍDEO MPEG-4 PARTE 2 E MPEG-2 QUE TENHAM SIDO CODIFICADOS POR UM CONSUMIDOR ENVOLVIDO EM UMA ATIVIDADE PESSOAL E NÃO COMERCIAL OU OBTIDO POR UM FORNECEDOR DE VÍDEO LICENCIADO PARA FORNECER TAL VÍDEO. NÃO SERÁ CONCEDIDA NEM ESTARÁ IMPLÍCITA NENHUMA LICENÇA PARA QUALQUER OUTRO USO. INFORMAÇÕES ADICIONAIS PODERÃO SER OBTIDAS NA MPEG LA, L.L.C., CONSULTE (</w:t>
      </w:r>
      <w:hyperlink r:id="rId9" w:history="1">
        <w:r w:rsidRPr="004E74EF">
          <w:rPr>
            <w:rStyle w:val="Hyperlink"/>
            <w:rFonts w:cs="Tahoma"/>
          </w:rPr>
          <w:t>http://aka.ms/mpegla</w:t>
        </w:r>
      </w:hyperlink>
      <w:r>
        <w:t>).</w:t>
      </w:r>
    </w:p>
    <w:p w14:paraId="5249D2B1" w14:textId="013F7C3F" w:rsidR="00F15EA7" w:rsidRPr="003E5A6B" w:rsidRDefault="00CC2668" w:rsidP="002A4950">
      <w:pPr>
        <w:pStyle w:val="Heading1"/>
        <w:numPr>
          <w:ilvl w:val="0"/>
          <w:numId w:val="26"/>
        </w:numPr>
      </w:pPr>
      <w:r>
        <w:rPr>
          <w:b/>
        </w:rPr>
        <w:t>RESTRIÇÕES DE EXPORTAÇÃO.</w:t>
      </w:r>
      <w:r>
        <w:t xml:space="preserve"> Você deverá cumprir com todas as leis e os regulamentos nacionais e internacionais de exportação aplicáveis ao software, que incluem restrições a destinos, usuários finais e uso final. Para obter mais informações sobre restrições de exportação, visite o site (aka.ms/exporting).</w:t>
      </w:r>
    </w:p>
    <w:p w14:paraId="7524A14C" w14:textId="1B0668AB" w:rsidR="00F15EA7" w:rsidRPr="003E5A6B" w:rsidRDefault="00CC2668" w:rsidP="002A4950">
      <w:pPr>
        <w:pStyle w:val="Heading1"/>
        <w:numPr>
          <w:ilvl w:val="0"/>
          <w:numId w:val="26"/>
        </w:numPr>
      </w:pPr>
      <w:r>
        <w:rPr>
          <w:b/>
        </w:rPr>
        <w:lastRenderedPageBreak/>
        <w:t>SERVIÇOS DE SUPORTE.</w:t>
      </w:r>
      <w:r>
        <w:t xml:space="preserve"> A Microsoft pode prestar serviços de suporte para o software, mas não está obrigada a fazer isso sob este contrato. Todo o suporte é fornecido “no estado em que se encontra”, “com todas as falhas” e sem garantia de qualquer natureza.</w:t>
      </w:r>
    </w:p>
    <w:p w14:paraId="194CC803" w14:textId="03F72068" w:rsidR="00F15EA7" w:rsidRPr="003E5A6B" w:rsidRDefault="00CC2668" w:rsidP="00896399">
      <w:pPr>
        <w:pStyle w:val="Heading1"/>
        <w:numPr>
          <w:ilvl w:val="0"/>
          <w:numId w:val="26"/>
        </w:numPr>
      </w:pPr>
      <w:r>
        <w:rPr>
          <w:b/>
        </w:rPr>
        <w:t>ACORDO INTEGRAL.</w:t>
      </w:r>
      <w:r>
        <w:t xml:space="preserve"> Este contrato e quaisquer outros termos que a Microsoft pode fornecer para suplementos, atualizações ou aplicativos de terceiros constituem o acordo integral para o software.</w:t>
      </w:r>
    </w:p>
    <w:p w14:paraId="31A1E80B" w14:textId="53329CCC" w:rsidR="00F15EA7" w:rsidRPr="003E5A6B" w:rsidRDefault="00CC2668" w:rsidP="00896399">
      <w:pPr>
        <w:pStyle w:val="Heading1"/>
        <w:numPr>
          <w:ilvl w:val="0"/>
          <w:numId w:val="26"/>
        </w:numPr>
      </w:pPr>
      <w:r>
        <w:rPr>
          <w:b/>
        </w:rPr>
        <w:t>LEI APLICÁVEL E LOCAL PARA RESOLVER CONTROVÉRSIAS.</w:t>
      </w:r>
      <w:r>
        <w:t xml:space="preserve"> Se você adquiriu o software nos Estados Unidos ou no Canadá, as leis do estado ou da província na qual você reside (ou, se você for uma empresa, onde sua sede estiver localizada) regerão a interpretação deste contrato, os requerimentos judiciais ou extrajudiciais em decorrência de sua violação e todos os outros requerimentos judiciais ou extrajudiciais (incluindo requerimentos judiciais ou extrajudiciais de proteção do consumidor, concorrência desleal e de ato ilícito extracontratual), independentemente do conflito dos princípios da lei. Se você tiver adquirido o software em qualquer outro país, suas leis serão aplicadas. Se existir a jurisdição federal dos Estados Unidos, você e a Microsoft consentirão com o foro e a jurisdição exclusivos da Suprema Corte de King County, em Washington, para todas as controvérsias levadas ao tribunal. Caso contrário, você e a Microsoft consentem com o foro e a jurisdição exclusivos da Suprema Corte de King County, em Washington, para todas as controvérsias levadas ao tribunal.</w:t>
      </w:r>
    </w:p>
    <w:p w14:paraId="70F3046E" w14:textId="4401C746" w:rsidR="006E477F" w:rsidRPr="003E5A6B" w:rsidRDefault="00CC2668" w:rsidP="00896399">
      <w:pPr>
        <w:pStyle w:val="Heading1"/>
        <w:numPr>
          <w:ilvl w:val="0"/>
          <w:numId w:val="26"/>
        </w:numPr>
      </w:pPr>
      <w:r>
        <w:rPr>
          <w:b/>
        </w:rPr>
        <w:t>DIREITOS DO CONSUMIDOR; VARIAÇÕES REGIONAIS.</w:t>
      </w:r>
      <w:r>
        <w:t xml:space="preserve"> Este contrato descreve determinados direitos previstos em lei. Você poderá ter outros direitos, incluindo os direitos do consumidor, de acordo com as leis do seu estado, província ou país. Independentemente do seu relacionamento com a Microsoft, você também poderá ter direitos em relação à parte de quem o software foi adquirido. O presente contrato não altera esses outros direitos se as leis do seu estado, província ou país não permitirem que você o faça. Por exemplo, se você tiver adquirido o software em uma das regiões a seguir, ou leis obrigatórias do país forem aplicáveis, as seguintes disposições se aplicarão a você:</w:t>
      </w:r>
    </w:p>
    <w:p w14:paraId="35FDEA05" w14:textId="272EDE13" w:rsidR="006E477F" w:rsidRPr="003E5A6B" w:rsidRDefault="00CC2668" w:rsidP="00896399">
      <w:pPr>
        <w:pStyle w:val="Heading2"/>
        <w:numPr>
          <w:ilvl w:val="1"/>
          <w:numId w:val="14"/>
        </w:numPr>
        <w:ind w:left="717"/>
      </w:pPr>
      <w:r>
        <w:rPr>
          <w:b/>
        </w:rPr>
        <w:t>Austrália.</w:t>
      </w:r>
      <w:r>
        <w:t xml:space="preserve"> você possui garantias estatutárias resguardadas pela Lei de Consumo Australiana e nada neste contrato destina-se a afetar esses direitos.</w:t>
      </w:r>
    </w:p>
    <w:p w14:paraId="6907979B" w14:textId="2C0A0A05" w:rsidR="006E477F" w:rsidRPr="003E5A6B" w:rsidRDefault="00CC2668" w:rsidP="00896399">
      <w:pPr>
        <w:pStyle w:val="Heading2"/>
        <w:numPr>
          <w:ilvl w:val="1"/>
          <w:numId w:val="14"/>
        </w:numPr>
        <w:ind w:left="717"/>
      </w:pPr>
      <w:r>
        <w:rPr>
          <w:b/>
        </w:rPr>
        <w:t>Canadá.</w:t>
      </w:r>
      <w:r>
        <w:t xml:space="preserve"> Se você adquiriu este software no Canadá, poderá parar de receber atualizações desativando o recurso de atualização automática, desconectando seu dispositivo da Internet (se e quando você reconectar à Internet, no entanto, o software continuará procurando e instalando as atualizações) ou desinstalando o software. A documentação do produto, se houver, também pode especificar como desativar as atualizações para seu dispositivo ou software específico.</w:t>
      </w:r>
    </w:p>
    <w:p w14:paraId="635014AF" w14:textId="182F1E96" w:rsidR="006E477F" w:rsidRPr="003E5A6B" w:rsidRDefault="00CC2668" w:rsidP="00896399">
      <w:pPr>
        <w:pStyle w:val="Heading2"/>
        <w:numPr>
          <w:ilvl w:val="1"/>
          <w:numId w:val="14"/>
        </w:numPr>
        <w:ind w:left="717"/>
      </w:pPr>
      <w:r>
        <w:rPr>
          <w:b/>
        </w:rPr>
        <w:t>Alemanha e Áustria.</w:t>
      </w:r>
    </w:p>
    <w:p w14:paraId="123675B0" w14:textId="77777777" w:rsidR="006E477F" w:rsidRPr="003E5A6B" w:rsidRDefault="00CC2668" w:rsidP="004E74EF">
      <w:pPr>
        <w:ind w:left="1080" w:hanging="360"/>
      </w:pPr>
      <w:r>
        <w:t>(i)</w:t>
      </w:r>
      <w:r>
        <w:tab/>
        <w:t>Garantia.</w:t>
      </w:r>
      <w:r>
        <w:rPr>
          <w:b w:val="0"/>
        </w:rPr>
        <w:t xml:space="preserve"> O software adequadamente licenciado será executado em plena conformidade com o que está descrito em qualquer material da Microsoft fornecido com o software. No entanto, a Microsoft não dá nenhuma garantia contratual relativa ao software licenciado.</w:t>
      </w:r>
    </w:p>
    <w:p w14:paraId="4E4D9AEE" w14:textId="77777777" w:rsidR="006E477F" w:rsidRPr="003E5A6B" w:rsidRDefault="00CC2668" w:rsidP="004E74EF">
      <w:pPr>
        <w:ind w:left="1080" w:hanging="360"/>
      </w:pPr>
      <w:r>
        <w:t>(ii)</w:t>
      </w:r>
      <w:r>
        <w:tab/>
        <w:t>Limitação de Responsabilidade.</w:t>
      </w:r>
      <w:r>
        <w:rPr>
          <w:b w:val="0"/>
        </w:rPr>
        <w:t xml:space="preserve"> No caso de conduta intencional, negligência grave, requerimentos judiciais ou extrajudiciais com base na Lei de Responsabilidade Civil sobre Produtos (Product Liability Act), bem como em caso de morte ou danos físicos ou pessoais, a Microsoft será responsável de acordo com a legislação.</w:t>
      </w:r>
    </w:p>
    <w:p w14:paraId="2B4FB661" w14:textId="018BF260" w:rsidR="00F15EA7" w:rsidRPr="003E5A6B" w:rsidRDefault="00CC2668" w:rsidP="00896399">
      <w:pPr>
        <w:pStyle w:val="Heading1"/>
        <w:ind w:left="720"/>
      </w:pPr>
      <w:r>
        <w:t>Sujeito à cláusula anterior, a Microsoft só será responsável por negligência leve se ela violar obrigações contratuais significativas, cujo cumprimento viabilize o devido cumprimento deste contrato, cuja violação prejudique a finalidade deste contrato e em cuja conformidade uma determinada parte confie (chamadas “obrigações básicas”). Em outros casos de negligência leve, a Microsoft não será responsável.</w:t>
      </w:r>
    </w:p>
    <w:p w14:paraId="2C146C8C" w14:textId="4DCB8A7E" w:rsidR="00F15EA7" w:rsidRPr="003E5A6B" w:rsidRDefault="00CC2668" w:rsidP="00CB50D2">
      <w:pPr>
        <w:pStyle w:val="Heading1"/>
        <w:numPr>
          <w:ilvl w:val="0"/>
          <w:numId w:val="26"/>
        </w:numPr>
      </w:pPr>
      <w:r>
        <w:rPr>
          <w:b/>
        </w:rPr>
        <w:t>ISENÇÃO DE GARANTIA. O SOFTWARE É LICENCIADO “NO ESTADO EM QUE SE ENCONTRA”. VOCÊ ASSUME INTEGRALMENTE O RISCO DE USÁ-LO. A MICROSOFT NÃO OFERECE GARANTIAS NEM CONDIÇÕES CONTRATUAIS. ATÉ O LIMITE PERMITIDO PELAS LEIS APLICÁVEIS, A MICROSOFT EXCLUI TODAS AS GARANTIAS LEGAIS, INCLUINDO PADRÕES DE COMERCIALIZAÇÃO, ADEQUAÇÃO A UMA FINALIDADE ESPECÍFICA E NÃO VIOLAÇÃO.</w:t>
      </w:r>
    </w:p>
    <w:p w14:paraId="26951160" w14:textId="0E87D64B" w:rsidR="00F15EA7" w:rsidRPr="003E5A6B" w:rsidRDefault="00CC2668" w:rsidP="00896399">
      <w:pPr>
        <w:pStyle w:val="Heading1"/>
        <w:numPr>
          <w:ilvl w:val="0"/>
          <w:numId w:val="26"/>
        </w:numPr>
      </w:pPr>
      <w:r>
        <w:rPr>
          <w:b/>
        </w:rPr>
        <w:t xml:space="preserve">LIMITAÇÃO E EXCLUSÃO DE INDENIZAÇÕES. SE VOCÊ TIVER QUALQUER BASE PARA PLEITEAR UMA INDENIZAÇÃO POR DANOS, APESAR A ISENÇÃO DE GARANTIA SUPRA, VOCÊ </w:t>
      </w:r>
      <w:r>
        <w:rPr>
          <w:b/>
        </w:rPr>
        <w:lastRenderedPageBreak/>
        <w:t>PODERÁ RECUPERAR DA MICROSOFT E DE SEUS FORNECEDORES SOMENTE DANOS DIRETOS ATÉ O VALOR DE US$ 5,00. NÃO SERÁ POSSÍVEL RECUPERAR QUAISQUER OUTROS DANOS, INCLUSIVE DANOS CONSEQUENCIAIS, ESPECIAIS, INDIRETOS, INCIDENTAIS OU POR LUCROS CESSANTES.</w:t>
      </w:r>
    </w:p>
    <w:p w14:paraId="3FC85389" w14:textId="32C4D2AA" w:rsidR="00F15EA7" w:rsidRPr="003E5A6B" w:rsidRDefault="00CC2668" w:rsidP="00896399">
      <w:pPr>
        <w:pStyle w:val="Body1"/>
      </w:pPr>
      <w:r>
        <w:t>Esta limitação se aplica a (a) qualquer questão relacionada ao software, aos serviços, ao conteúdo (inclusive código) em sites ou aplicativos de terceiros e (b) requerimentos judiciais ou extrajudiciais de violação de contrato, de garantia ou condição, de responsabilidade objetiva, de negligência ou de outro ato ilícito extracontratual, ou qualquer outro requerimento judicial ou extrajudicial, até o limite permitido pela lei aplicável.</w:t>
      </w:r>
    </w:p>
    <w:p w14:paraId="54016D2E" w14:textId="77777777" w:rsidR="00262C9F" w:rsidRPr="003E5A6B" w:rsidRDefault="00CC2668" w:rsidP="00896399">
      <w:pPr>
        <w:pStyle w:val="Body1"/>
      </w:pPr>
      <w:r>
        <w:t>A limitação também se aplicará mesmo que a Microsoft saiba ou tenha sido avisada da possibilidade de danos. A limitação ou exclusão acima poderá não se aplicar a você se a legislação do seu estado, província ou país proibir a exclusão ou limitação de danos incidentais, consequenciais ou outros.</w:t>
      </w:r>
    </w:p>
    <w:sectPr w:rsidR="00262C9F" w:rsidRPr="003E5A6B" w:rsidSect="00FA1A3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BD626" w14:textId="77777777" w:rsidR="0062321D" w:rsidRDefault="0062321D" w:rsidP="002B5C2F">
      <w:r>
        <w:separator/>
      </w:r>
    </w:p>
  </w:endnote>
  <w:endnote w:type="continuationSeparator" w:id="0">
    <w:p w14:paraId="2A9C7948" w14:textId="77777777" w:rsidR="0062321D" w:rsidRDefault="0062321D" w:rsidP="002B5C2F">
      <w:r>
        <w:continuationSeparator/>
      </w:r>
    </w:p>
  </w:endnote>
  <w:endnote w:type="continuationNotice" w:id="1">
    <w:p w14:paraId="317C963D" w14:textId="77777777" w:rsidR="0062321D" w:rsidRDefault="0062321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1E7CB8" w:rsidRDefault="00CC266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43BE8" w14:textId="77777777" w:rsidR="00684578" w:rsidRDefault="006232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1E7CB8" w:rsidRDefault="00CC266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E1717" w14:textId="77777777" w:rsidR="0062321D" w:rsidRDefault="0062321D" w:rsidP="002B5C2F">
      <w:r>
        <w:separator/>
      </w:r>
    </w:p>
  </w:footnote>
  <w:footnote w:type="continuationSeparator" w:id="0">
    <w:p w14:paraId="38A113B9" w14:textId="77777777" w:rsidR="0062321D" w:rsidRDefault="0062321D" w:rsidP="002B5C2F">
      <w:r>
        <w:continuationSeparator/>
      </w:r>
    </w:p>
  </w:footnote>
  <w:footnote w:type="continuationNotice" w:id="1">
    <w:p w14:paraId="0D92CABB" w14:textId="77777777" w:rsidR="0062321D" w:rsidRDefault="0062321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AFB19" w14:textId="77777777" w:rsidR="0084032F" w:rsidRDefault="008403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44D7C" w14:textId="77777777" w:rsidR="00684578" w:rsidRDefault="006232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BC2D4" w14:textId="77777777" w:rsidR="0084032F" w:rsidRDefault="008403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087E1B9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027F1"/>
    <w:multiLevelType w:val="multilevel"/>
    <w:tmpl w:val="087E1B9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ECD6DD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EF9A9E70"/>
    <w:lvl w:ilvl="0" w:tplc="D0D05B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4F538D6"/>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1"/>
  </w:num>
  <w:num w:numId="7">
    <w:abstractNumId w:val="22"/>
  </w:num>
  <w:num w:numId="8">
    <w:abstractNumId w:val="14"/>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5"/>
  </w:num>
  <w:num w:numId="17">
    <w:abstractNumId w:val="24"/>
  </w:num>
  <w:num w:numId="18">
    <w:abstractNumId w:val="6"/>
  </w:num>
  <w:num w:numId="19">
    <w:abstractNumId w:val="4"/>
  </w:num>
  <w:num w:numId="20">
    <w:abstractNumId w:val="19"/>
  </w:num>
  <w:num w:numId="21">
    <w:abstractNumId w:val="11"/>
  </w:num>
  <w:num w:numId="22">
    <w:abstractNumId w:val="2"/>
  </w:num>
  <w:num w:numId="23">
    <w:abstractNumId w:val="23"/>
  </w:num>
  <w:num w:numId="24">
    <w:abstractNumId w:val="8"/>
  </w:num>
  <w:num w:numId="25">
    <w:abstractNumId w:val="29"/>
  </w:num>
  <w:num w:numId="26">
    <w:abstractNumId w:val="10"/>
  </w:num>
  <w:num w:numId="27">
    <w:abstractNumId w:val="15"/>
  </w:num>
  <w:num w:numId="28">
    <w:abstractNumId w:val="17"/>
  </w:num>
  <w:num w:numId="29">
    <w:abstractNumId w:val="13"/>
  </w:num>
  <w:num w:numId="30">
    <w:abstractNumId w:val="34"/>
  </w:num>
  <w:num w:numId="31">
    <w:abstractNumId w:val="20"/>
  </w:num>
  <w:num w:numId="32">
    <w:abstractNumId w:val="0"/>
  </w:num>
  <w:num w:numId="33">
    <w:abstractNumId w:val="0"/>
  </w:num>
  <w:num w:numId="34">
    <w:abstractNumId w:val="1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C07"/>
    <w:rsid w:val="000E39CB"/>
    <w:rsid w:val="00197C36"/>
    <w:rsid w:val="00244C31"/>
    <w:rsid w:val="002D2C07"/>
    <w:rsid w:val="0034467D"/>
    <w:rsid w:val="005C00EB"/>
    <w:rsid w:val="0062321D"/>
    <w:rsid w:val="00743E52"/>
    <w:rsid w:val="0084032F"/>
    <w:rsid w:val="00CC2668"/>
    <w:rsid w:val="00F568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2017-07-04T19:04:00Z</dcterms:created>
  <dcterms:modified xsi:type="dcterms:W3CDTF">2017-07-05T19:17:00Z</dcterms:modified>
</cp:coreProperties>
</file>