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85D10" w14:textId="0A49757E" w:rsidR="00F15EA7" w:rsidRPr="008E4ADF" w:rsidRDefault="002D501F" w:rsidP="0020357B">
      <w:pPr>
        <w:pStyle w:val="HeadingEULA"/>
        <w:rPr>
          <w:bCs w:val="0"/>
          <w:cs/>
        </w:rPr>
      </w:pPr>
      <w:r w:rsidRPr="008E4ADF">
        <w:rPr>
          <w:bCs w:val="0"/>
          <w:cs/>
        </w:rPr>
        <w:t>เงื่อนไขการอนุญาตให้ใช้สิทธิสำหรับซอฟต์แวร์ของ Microsoft</w:t>
      </w:r>
    </w:p>
    <w:p w14:paraId="7781957D" w14:textId="6ECBF834" w:rsidR="0046467A" w:rsidRPr="008E4ADF" w:rsidRDefault="002D501F" w:rsidP="0046467A">
      <w:pPr>
        <w:pStyle w:val="HeadingSoftwareTitle"/>
        <w:pBdr>
          <w:bottom w:val="none" w:sz="0" w:space="0" w:color="auto"/>
        </w:pBdr>
        <w:rPr>
          <w:bCs w:val="0"/>
          <w:cs/>
        </w:rPr>
      </w:pPr>
      <w:r>
        <w:rPr>
          <w:bCs w:val="0"/>
          <w:cs/>
        </w:rPr>
        <w:t>SOFTWARE FOR VIDEO CONFERENCING IN MOBILE APPLICATIONS POWERED BY SKYPE FOR BUSINESS</w:t>
      </w:r>
    </w:p>
    <w:p w14:paraId="58B29C81" w14:textId="7C488246" w:rsidR="0046467A" w:rsidRPr="008E4ADF" w:rsidRDefault="00FF713B" w:rsidP="00463AA0">
      <w:pPr>
        <w:pStyle w:val="Preamble"/>
        <w:spacing w:after="0"/>
        <w:rPr>
          <w:bCs w:val="0"/>
          <w:cs/>
        </w:rPr>
      </w:pPr>
      <w:r>
        <w:rPr>
          <w:spacing w:val="-2"/>
        </w:rPr>
        <w:pict w14:anchorId="47171B36">
          <v:rect id="_x0000_i1025" style="width:0;height:1.5pt" o:hralign="center" o:hrstd="t" o:hr="t" fillcolor="#a0a0a0" stroked="f"/>
        </w:pict>
      </w:r>
    </w:p>
    <w:p w14:paraId="306FC705" w14:textId="2CEA7472" w:rsidR="00F15EA7" w:rsidRPr="008E4ADF" w:rsidRDefault="002D501F" w:rsidP="00463AA0">
      <w:pPr>
        <w:pStyle w:val="Preamble"/>
        <w:spacing w:before="0"/>
        <w:rPr>
          <w:bCs w:val="0"/>
          <w:cs/>
        </w:rPr>
      </w:pPr>
      <w:r w:rsidRPr="008E4ADF">
        <w:rPr>
          <w:bCs w:val="0"/>
          <w:cs/>
        </w:rPr>
        <w:t>เงื่อนไขการอนุญาตให้ใช้สิทธิเหล่านี้เป็นข้อตกลงระหว่างท่านกับ Microsoft Corporation (หรือหนึ่งในบริษัทในเครือ) ซึ่งจะใช้บังคับกับซอฟต์แวร์ที่ระบุไว้ข้างต้นและบริการใดๆ ของ Microsoft หรือการปรับปรุงซอฟต์แวร์ (เว้นแต่เท่าที่บริการหรือการปรับปรุงดังกล่าวจะมาพร้อมกับเงื่อนไขใหม่หรือเงื่อนไขเพิ่มเติม ซึ่งในกรณีดังกล่าวเงื่อนไขที่แตกต่างไปเหล่านั้นจะมีผลบังคับใช้ในอนาคตและไม่ได้เปลี่ยนแปลงสิทธิของท่านหรือของ Microsoft ที่เกี่ยวข้องกับซอฟต์แวร์หรือบริการที่มีการปรับปรุงไว้ล่วงหน้า) หากท่านปฏิบัติตามเงื่อนไขการอนุญาตให้ใช้สิทธิเหล่านี้ ท่านจะมีสิทธิด้านล่างนี้ การใช้ซอฟต์แวร์นี้ แสดงว่าท่านได้ยอมรับเงื่อนไขเหล่านี้</w:t>
      </w:r>
    </w:p>
    <w:p w14:paraId="4B32D79E" w14:textId="045847B5" w:rsidR="00B406AF" w:rsidRPr="008E4ADF" w:rsidRDefault="002D501F" w:rsidP="0020357B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สิทธิในการติดตั้งและใช้งาน</w:t>
      </w:r>
    </w:p>
    <w:p w14:paraId="7886A934" w14:textId="7A534FBB" w:rsidR="00F15EA7" w:rsidRPr="008E4ADF" w:rsidRDefault="002D501F" w:rsidP="00E55E51">
      <w:pPr>
        <w:pStyle w:val="Heading2"/>
        <w:numPr>
          <w:ilvl w:val="1"/>
          <w:numId w:val="21"/>
        </w:numPr>
        <w:rPr>
          <w:bCs w:val="0"/>
          <w:cs/>
        </w:rPr>
      </w:pPr>
      <w:bookmarkStart w:id="0" w:name="OLE_LINK7"/>
      <w:bookmarkStart w:id="1" w:name="OLE_LINK8"/>
      <w:r w:rsidRPr="008E4ADF">
        <w:rPr>
          <w:b/>
          <w:cs/>
        </w:rPr>
        <w:t>ทั่วไป</w:t>
      </w:r>
      <w:r w:rsidRPr="008E4ADF">
        <w:rPr>
          <w:bCs w:val="0"/>
          <w:cs/>
        </w:rPr>
        <w:t>ท่านสามารถใช้สำเนาของซอฟต์แวร</w:t>
      </w:r>
      <w:r w:rsidR="00E55E51">
        <w:rPr>
          <w:rFonts w:hint="cs"/>
          <w:bCs w:val="0"/>
          <w:cs/>
        </w:rPr>
        <w:t xml:space="preserve">บนอุปกรณ์ของท่านที่มีแอปพลิเคชันซอฟแวร์รุ่นต่างๆ ที่ติดต่อสื่อสารกับ </w:t>
      </w:r>
      <w:r w:rsidR="00E55E51">
        <w:rPr>
          <w:bCs w:val="0"/>
          <w:cs/>
        </w:rPr>
        <w:t xml:space="preserve">Microsoft Skype for Business Server </w:t>
      </w:r>
      <w:r w:rsidR="003F3781" w:rsidRPr="003F3781">
        <w:rPr>
          <w:rFonts w:hint="cs"/>
          <w:b/>
          <w:bCs w:val="0"/>
          <w:cs/>
        </w:rPr>
        <w:t>หรือ</w:t>
      </w:r>
      <w:r w:rsidR="00E55E51">
        <w:rPr>
          <w:bCs w:val="0"/>
          <w:cs/>
        </w:rPr>
        <w:t xml:space="preserve"> Skype for Business Online</w:t>
      </w:r>
      <w:r w:rsidR="00E55E51">
        <w:rPr>
          <w:rFonts w:hint="cs"/>
          <w:cs/>
        </w:rPr>
        <w:t xml:space="preserve"> </w:t>
      </w:r>
      <w:r w:rsidR="00E55E51">
        <w:rPr>
          <w:rFonts w:hint="cs"/>
          <w:b/>
          <w:bCs w:val="0"/>
          <w:cs/>
        </w:rPr>
        <w:t>ที่ได้รับ</w:t>
      </w:r>
      <w:r w:rsidR="00E55E51" w:rsidRPr="00E55E51">
        <w:rPr>
          <w:b/>
          <w:bCs w:val="0"/>
          <w:cs/>
        </w:rPr>
        <w:t>อนุญาตให้ใช้สิทธิ์</w:t>
      </w:r>
      <w:r w:rsidR="00E55E51">
        <w:rPr>
          <w:rFonts w:hint="cs"/>
          <w:b/>
          <w:bCs w:val="0"/>
          <w:cs/>
        </w:rPr>
        <w:t>อย่างถูกต้องเท่านั้น</w:t>
      </w:r>
    </w:p>
    <w:bookmarkEnd w:id="0"/>
    <w:bookmarkEnd w:id="1"/>
    <w:p w14:paraId="38D69ADA" w14:textId="1E1608F2" w:rsidR="00710258" w:rsidRPr="008E4ADF" w:rsidRDefault="002D501F" w:rsidP="00710258">
      <w:pPr>
        <w:pStyle w:val="Heading2"/>
        <w:numPr>
          <w:ilvl w:val="1"/>
          <w:numId w:val="21"/>
        </w:numPr>
        <w:rPr>
          <w:bCs w:val="0"/>
          <w:cs/>
        </w:rPr>
      </w:pPr>
      <w:r w:rsidRPr="008E4ADF">
        <w:rPr>
          <w:b/>
          <w:cs/>
        </w:rPr>
        <w:t>ซอฟต์แวร์ของบุคคลภายนอก</w:t>
      </w:r>
      <w:r w:rsidRPr="008E4ADF">
        <w:rPr>
          <w:bCs w:val="0"/>
          <w:cs/>
        </w:rPr>
        <w:t xml:space="preserve"> ซอฟต์แวร์นี้อาจประกอบด้วยโปรแกรมประยุกต์ของบุคคลภายนอกที่ให้สิทธิการใช้งานแก่ท่านภายใต้ข้อตกลงนี้หรือภายใต้เงื่อนไขของตนเอง เงื่อนไขการอนุญาตให้ใช้สิทธิ การบอกกล่าว และการรับรู้ หากมี สำหรับโปรแกรมประยุกต์ของบุคคลภายนอกอาจสามารถเข้าถึงทางออนไลน์ได้ที่ </w:t>
      </w:r>
      <w:hyperlink r:id="rId8" w:history="1">
        <w:r w:rsidRPr="00175471">
          <w:rPr>
            <w:rStyle w:val="Hyperlink"/>
            <w:rFonts w:cs="Tahoma" w:hint="cs"/>
            <w:bCs w:val="0"/>
            <w:cs/>
          </w:rPr>
          <w:t>http://aka.ms/thirdpartynotices</w:t>
        </w:r>
      </w:hyperlink>
      <w:r>
        <w:rPr>
          <w:rFonts w:hint="cs"/>
          <w:bCs w:val="0"/>
          <w:cs/>
        </w:rPr>
        <w:t xml:space="preserve"> </w:t>
      </w:r>
      <w:r w:rsidRPr="008E4ADF">
        <w:rPr>
          <w:bCs w:val="0"/>
          <w:cs/>
        </w:rPr>
        <w:t>หรือในไฟล์การบอกกล่าวที่มาพร้อมกัน แม้ว่าโปรแกรมประยุกต์ดังกล่าวจะอยู่ภายใต้ข้อตกลงอื่นๆ คำปฏิเสธ ข้อจำกัด และข้อยกเว้นเกี่ยวกับค่าเสียหายด้านล่างยังมีผลใช้บังคับเท่าที่กฎหมายที่ใช้บังคับอนุญาตไว้</w:t>
      </w:r>
    </w:p>
    <w:p w14:paraId="37430964" w14:textId="64ED4CA5" w:rsidR="00F15EA7" w:rsidRPr="008E4ADF" w:rsidRDefault="002D501F" w:rsidP="00BE0EDE">
      <w:pPr>
        <w:pStyle w:val="Heading1"/>
        <w:numPr>
          <w:ilvl w:val="0"/>
          <w:numId w:val="26"/>
        </w:numPr>
        <w:rPr>
          <w:bCs w:val="0"/>
          <w:cs/>
        </w:rPr>
      </w:pPr>
      <w:bookmarkStart w:id="2" w:name="_GoBack"/>
      <w:bookmarkEnd w:id="2"/>
      <w:r w:rsidRPr="008E4ADF">
        <w:rPr>
          <w:b/>
          <w:cs/>
        </w:rPr>
        <w:t>ขอบข่ายการอนุญาตให้ใช้สิทธิ</w:t>
      </w:r>
      <w:r w:rsidRPr="008E4ADF">
        <w:rPr>
          <w:bCs w:val="0"/>
          <w:cs/>
        </w:rPr>
        <w:t xml:space="preserve"> ซอฟต์แวร์นี้เป็นการอนุญาตให้ใช้สิทธิ ไม่ได้เป็นการจำหน่ายให้ Microsoft ขอสงวนสิทธิทั้งหมดที่เกี่ยวข้อง เว้นแต่กฎหมายที่ใช้บังคับจะให้สิทธิเพิ่มเติมกับท่านแม้ว่าจะมีข้อจำกัดนี้ ท่านจะไม่ (และไม่มีสิทธิที่จะ)</w:t>
      </w:r>
    </w:p>
    <w:p w14:paraId="21CC1C12" w14:textId="56749ED8" w:rsidR="00F15EA7" w:rsidRPr="00E234BB" w:rsidRDefault="002D501F" w:rsidP="00D145B6">
      <w:pPr>
        <w:pStyle w:val="Bullet2"/>
        <w:numPr>
          <w:ilvl w:val="0"/>
          <w:numId w:val="30"/>
        </w:numPr>
        <w:tabs>
          <w:tab w:val="left" w:pos="4950"/>
        </w:tabs>
        <w:rPr>
          <w:cs/>
        </w:rPr>
      </w:pPr>
      <w:r w:rsidRPr="00E234BB">
        <w:rPr>
          <w:cs/>
        </w:rPr>
        <w:t>หลบเลี่ยงข้อจำกัดทางเทคนิคใดๆ ในซอฟต์แวร์ซึ่งอนุญาตให้ท่านใช้ซอฟต์แวร์ในบางลักษณะเท่านั้น</w:t>
      </w:r>
    </w:p>
    <w:p w14:paraId="2E5D90BE" w14:textId="0D651467" w:rsidR="00F15EA7" w:rsidRPr="00E234BB" w:rsidRDefault="002D501F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ทำวิศวกรรมย้อนกลับ (reverse engineer) แยกส่วน หรือแยกองค์ประกอบซอฟต์แวร์</w:t>
      </w:r>
    </w:p>
    <w:p w14:paraId="56869753" w14:textId="3A74C61B" w:rsidR="00FD293A" w:rsidRPr="00E234BB" w:rsidRDefault="002D501F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เอาออก ย่อเล็กสุด บล็อค หรือแก้ไขการบอกกล่าวใดๆ ของ Microsoft หรือผู้จัดหาสินค้าของ Microsoft ในซอฟต์แวร์</w:t>
      </w:r>
    </w:p>
    <w:p w14:paraId="2045DC0F" w14:textId="50AC5305" w:rsidR="00DC3A02" w:rsidRPr="00E234BB" w:rsidRDefault="002D501F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ใช้ซอฟต์แวร์ในเชิงพาณิชย์ การใช้งานแบบไม่แสวงหาผลกำไร หรือการประกอบธุรกิจเพื่อให้เกิดรายได้ เว้นเสียแต่ว่าท่านจะมีสิทธิการใช้ในเชิงพาณิชย์ภายใต้ข้อตกลงที่แยกต่างหาก</w:t>
      </w:r>
    </w:p>
    <w:p w14:paraId="04681DE1" w14:textId="100BED1D" w:rsidR="000E462E" w:rsidRPr="00E234BB" w:rsidRDefault="002D501F" w:rsidP="00D145B6">
      <w:pPr>
        <w:pStyle w:val="Bullet2"/>
        <w:numPr>
          <w:ilvl w:val="0"/>
          <w:numId w:val="30"/>
        </w:numPr>
        <w:rPr>
          <w:cs/>
        </w:rPr>
      </w:pPr>
      <w:r w:rsidRPr="00E234BB">
        <w:rPr>
          <w:cs/>
        </w:rPr>
        <w:t>ใช้ซอฟต์แวร์ในลักษณะใดๆ ที่ขัดต่อกฎหมายหรือสร้างหรือเผยแพร่มัลแวร์ หรือ</w:t>
      </w:r>
    </w:p>
    <w:p w14:paraId="294EE23C" w14:textId="5AAD473E" w:rsidR="00F15EA7" w:rsidRPr="008E4ADF" w:rsidRDefault="002D501F" w:rsidP="00A501E5">
      <w:pPr>
        <w:pStyle w:val="Bullet2"/>
        <w:numPr>
          <w:ilvl w:val="0"/>
          <w:numId w:val="30"/>
        </w:numPr>
        <w:rPr>
          <w:cs/>
        </w:rPr>
      </w:pPr>
      <w:r w:rsidRPr="008E4ADF">
        <w:rPr>
          <w:cs/>
        </w:rPr>
        <w:t>แบ่งปัน เผยแพร่ แจกจ่าย หรือให้ยืมซอฟต์แวร์จัดให้มีซอฟต์แวร์ในลักษณะโซลูชันที่มีการโฮสต์แบบสแตนด์อะโลนสำหรับให้ผู้อื่นนำไปใช้ หรือถ่ายโอนซอฟต์แวร์หรือข้อตกลงนี้ไปยังบุคคลภายนอก</w:t>
      </w:r>
    </w:p>
    <w:p w14:paraId="66A82FA4" w14:textId="6A3E4086" w:rsidR="00F31CA3" w:rsidRPr="008E4ADF" w:rsidRDefault="002D501F" w:rsidP="00B42AE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ตัวแปลงสัญญาณวิดีโอ</w:t>
      </w:r>
      <w:r w:rsidRPr="008E4ADF">
        <w:rPr>
          <w:bCs w:val="0"/>
          <w:cs/>
        </w:rPr>
        <w:t xml:space="preserve"> ผลิตภัณฑ์นี้ได้รับอนุญาตตามใบอนุญาตสิทธิบัตร AVC, VC-1 และภาพ MPEG-4 PART 2 สำหรับใช้งานส่วนบุคคลที่ไม่ใช่เชิงพาณิชย์ของผู้บริโภคเพื่อการ </w:t>
      </w:r>
      <w:r w:rsidRPr="00EC6F5B">
        <w:rPr>
          <w:bCs w:val="0"/>
          <w:cs/>
        </w:rPr>
        <w:t>(i)</w:t>
      </w:r>
      <w:r w:rsidRPr="008E4ADF">
        <w:rPr>
          <w:bCs w:val="0"/>
          <w:cs/>
        </w:rPr>
        <w:t xml:space="preserve"> เข้ารหัสวิดีโอตามมาตรฐานข้างต้น (“มาตรฐานวิดีโอ”) หรือ </w:t>
      </w:r>
      <w:r w:rsidRPr="00EC6F5B">
        <w:rPr>
          <w:bCs w:val="0"/>
          <w:cs/>
        </w:rPr>
        <w:t>(ii)</w:t>
      </w:r>
      <w:r w:rsidRPr="008E4ADF">
        <w:rPr>
          <w:bCs w:val="0"/>
          <w:cs/>
        </w:rPr>
        <w:t xml:space="preserve"> ถอดรหัสวิดีโอ AVC, VC-1 และ MPEG-4 PART 2 ที่ถูกเข้ารหัสโดยผู้บริโภคเพื่อวัตถุประสงค์ส่วนบุคคลที่ไม่ใช่เชิงพาณิชย์ หรือที่ได้รับจากผู้จัดหาวิดีโอที่ได้รับอนุญาตให้จัดหาวิดีโอดังกล่าว ทั้งนี้ ไม่มีการให้อนุญาตหรือบอกเป็นนัยถึงการให้อนุญาตสำหรับการใช้งานอื่นๆ ท่านสามารถดูข้อมูลเพิ่มเติมได้จาก MPEG LA, L.L.C โปรดดู </w:t>
      </w:r>
      <w:hyperlink r:id="rId9" w:history="1">
        <w:r w:rsidRPr="00BF4856">
          <w:rPr>
            <w:rStyle w:val="Hyperlink"/>
            <w:rFonts w:cs="Tahoma" w:hint="cs"/>
            <w:bCs w:val="0"/>
            <w:cs/>
          </w:rPr>
          <w:t>http://aka.ms/mpegla</w:t>
        </w:r>
      </w:hyperlink>
    </w:p>
    <w:p w14:paraId="5249D2B1" w14:textId="7C1AD880" w:rsidR="00F15EA7" w:rsidRPr="008E4ADF" w:rsidRDefault="002D501F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ข้อจำกัดในการส่งออก</w:t>
      </w:r>
      <w:r w:rsidRPr="008E4ADF">
        <w:rPr>
          <w:bCs w:val="0"/>
          <w:cs/>
        </w:rPr>
        <w:t xml:space="preserve"> ท่านต้องปฏิบัติตามกฎหมายและข้อบังคับว่าด้วยการส่งออกทั้งในประเทศและระหว่างประเทศทุกฉบับที่ใช้บังคับกับซอฟต์แวร์ ซึ่งรวมถึงข้อจำกัดเรื่องปลายทาง ผู้ใช้ปลายทาง และการใช้งานปลายทาง สำหรับข้อมูลเพิ่มเติมเกี่ยวกับข้อจำกัดในการส่งออก โปรดดูที่ </w:t>
      </w:r>
      <w:hyperlink r:id="rId10" w:history="1">
        <w:r w:rsidRPr="00BF4856">
          <w:rPr>
            <w:rStyle w:val="Hyperlink"/>
            <w:rFonts w:cs="Tahoma" w:hint="cs"/>
            <w:bCs w:val="0"/>
            <w:cs/>
          </w:rPr>
          <w:t>http://</w:t>
        </w:r>
        <w:r w:rsidRPr="00BF4856">
          <w:rPr>
            <w:rStyle w:val="Hyperlink"/>
            <w:rFonts w:cs="Tahoma"/>
            <w:bCs w:val="0"/>
            <w:cs/>
          </w:rPr>
          <w:t>aka.ms/exporting</w:t>
        </w:r>
      </w:hyperlink>
    </w:p>
    <w:p w14:paraId="7524A14C" w14:textId="70F3BEA1" w:rsidR="00F15EA7" w:rsidRPr="008E4ADF" w:rsidRDefault="002D501F" w:rsidP="002A4950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บริการสนับสนุน</w:t>
      </w:r>
      <w:r w:rsidRPr="008E4ADF">
        <w:rPr>
          <w:bCs w:val="0"/>
          <w:cs/>
        </w:rPr>
        <w:t xml:space="preserve"> Microsoft ไม่มีหน้าที่ภายใต้ข้อตกลงนี้ที่จะต้องให้บริการสนับสนุนสำหรับซอฟต์แวร์ การสนับสนุนใดๆ ที่ให้ไว้จะมีอยู่ “ตามที่เป็น” “ภายใต้ข้อบกพร่องที่มีอยู่” และไม่มีการรับประกันไม่ว่าในลักษณะใด</w:t>
      </w:r>
    </w:p>
    <w:p w14:paraId="194CC803" w14:textId="03F72068" w:rsidR="00F15EA7" w:rsidRPr="008E4ADF" w:rsidRDefault="002D501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ข้อตกลงฉบับเดียว</w:t>
      </w:r>
      <w:r w:rsidRPr="008E4ADF">
        <w:rPr>
          <w:bCs w:val="0"/>
          <w:cs/>
        </w:rPr>
        <w:t xml:space="preserve"> ข้อตกลงฉบับนี้และเงื่อนไขอื่นใดที่ Microsoft อาจกำหนดไว้สำหรับส่วนประกอบเพิ่มเติม โปรแกรมปรับปรุง หรือโปรแกรมประยุกต์ของบุคคลภายนอกเป็นข้อตกลงฉบับเดียวสำหรับซอฟต์แวร์นี้</w:t>
      </w:r>
    </w:p>
    <w:p w14:paraId="31A1E80B" w14:textId="0758CAAA" w:rsidR="00F15EA7" w:rsidRPr="008E4ADF" w:rsidRDefault="002D501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lastRenderedPageBreak/>
        <w:t>กฎหมายที่ใช้บังคับและสถานที่ในการระงับข้อพิพาท</w:t>
      </w:r>
      <w:r w:rsidRPr="008E4ADF">
        <w:rPr>
          <w:bCs w:val="0"/>
          <w:cs/>
        </w:rPr>
        <w:t xml:space="preserve"> หากท่านได้รับซอฟต์แวร์มาในสหรัฐอเมริกาหรือแคนาดา กฎหมายของมลรัฐหรือจังหวัดที่ท่านอาศัยอยู่ (หรือที่ตั้งสถานประกอบธุรกิจหลักของท่านในกรณีที่เป็นองค์กรธุรกิจ) จะใช้บังคับกับการตีความข้อตกลงนี้ การเรียกร้องสิทธิกรณีฝ่าฝืนข้อตกลง และการเรียกร้องสิทธิอื่นๆ ทั้งหมด (รวมถึงการเรียกร้องสิทธิเกี่ยวกับการคุ้มครองผู้บริโภค การแข่งขันโดยไม่เป็นธรรม และการละเมิด) โดยไม่คำนึงถึงหลักกฎหมายขัดกัน หากท่านได้รับซอฟต์แวร์มาจากประเทศอื่น กฎหมายของประเทศนั้นจะมีผลใช้บังคับ ในกรณีที่มีเขตอำนาจศาลของรัฐบาลกลางสหรัฐอเมริกา ท่านและ Microsoft จะยินยอมอยู่ภายใต้เขตอำนาจศาลและสถานที่พิจารณาคดีแต่เพียงแห่งเดียวของศาลรัฐบาลกลางในคิงเคาน์ตี้ มลรัฐวอชิงตัน สำหรับข้อพิพาททั้งหมดที่มีการพิจารณาคดีในศาล หากไม่มีเขตอำนาจศาลดังกล่าว ท่านและ Microsoft จะยินยอมอยู่ภายใต้เขตอำนาจศาลและสถานที่พิจารณาคดีแต่เพียงแห่งเดียวของศาลสูงในคิงเคาน์ตี้ มลรัฐวอชิงตัน สำหรับข้อพิพาททั้งหมดที่มีการพิจารณาคดีในศาล</w:t>
      </w:r>
    </w:p>
    <w:p w14:paraId="70F3046E" w14:textId="4401C746" w:rsidR="006E477F" w:rsidRPr="008E4ADF" w:rsidRDefault="002D501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>สิทธิผู้บริโภค ข้อกำหนดสำหรับแต่ละภูมิภาค</w:t>
      </w:r>
      <w:r w:rsidRPr="008E4ADF">
        <w:rPr>
          <w:bCs w:val="0"/>
          <w:cs/>
        </w:rPr>
        <w:t xml:space="preserve"> ข้อตกลงนี้อธิบายถึงสิทธิตามกฎหมายบางอย่าง ท่านอาจมีสิทธิอื่นๆ รวมถึงสิทธิผู้บริโภคภายใต้กฎหมายของมลรัฐ จังหวัด หรือประเทศของท่าน ท่านยังอาจมีสิทธิตามผู้ที่ท่านได้รับซอฟต์แวร์มาโดยแยกต่างหากและนอกเหนือไปจากความสัมพันธ์ที่ท่านมีกับ Microsoft ข้อตกลงนี้ไม่ได้เปลี่ยนแปลงสิทธิอื่นๆ เหล่านั้นหากกฎหมายของมลรัฐ จังหวัด หรือประเทศของท่านไม่ได้อนุญาตให้ทำเช่นนั้น ตัวอย่างเช่น หากท่านได้รับซอฟต์แวร์ในภูมิภาคใดภูมิภาคหนึ่งด้านล่างนี้ หรือกฎหมายของประเทศมีผลใช้บังคับ ข้อกำหนดต่อไปนี้จะนำมาใช้บังคับกับท่าน</w:t>
      </w:r>
    </w:p>
    <w:p w14:paraId="35FDEA05" w14:textId="272EDE13" w:rsidR="006E477F" w:rsidRPr="008E4ADF" w:rsidRDefault="002D501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ออสเตรเลีย</w:t>
      </w:r>
      <w:r w:rsidRPr="008E4ADF">
        <w:rPr>
          <w:bCs w:val="0"/>
          <w:cs/>
        </w:rPr>
        <w:t xml:space="preserve"> ท่านได้รับความคุ้มครองตามกฎหมายภายใต้กฎหมายคุ้มครองผู้บริโภคของประเทศออสเตรเลีย และไม่มีสิ่งใดในข้อตกลงนี้ที่มีเจตนาให้กระทบต่อสิทธิดังกล่าว</w:t>
      </w:r>
    </w:p>
    <w:p w14:paraId="6907979B" w14:textId="2C0A0A05" w:rsidR="006E477F" w:rsidRPr="008E4ADF" w:rsidRDefault="002D501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แคนาดา</w:t>
      </w:r>
      <w:r w:rsidRPr="008E4ADF">
        <w:rPr>
          <w:bCs w:val="0"/>
          <w:cs/>
        </w:rPr>
        <w:t xml:space="preserve"> หากท่านได้รับซอฟต์แวร์นี้มาในแคนาดา ท่านจะสามารถหยุดรับโปรแกรมปรับปรุงได้โดยการปิดคุณลักษณะการปรับปรุงอัตโนมัติ ถอดสายอินเตอร์เน็ตจากอุปกรณ์ของท่าน (อย่างไรก็ตาม หากและเมื่อใดที่ท่านเชื่อมต่ออินเตอร์เน็ตอีกครั้ง ซอฟต์แวร์ก็จะกลับมาตรวจหาและติดตั้งโปรแกรมปรับปรุงต่อไป) หรือถอนการติดตั้งซอฟต์แวร์ เอกสารประกอบของผลิตภัณฑ์ หากมี อาจยังระบุว่าจะปิดโปรแกรมปรับปรุงสำหรับอุปกรณ์หรือซอฟต์แวร์นั้นๆ ของท่านอย่างไร</w:t>
      </w:r>
    </w:p>
    <w:p w14:paraId="635014AF" w14:textId="182F1E96" w:rsidR="006E477F" w:rsidRPr="008E4ADF" w:rsidRDefault="002D501F" w:rsidP="00896399">
      <w:pPr>
        <w:pStyle w:val="Heading2"/>
        <w:numPr>
          <w:ilvl w:val="1"/>
          <w:numId w:val="14"/>
        </w:numPr>
        <w:ind w:left="717"/>
        <w:rPr>
          <w:bCs w:val="0"/>
          <w:cs/>
        </w:rPr>
      </w:pPr>
      <w:r w:rsidRPr="008E4ADF">
        <w:rPr>
          <w:b/>
          <w:cs/>
        </w:rPr>
        <w:t>เยอรมนีและออสเตรีย</w:t>
      </w:r>
    </w:p>
    <w:p w14:paraId="123675B0" w14:textId="77777777" w:rsidR="006E477F" w:rsidRPr="008E4ADF" w:rsidRDefault="002D501F" w:rsidP="00BF4856">
      <w:pPr>
        <w:tabs>
          <w:tab w:val="left" w:pos="1276"/>
        </w:tabs>
        <w:ind w:left="1260" w:hanging="540"/>
        <w:rPr>
          <w:bCs/>
          <w:cs/>
        </w:rPr>
      </w:pPr>
      <w:r w:rsidRPr="008E4ADF">
        <w:rPr>
          <w:bCs/>
          <w:cs/>
        </w:rPr>
        <w:t>(i)</w:t>
      </w:r>
      <w:r w:rsidRPr="008E4ADF">
        <w:rPr>
          <w:bCs/>
          <w:cs/>
        </w:rPr>
        <w:tab/>
        <w:t>การรับประกัน</w:t>
      </w:r>
      <w:r w:rsidRPr="008E4ADF">
        <w:rPr>
          <w:b w:val="0"/>
          <w:cs/>
        </w:rPr>
        <w:t xml:space="preserve"> ซอฟต์แวร์ที่ได้รับอนุญาตให้ใช้งานอย่างเหมาะสมจะทำงานได้ดีตามที่มีการอธิบายไว้ในเอกสารของ Microsoft ที่มาพร้อมกับซอฟต์แวร์ อย่างไรก็ตาม Microsoft ไม่ได้ให้การรับประกันตามสัญญาเกี่ยวกับซอฟต์แวร์ที่ได้รับอนุญาตให้ใช้งาน</w:t>
      </w:r>
    </w:p>
    <w:p w14:paraId="4E4D9AEE" w14:textId="77777777" w:rsidR="006E477F" w:rsidRPr="008E4ADF" w:rsidRDefault="002D501F" w:rsidP="00BF4856">
      <w:pPr>
        <w:tabs>
          <w:tab w:val="left" w:pos="1276"/>
        </w:tabs>
        <w:ind w:left="1260" w:hanging="540"/>
        <w:rPr>
          <w:bCs/>
          <w:cs/>
        </w:rPr>
      </w:pPr>
      <w:r w:rsidRPr="008E4ADF">
        <w:rPr>
          <w:bCs/>
          <w:cs/>
        </w:rPr>
        <w:t>(ii)</w:t>
      </w:r>
      <w:r w:rsidRPr="008E4ADF">
        <w:rPr>
          <w:bCs/>
          <w:cs/>
        </w:rPr>
        <w:tab/>
        <w:t>ข้อจำกัดการรับผิด</w:t>
      </w:r>
      <w:r w:rsidRPr="008E4ADF">
        <w:rPr>
          <w:b w:val="0"/>
          <w:cs/>
        </w:rPr>
        <w:t xml:space="preserve"> ในกรณีของการกระทำโดยจงใจ ความประมาทเลินเล่ออย่างร้ายแรง การเรียกร้องสิทธิตามกฎหมายว่าด้วยความรับผิดในผลิตภัณฑ์ (Product Liability Act) รวมทั้งกรณีของการเสียชีวิตหรือการบาดเจ็บส่วนบุคคลหรือการบาดเจ็บทางร่างกาย Microsoft จะต้องรับผิดตามกฎหมายที่บัญญัติไว้</w:t>
      </w:r>
    </w:p>
    <w:p w14:paraId="2B4FB661" w14:textId="1E6D969E" w:rsidR="00F15EA7" w:rsidRPr="008E4ADF" w:rsidRDefault="002D501F" w:rsidP="00896399">
      <w:pPr>
        <w:pStyle w:val="Heading1"/>
        <w:ind w:left="720"/>
        <w:rPr>
          <w:bCs w:val="0"/>
          <w:cs/>
        </w:rPr>
      </w:pPr>
      <w:r w:rsidRPr="008E4ADF">
        <w:rPr>
          <w:bCs w:val="0"/>
          <w:cs/>
        </w:rPr>
        <w:t xml:space="preserve">โดยอยู่ภายใต้ข้อ (ii) ที่กล่าวมาก่อนหน้านี้ Microsoft จะต้องรับผิดจากความประมาทเลินเล่อเล็กน้อยเฉพาะกรณีที่ Microsoft ละเมิดหน้าที่ตามสัญญาในสาระสำคัญดังกล่าว ซึ่งการทำตามหน้าที่นี้จะช่วยในการดำเนินการที่ถูกต้องของข้อตกลงนี้ การละเมิดหน้าที่นี้จะเป็นอันตรายต่อวัตถุประสงค์ของข้อตกลงนี้และการปฏิบัติตามหน้าที่นี้ซึ่งคู่สัญญาอาจไว้ใจโดยเสมอ (หรือที่เรียกกันว่า </w:t>
      </w:r>
      <w:r w:rsidRPr="008E4ADF">
        <w:rPr>
          <w:bCs w:val="0"/>
          <w:lang w:val="en-US"/>
        </w:rPr>
        <w:t>“</w:t>
      </w:r>
      <w:r w:rsidRPr="008E4ADF">
        <w:rPr>
          <w:bCs w:val="0"/>
          <w:cs/>
        </w:rPr>
        <w:t>Cardinal Obligation</w:t>
      </w:r>
      <w:r w:rsidRPr="008E4ADF">
        <w:rPr>
          <w:bCs w:val="0"/>
          <w:lang w:val="en-US"/>
        </w:rPr>
        <w:t>”</w:t>
      </w:r>
      <w:r w:rsidRPr="008E4ADF">
        <w:rPr>
          <w:bCs w:val="0"/>
          <w:cs/>
        </w:rPr>
        <w:t>) ในกรณีอื่นๆ ของความประมาทเลินเล่อเล็กน้อย Microsoftจะไม่รับผิดจากความประมาทเลินเล่อเล็กน้อย</w:t>
      </w:r>
    </w:p>
    <w:p w14:paraId="2C146C8C" w14:textId="42A97B9F" w:rsidR="00F15EA7" w:rsidRPr="008E4ADF" w:rsidRDefault="002D501F" w:rsidP="00CB50D2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 xml:space="preserve">คำปฏิเสธการรับประกัน ซอฟต์แวร์นี้ได้รับอนุญาต “ตามที่เป็น” ท่านเป็นผู้รับความเสี่ยงในการใช้งานเอง MICROSOFT ไม่ได้ให้การรับประกัน การรับรอง หรือเงื่อนไขที่แสดงอย่างชัดแจ้งอื่นใดอีก </w:t>
      </w:r>
      <w:r w:rsidRPr="008E4ADF">
        <w:rPr>
          <w:b/>
          <w:caps/>
          <w:cs/>
        </w:rPr>
        <w:t>Microsoft</w:t>
      </w:r>
      <w:r w:rsidRPr="008E4ADF">
        <w:rPr>
          <w:b/>
          <w:cs/>
        </w:rPr>
        <w:t xml:space="preserve"> ไม่มีส่วนรับผิดชอบในการรับประกันโดยนัยทั้งหมด รวมถึงความเหมาะสมในเชิงพาณิชย์ ความเหมาะสมเพื่อการใช้งานเฉพาะด้าน และการไม่ละเมิด เท่าที่กฎหมายที่ใช้บังคับจะอนุญาต</w:t>
      </w:r>
    </w:p>
    <w:p w14:paraId="26951160" w14:textId="308FB50B" w:rsidR="00F15EA7" w:rsidRPr="008E4ADF" w:rsidRDefault="002D501F" w:rsidP="00896399">
      <w:pPr>
        <w:pStyle w:val="Heading1"/>
        <w:numPr>
          <w:ilvl w:val="0"/>
          <w:numId w:val="26"/>
        </w:numPr>
        <w:rPr>
          <w:bCs w:val="0"/>
          <w:cs/>
        </w:rPr>
      </w:pPr>
      <w:r w:rsidRPr="008E4ADF">
        <w:rPr>
          <w:b/>
          <w:cs/>
        </w:rPr>
        <w:t xml:space="preserve">ข้อจำกัดและข้อยกเว้นเกี่ยวกับค่าเสียหาย หากท่านมีมูลเหตุใดๆ ในการเรียกร้องค่าเสียหาย แม้ว่าจะมีคำปฏิเสธการรับประกันที่กล่าวมาก่อนหน้านี้ก็ตาม ท่านจะสามารถเรียกค่าเสียหายได้จาก </w:t>
      </w:r>
      <w:r w:rsidRPr="008E4ADF">
        <w:rPr>
          <w:b/>
          <w:caps/>
          <w:cs/>
        </w:rPr>
        <w:t xml:space="preserve">Microsoft </w:t>
      </w:r>
      <w:r w:rsidRPr="008E4ADF">
        <w:rPr>
          <w:b/>
          <w:cs/>
        </w:rPr>
        <w:t xml:space="preserve">และผู้จัดหาสินค้าของ </w:t>
      </w:r>
      <w:r w:rsidRPr="008E4ADF">
        <w:rPr>
          <w:b/>
          <w:caps/>
          <w:cs/>
        </w:rPr>
        <w:t>Microsoft</w:t>
      </w:r>
      <w:r w:rsidRPr="008E4ADF">
        <w:rPr>
          <w:b/>
          <w:cs/>
        </w:rPr>
        <w:t xml:space="preserve"> เฉพาะค่าเสียหายโดยตรงเป็นจำนวนเงินไม่เกิน 5.00 ดอลลาร์สหรัฐ ท่านไม่สามารถเรียกร้องค่าเสียหายอื่นใดได้ รวมถึงค่าเสียหายที่เป็นผลสืบเนื่อง ผลกำไรที่ขาดหายไป ค่าเสียหายพิเศษ ค่าเสียหายโดยอ้อม หรือค่าเสียหายต่อเนื่อง</w:t>
      </w:r>
    </w:p>
    <w:p w14:paraId="3FC85389" w14:textId="2B8CD7BD" w:rsidR="00F15EA7" w:rsidRPr="008E4ADF" w:rsidRDefault="002D501F" w:rsidP="00896399">
      <w:pPr>
        <w:pStyle w:val="Body1"/>
        <w:rPr>
          <w:bCs/>
          <w:cs/>
        </w:rPr>
      </w:pPr>
      <w:r w:rsidRPr="008E4ADF">
        <w:rPr>
          <w:bCs/>
          <w:cs/>
        </w:rPr>
        <w:t>ข้อจำกัดนี้จะใช้บังคับกับ (ก) สิ่งใดๆ ที่เกี่ยวข้องกับซอฟต์แวร์ บริการ เนื้อหา (รวมถึงรหัส) บนไซต์ของอินเทอร์เน็ตของบุคคลภายนอก หรือโปรแกรมประยุกต์ของบุคคลภายนอก และ (ข) การเรียกร้องสิทธิกรณีผิดสัญญา ละเมิดการรับประกัน การให้ประกัน หรือเงื่อนไข ความรับผิดเด็ดขาด ความประมาทเลินเล่อ หรือการละเมิดอื่นๆ หรือการเรียกร้องสิทธิกรณีอื่นใด ในแต่ละกรณีเท่าที่กฎหมายที่ใช้บังคับอนุญาต</w:t>
      </w:r>
    </w:p>
    <w:p w14:paraId="54016D2E" w14:textId="77777777" w:rsidR="00262C9F" w:rsidRPr="008E4ADF" w:rsidRDefault="002D501F" w:rsidP="00896399">
      <w:pPr>
        <w:pStyle w:val="Body1"/>
        <w:rPr>
          <w:bCs/>
          <w:cs/>
        </w:rPr>
      </w:pPr>
      <w:r w:rsidRPr="008E4ADF">
        <w:rPr>
          <w:bCs/>
          <w:cs/>
        </w:rPr>
        <w:t>ข้อจำกัดนี้ยังนำมาใช้แม้ว่า Microsoft ทราบหรือควรทราบเกี่ยวกับความน่าจะเป็นของความเสียหายดังกล่าว ข้อจำกัดหรือข้อยกเว้นข้างต้นอาจไม่นำมาใช้บังคับกับท่าน เนื่องจากมลรัฐ จังหวัด หรือประเทศของท่านอาจ</w:t>
      </w:r>
      <w:r w:rsidRPr="008E4ADF">
        <w:rPr>
          <w:bCs/>
          <w:cs/>
        </w:rPr>
        <w:lastRenderedPageBreak/>
        <w:t>ไม่อนุญาตให้มีข้อยกเว้นหรือข้อจำกัดว่าด้วยค่าเสียหายต่อเนื่อง ค่าเสียหายที่เป็นผลสืบเนื่อง หรือค่าเสียหายอื่นๆ</w:t>
      </w:r>
    </w:p>
    <w:sectPr w:rsidR="00262C9F" w:rsidRPr="008E4ADF" w:rsidSect="00FA1A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89997" w14:textId="77777777" w:rsidR="00FF713B" w:rsidRDefault="00FF713B" w:rsidP="002B5C2F">
      <w:pPr>
        <w:rPr>
          <w:bCs/>
          <w:cs/>
        </w:rPr>
      </w:pPr>
      <w:r>
        <w:separator/>
      </w:r>
    </w:p>
  </w:endnote>
  <w:endnote w:type="continuationSeparator" w:id="0">
    <w:p w14:paraId="243D7707" w14:textId="77777777" w:rsidR="00FF713B" w:rsidRDefault="00FF713B" w:rsidP="002B5C2F">
      <w:pPr>
        <w:rPr>
          <w:bCs/>
          <w:cs/>
        </w:rPr>
      </w:pPr>
      <w:r>
        <w:continuationSeparator/>
      </w:r>
    </w:p>
  </w:endnote>
  <w:endnote w:type="continuationNotice" w:id="1">
    <w:p w14:paraId="1BC5D128" w14:textId="77777777" w:rsidR="00FF713B" w:rsidRDefault="00FF713B">
      <w:pPr>
        <w:spacing w:before="0" w:after="0"/>
        <w:rPr>
          <w:bCs/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7AD53" w14:textId="76F13B43" w:rsidR="00564C33" w:rsidRPr="00394FA3" w:rsidRDefault="00FF713B" w:rsidP="00394FA3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62300" w14:textId="77777777" w:rsidR="00564C33" w:rsidRDefault="00FF713B">
    <w:pPr>
      <w:pStyle w:val="Footer"/>
      <w:rPr>
        <w:bCs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F9DE" w14:textId="4AF6BE59" w:rsidR="00564C33" w:rsidRPr="00394FA3" w:rsidRDefault="00FF713B" w:rsidP="00394FA3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8347C" w14:textId="77777777" w:rsidR="00FF713B" w:rsidRDefault="00FF713B" w:rsidP="002B5C2F">
      <w:pPr>
        <w:rPr>
          <w:bCs/>
          <w:cs/>
        </w:rPr>
      </w:pPr>
      <w:r>
        <w:separator/>
      </w:r>
    </w:p>
  </w:footnote>
  <w:footnote w:type="continuationSeparator" w:id="0">
    <w:p w14:paraId="3A87E380" w14:textId="77777777" w:rsidR="00FF713B" w:rsidRDefault="00FF713B" w:rsidP="002B5C2F">
      <w:pPr>
        <w:rPr>
          <w:bCs/>
          <w:cs/>
        </w:rPr>
      </w:pPr>
      <w:r>
        <w:continuationSeparator/>
      </w:r>
    </w:p>
  </w:footnote>
  <w:footnote w:type="continuationNotice" w:id="1">
    <w:p w14:paraId="59F30CC3" w14:textId="77777777" w:rsidR="00FF713B" w:rsidRDefault="00FF713B">
      <w:pPr>
        <w:spacing w:before="0" w:after="0"/>
        <w:rPr>
          <w:bCs/>
          <w:cs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35AE1" w14:textId="77777777" w:rsidR="00564C33" w:rsidRDefault="00FF713B">
    <w:pPr>
      <w:pStyle w:val="Header"/>
      <w:rPr>
        <w:bCs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B1E83" w14:textId="77777777" w:rsidR="00564C33" w:rsidRDefault="00FF713B">
    <w:pPr>
      <w:pStyle w:val="Header"/>
      <w:rPr>
        <w:bCs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38EB6" w14:textId="77777777" w:rsidR="00564C33" w:rsidRDefault="00FF713B">
    <w:pPr>
      <w:pStyle w:val="Header"/>
      <w:rPr>
        <w:bCs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96FA8"/>
    <w:multiLevelType w:val="multilevel"/>
    <w:tmpl w:val="251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40061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3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475F42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8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4A11C0"/>
    <w:multiLevelType w:val="multilevel"/>
    <w:tmpl w:val="251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6"/>
  </w:num>
  <w:num w:numId="4">
    <w:abstractNumId w:val="25"/>
  </w:num>
  <w:num w:numId="5">
    <w:abstractNumId w:val="30"/>
  </w:num>
  <w:num w:numId="6">
    <w:abstractNumId w:val="31"/>
  </w:num>
  <w:num w:numId="7">
    <w:abstractNumId w:val="21"/>
  </w:num>
  <w:num w:numId="8">
    <w:abstractNumId w:val="15"/>
  </w:num>
  <w:num w:numId="9">
    <w:abstractNumId w:val="3"/>
  </w:num>
  <w:num w:numId="10">
    <w:abstractNumId w:val="5"/>
  </w:num>
  <w:num w:numId="11">
    <w:abstractNumId w:val="28"/>
  </w:num>
  <w:num w:numId="12">
    <w:abstractNumId w:val="20"/>
  </w:num>
  <w:num w:numId="13">
    <w:abstractNumId w:val="1"/>
  </w:num>
  <w:num w:numId="14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2"/>
  </w:num>
  <w:num w:numId="16">
    <w:abstractNumId w:val="24"/>
  </w:num>
  <w:num w:numId="17">
    <w:abstractNumId w:val="23"/>
  </w:num>
  <w:num w:numId="18">
    <w:abstractNumId w:val="6"/>
  </w:num>
  <w:num w:numId="19">
    <w:abstractNumId w:val="4"/>
  </w:num>
  <w:num w:numId="20">
    <w:abstractNumId w:val="18"/>
  </w:num>
  <w:num w:numId="21">
    <w:abstractNumId w:val="11"/>
  </w:num>
  <w:num w:numId="22">
    <w:abstractNumId w:val="2"/>
  </w:num>
  <w:num w:numId="23">
    <w:abstractNumId w:val="22"/>
  </w:num>
  <w:num w:numId="24">
    <w:abstractNumId w:val="8"/>
  </w:num>
  <w:num w:numId="25">
    <w:abstractNumId w:val="29"/>
  </w:num>
  <w:num w:numId="26">
    <w:abstractNumId w:val="10"/>
  </w:num>
  <w:num w:numId="27">
    <w:abstractNumId w:val="16"/>
  </w:num>
  <w:num w:numId="28">
    <w:abstractNumId w:val="17"/>
  </w:num>
  <w:num w:numId="29">
    <w:abstractNumId w:val="13"/>
  </w:num>
  <w:num w:numId="30">
    <w:abstractNumId w:val="34"/>
  </w:num>
  <w:num w:numId="31">
    <w:abstractNumId w:val="19"/>
  </w:num>
  <w:num w:numId="32">
    <w:abstractNumId w:val="0"/>
  </w:num>
  <w:num w:numId="33">
    <w:abstractNumId w:val="0"/>
  </w:num>
  <w:num w:numId="34">
    <w:abstractNumId w:val="27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51"/>
    <w:rsid w:val="002D501F"/>
    <w:rsid w:val="00322F19"/>
    <w:rsid w:val="003F3781"/>
    <w:rsid w:val="005F2778"/>
    <w:rsid w:val="00691215"/>
    <w:rsid w:val="00B106DB"/>
    <w:rsid w:val="00BD0742"/>
    <w:rsid w:val="00C23D00"/>
    <w:rsid w:val="00E55E51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th-TH" w:eastAsia="th-TH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10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th-TH" w:eastAsia="th-TH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10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thirdpartynoti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ka.ms/exp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a.ms/mpegl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2017-07-04T19:32:00Z</dcterms:created>
  <dcterms:modified xsi:type="dcterms:W3CDTF">2017-07-05T19:15:00Z</dcterms:modified>
</cp:coreProperties>
</file>