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124" w:rsidRDefault="009C1EEF" w:rsidP="00EA0124">
      <w:pPr>
        <w:jc w:val="both"/>
        <w:rPr>
          <w:rFonts w:ascii="Calibri" w:hAnsi="Calibri"/>
          <w:b/>
        </w:rPr>
      </w:pPr>
      <w:r>
        <w:rPr>
          <w:noProof/>
          <w:lang w:eastAsia="en-GB"/>
        </w:rPr>
        <w:drawing>
          <wp:inline distT="0" distB="0" distL="0" distR="0" wp14:anchorId="457C4F26" wp14:editId="4CF53BB9">
            <wp:extent cx="1810443" cy="951043"/>
            <wp:effectExtent l="0" t="0" r="0" b="1905"/>
            <wp:docPr id="1" name="Picture 1" descr="AMAD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DEUS"/>
                    <pic:cNvPicPr>
                      <a:picLocks noChangeAspect="1" noChangeArrowheads="1"/>
                    </pic:cNvPicPr>
                  </pic:nvPicPr>
                  <pic:blipFill>
                    <a:blip r:embed="rId7"/>
                    <a:srcRect/>
                    <a:stretch>
                      <a:fillRect/>
                    </a:stretch>
                  </pic:blipFill>
                  <pic:spPr bwMode="auto">
                    <a:xfrm>
                      <a:off x="0" y="0"/>
                      <a:ext cx="1820195" cy="956166"/>
                    </a:xfrm>
                    <a:prstGeom prst="rect">
                      <a:avLst/>
                    </a:prstGeom>
                    <a:noFill/>
                    <a:ln w="9525">
                      <a:noFill/>
                      <a:miter lim="800000"/>
                      <a:headEnd/>
                      <a:tailEnd/>
                    </a:ln>
                  </pic:spPr>
                </pic:pic>
              </a:graphicData>
            </a:graphic>
          </wp:inline>
        </w:drawing>
      </w:r>
      <w:r w:rsidR="00EA0124" w:rsidRPr="00EA0124">
        <w:rPr>
          <w:rFonts w:ascii="Calibri" w:hAnsi="Calibri"/>
          <w:b/>
          <w:noProof/>
          <w:lang w:eastAsia="en-GB"/>
        </w:rPr>
        <mc:AlternateContent>
          <mc:Choice Requires="wps">
            <w:drawing>
              <wp:anchor distT="0" distB="0" distL="114300" distR="114300" simplePos="0" relativeHeight="251659264" behindDoc="0" locked="0" layoutInCell="1" allowOverlap="1" wp14:anchorId="750A2645" wp14:editId="216B2559">
                <wp:simplePos x="0" y="0"/>
                <wp:positionH relativeFrom="column">
                  <wp:posOffset>3143250</wp:posOffset>
                </wp:positionH>
                <wp:positionV relativeFrom="paragraph">
                  <wp:posOffset>-1</wp:posOffset>
                </wp:positionV>
                <wp:extent cx="2374265" cy="904875"/>
                <wp:effectExtent l="0" t="0" r="1270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04875"/>
                        </a:xfrm>
                        <a:prstGeom prst="rect">
                          <a:avLst/>
                        </a:prstGeom>
                        <a:solidFill>
                          <a:srgbClr val="FFFFFF"/>
                        </a:solidFill>
                        <a:ln w="9525">
                          <a:solidFill>
                            <a:srgbClr val="000000"/>
                          </a:solidFill>
                          <a:miter lim="800000"/>
                          <a:headEnd/>
                          <a:tailEnd/>
                        </a:ln>
                      </wps:spPr>
                      <wps:txbx>
                        <w:txbxContent>
                          <w:p w:rsidR="00A05575" w:rsidRDefault="00A05575">
                            <w:r>
                              <w:rPr>
                                <w:sz w:val="20"/>
                                <w:szCs w:val="20"/>
                              </w:rPr>
                              <w:object w:dxaOrig="3401" w:dyaOrig="1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0.05pt;height:67.05pt" o:ole="" fillcolor="window">
                                  <v:imagedata r:id="rId8" o:title=""/>
                                </v:shape>
                                <o:OLEObject Type="Embed" ProgID="Word.Document.8" ShapeID="_x0000_i1026" DrawAspect="Content" ObjectID="_1480755526" r:id="rId9">
                                  <o:FieldCodes>\s</o:FieldCodes>
                                </o:OLEObject>
                              </w:objec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7.5pt;margin-top:0;width:186.95pt;height:71.25pt;z-index:251659264;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">
                <v:textbox style="mso-fit-shape-to-text:t">
                  <w:txbxContent>
                    <w:p w:rsidR="003529A4" w:rsidRDefault="003529A4">
                      <w:r>
                        <w:rPr>
                          <w:sz w:val="20"/>
                          <w:szCs w:val="20"/>
                        </w:rPr>
                        <w:object w:dxaOrig="3401" w:dyaOrig="1341">
                          <v:shape id="_x0000_i1025" type="#_x0000_t75" style="width:170.05pt;height:67.05pt" o:ole="" fillcolor="window">
                            <v:imagedata r:id="rId10" o:title=""/>
                          </v:shape>
                          <o:OLEObject Type="Embed" ProgID="Word.Document.8" ShapeID="_x0000_i1025" DrawAspect="Content" ObjectID="_1477918796" r:id="rId11">
                            <o:FieldCodes>\s</o:FieldCodes>
                          </o:OLEObject>
                        </w:object>
                      </w:r>
                    </w:p>
                  </w:txbxContent>
                </v:textbox>
              </v:shape>
            </w:pict>
          </mc:Fallback>
        </mc:AlternateContent>
      </w:r>
    </w:p>
    <w:p w:rsidR="00EA0124" w:rsidRDefault="00EA0124" w:rsidP="00EA0124">
      <w:pPr>
        <w:pStyle w:val="Heading2"/>
        <w:jc w:val="both"/>
        <w:rPr>
          <w:rFonts w:ascii="Calibri" w:hAnsi="Calibri"/>
          <w:b w:val="0"/>
          <w:color w:val="auto"/>
        </w:rPr>
      </w:pPr>
    </w:p>
    <w:p w:rsidR="00EA0124" w:rsidRPr="00EA0124" w:rsidRDefault="00EA0124" w:rsidP="00EA0124">
      <w:pPr>
        <w:pStyle w:val="Heading3"/>
        <w:jc w:val="both"/>
        <w:rPr>
          <w:rFonts w:ascii="Calibri" w:hAnsi="Calibri"/>
          <w:b w:val="0"/>
        </w:rPr>
      </w:pPr>
    </w:p>
    <w:p w:rsidR="00EA0124" w:rsidRPr="00D43777" w:rsidRDefault="00EA0124" w:rsidP="00EA0124">
      <w:pPr>
        <w:pStyle w:val="Heading2"/>
        <w:jc w:val="both"/>
        <w:rPr>
          <w:rFonts w:ascii="Arial" w:hAnsi="Arial" w:cs="Arial"/>
          <w:b w:val="0"/>
          <w:color w:val="auto"/>
          <w:sz w:val="22"/>
          <w:szCs w:val="22"/>
        </w:rPr>
      </w:pPr>
    </w:p>
    <w:p w:rsidR="00EA0124" w:rsidRPr="00D43777" w:rsidRDefault="00EA0124" w:rsidP="00EA0124">
      <w:pPr>
        <w:pStyle w:val="Heading2"/>
        <w:jc w:val="both"/>
        <w:rPr>
          <w:rFonts w:ascii="Arial" w:hAnsi="Arial" w:cs="Arial"/>
          <w:b w:val="0"/>
          <w:color w:val="auto"/>
          <w:sz w:val="22"/>
          <w:szCs w:val="22"/>
        </w:rPr>
      </w:pPr>
      <w:r w:rsidRPr="00D43777">
        <w:rPr>
          <w:rFonts w:ascii="Arial" w:hAnsi="Arial" w:cs="Arial"/>
          <w:b w:val="0"/>
          <w:color w:val="auto"/>
          <w:sz w:val="22"/>
          <w:szCs w:val="22"/>
        </w:rPr>
        <w:t xml:space="preserve"> The following frequently asked questions have been put together to assist local authorities prior to and during an inspection. The intention is to provide outline information with regards to the business</w:t>
      </w:r>
      <w:r w:rsidR="00A05575">
        <w:rPr>
          <w:rFonts w:ascii="Arial" w:hAnsi="Arial" w:cs="Arial"/>
          <w:b w:val="0"/>
          <w:color w:val="auto"/>
          <w:sz w:val="22"/>
          <w:szCs w:val="22"/>
        </w:rPr>
        <w:t xml:space="preserve"> their</w:t>
      </w:r>
      <w:r w:rsidRPr="00D43777">
        <w:rPr>
          <w:rFonts w:ascii="Arial" w:hAnsi="Arial" w:cs="Arial"/>
          <w:b w:val="0"/>
          <w:color w:val="auto"/>
          <w:sz w:val="22"/>
          <w:szCs w:val="22"/>
        </w:rPr>
        <w:t xml:space="preserve"> food safety management system and its practical application.</w:t>
      </w:r>
    </w:p>
    <w:p w:rsidR="00EA0124" w:rsidRDefault="00EA0124" w:rsidP="00EA0124">
      <w:pPr>
        <w:rPr>
          <w:sz w:val="22"/>
          <w:szCs w:val="22"/>
        </w:rPr>
      </w:pPr>
    </w:p>
    <w:p w:rsidR="00E93203" w:rsidRPr="00D43777" w:rsidRDefault="00E93203" w:rsidP="00EA0124">
      <w:pPr>
        <w:rPr>
          <w:sz w:val="22"/>
          <w:szCs w:val="22"/>
        </w:rPr>
      </w:pPr>
    </w:p>
    <w:tbl>
      <w:tblPr>
        <w:tblStyle w:val="TableGrid"/>
        <w:tblW w:w="0" w:type="auto"/>
        <w:tblLayout w:type="fixed"/>
        <w:tblLook w:val="04A0" w:firstRow="1" w:lastRow="0" w:firstColumn="1" w:lastColumn="0" w:noHBand="0" w:noVBand="1"/>
      </w:tblPr>
      <w:tblGrid>
        <w:gridCol w:w="2802"/>
        <w:gridCol w:w="5720"/>
      </w:tblGrid>
      <w:tr w:rsidR="00EA0124" w:rsidRPr="00D43777" w:rsidTr="003529A4">
        <w:tc>
          <w:tcPr>
            <w:tcW w:w="2802" w:type="dxa"/>
          </w:tcPr>
          <w:p w:rsidR="00EA0124" w:rsidRPr="00D43777" w:rsidRDefault="00EA0124" w:rsidP="003529A4">
            <w:pPr>
              <w:jc w:val="both"/>
              <w:rPr>
                <w:sz w:val="22"/>
                <w:szCs w:val="22"/>
              </w:rPr>
            </w:pPr>
            <w:r w:rsidRPr="00D43777">
              <w:rPr>
                <w:sz w:val="22"/>
                <w:szCs w:val="22"/>
              </w:rPr>
              <w:t>Who are Amadeus?</w:t>
            </w:r>
          </w:p>
        </w:tc>
        <w:tc>
          <w:tcPr>
            <w:tcW w:w="5720" w:type="dxa"/>
          </w:tcPr>
          <w:p w:rsidR="00EA0124" w:rsidRPr="00D43777" w:rsidRDefault="00EA0124" w:rsidP="003529A4">
            <w:pPr>
              <w:jc w:val="both"/>
              <w:rPr>
                <w:sz w:val="22"/>
                <w:szCs w:val="22"/>
              </w:rPr>
            </w:pPr>
            <w:r w:rsidRPr="00D43777">
              <w:rPr>
                <w:sz w:val="22"/>
                <w:szCs w:val="22"/>
              </w:rPr>
              <w:t xml:space="preserve">Amadeus are a Trading Division of the NEC Group Ltd and provide the catering for all NEC Group home venues. This includes The National Exhibition Centre (NEC), LG Arena, International Convention Centre (ICC) and the National Indoor Arena (NIA).  Amadeus also caters at External Fixed sites that include Cadburys World and Dudley Zoological gardens, as well as catering at a variety of external events at various venues and locations throughout the UK. The Amadeus Head office is based at the NEC Birmingham where all support departments are located. </w:t>
            </w:r>
          </w:p>
          <w:p w:rsidR="00EA0124" w:rsidRPr="00D43777" w:rsidRDefault="00EA0124" w:rsidP="003529A4">
            <w:pPr>
              <w:jc w:val="both"/>
              <w:rPr>
                <w:sz w:val="22"/>
                <w:szCs w:val="22"/>
              </w:rPr>
            </w:pPr>
          </w:p>
          <w:p w:rsidR="00EA0124" w:rsidRPr="00D43777" w:rsidRDefault="00EA0124" w:rsidP="003529A4">
            <w:pPr>
              <w:jc w:val="both"/>
              <w:rPr>
                <w:sz w:val="22"/>
                <w:szCs w:val="22"/>
              </w:rPr>
            </w:pPr>
            <w:r w:rsidRPr="00D43777">
              <w:rPr>
                <w:sz w:val="22"/>
                <w:szCs w:val="22"/>
              </w:rPr>
              <w:t xml:space="preserve">Amadeus may also trade at venues as the ‘Oak Kitchen’ or ‘MADE’. </w:t>
            </w:r>
          </w:p>
          <w:p w:rsidR="00EA0124" w:rsidRPr="00D43777" w:rsidRDefault="00EA0124" w:rsidP="003529A4">
            <w:pPr>
              <w:jc w:val="both"/>
              <w:rPr>
                <w:sz w:val="22"/>
                <w:szCs w:val="22"/>
              </w:rPr>
            </w:pPr>
          </w:p>
        </w:tc>
      </w:tr>
      <w:tr w:rsidR="00EA0124" w:rsidRPr="00D43777" w:rsidTr="003529A4">
        <w:tc>
          <w:tcPr>
            <w:tcW w:w="2802" w:type="dxa"/>
          </w:tcPr>
          <w:p w:rsidR="00EA0124" w:rsidRPr="00D43777" w:rsidRDefault="00EA0124" w:rsidP="003529A4">
            <w:pPr>
              <w:jc w:val="both"/>
              <w:rPr>
                <w:sz w:val="22"/>
                <w:szCs w:val="22"/>
              </w:rPr>
            </w:pPr>
            <w:r w:rsidRPr="00D43777">
              <w:rPr>
                <w:sz w:val="22"/>
                <w:szCs w:val="22"/>
              </w:rPr>
              <w:t>What provision is in place for the support of food safety to the outlets from head office?</w:t>
            </w:r>
          </w:p>
        </w:tc>
        <w:tc>
          <w:tcPr>
            <w:tcW w:w="5720" w:type="dxa"/>
          </w:tcPr>
          <w:p w:rsidR="00EA0124" w:rsidRPr="00D43777" w:rsidRDefault="00EA0124" w:rsidP="003529A4">
            <w:pPr>
              <w:jc w:val="both"/>
              <w:rPr>
                <w:sz w:val="22"/>
                <w:szCs w:val="22"/>
              </w:rPr>
            </w:pPr>
            <w:r w:rsidRPr="00D43777">
              <w:rPr>
                <w:sz w:val="22"/>
                <w:szCs w:val="22"/>
              </w:rPr>
              <w:t xml:space="preserve">Amadeus has a dedicated Food &amp; Safety Support (FSS) team based centrally at the NEC. The team consists of a Senior Food &amp; Safety Officer and a Food &amp; Safety Officer dedicated to ensuring Amadeus comply with all current statutory obligations with regards to food safety and </w:t>
            </w:r>
            <w:r w:rsidR="00A05575">
              <w:rPr>
                <w:sz w:val="22"/>
                <w:szCs w:val="22"/>
              </w:rPr>
              <w:t>h</w:t>
            </w:r>
            <w:r w:rsidRPr="00D43777">
              <w:rPr>
                <w:sz w:val="22"/>
                <w:szCs w:val="22"/>
              </w:rPr>
              <w:t xml:space="preserve">ealth &amp; </w:t>
            </w:r>
            <w:r w:rsidR="00A05575">
              <w:rPr>
                <w:sz w:val="22"/>
                <w:szCs w:val="22"/>
              </w:rPr>
              <w:t>s</w:t>
            </w:r>
            <w:r w:rsidRPr="00D43777">
              <w:rPr>
                <w:sz w:val="22"/>
                <w:szCs w:val="22"/>
              </w:rPr>
              <w:t>afety (H&amp;S), this is also complimented by a wider NEC Group safety team.</w:t>
            </w:r>
          </w:p>
          <w:p w:rsidR="00EA0124" w:rsidRPr="00D43777" w:rsidRDefault="00EA0124" w:rsidP="003529A4">
            <w:pPr>
              <w:jc w:val="both"/>
              <w:rPr>
                <w:sz w:val="22"/>
                <w:szCs w:val="22"/>
              </w:rPr>
            </w:pPr>
          </w:p>
          <w:p w:rsidR="00EA0124" w:rsidRPr="00D43777" w:rsidRDefault="00EA0124" w:rsidP="003529A4">
            <w:pPr>
              <w:jc w:val="both"/>
              <w:rPr>
                <w:sz w:val="22"/>
                <w:szCs w:val="22"/>
              </w:rPr>
            </w:pPr>
            <w:r w:rsidRPr="00D43777">
              <w:rPr>
                <w:sz w:val="22"/>
                <w:szCs w:val="22"/>
              </w:rPr>
              <w:t xml:space="preserve">All food businesses outlets are audited internally every 6 months to ensure compliance with all aspects of food safety and H&amp;S. A pass rate of 80% is expected and 10% deductions are in place for non-conformances with statutory obligations. </w:t>
            </w:r>
          </w:p>
          <w:p w:rsidR="00EA0124" w:rsidRPr="00D43777" w:rsidRDefault="00EA0124" w:rsidP="003529A4">
            <w:pPr>
              <w:jc w:val="both"/>
              <w:rPr>
                <w:sz w:val="22"/>
                <w:szCs w:val="22"/>
              </w:rPr>
            </w:pPr>
          </w:p>
        </w:tc>
      </w:tr>
      <w:tr w:rsidR="00EA0124" w:rsidRPr="00D43777" w:rsidTr="003529A4">
        <w:tc>
          <w:tcPr>
            <w:tcW w:w="2802" w:type="dxa"/>
          </w:tcPr>
          <w:p w:rsidR="00EA0124" w:rsidRPr="00D43777" w:rsidRDefault="00EA0124" w:rsidP="003529A4">
            <w:pPr>
              <w:jc w:val="both"/>
              <w:rPr>
                <w:sz w:val="22"/>
                <w:szCs w:val="22"/>
              </w:rPr>
            </w:pPr>
            <w:r w:rsidRPr="00D43777">
              <w:rPr>
                <w:sz w:val="22"/>
                <w:szCs w:val="22"/>
              </w:rPr>
              <w:t>What HACCP System would I expect to see on site?</w:t>
            </w:r>
          </w:p>
          <w:p w:rsidR="00EA0124" w:rsidRPr="00D43777" w:rsidRDefault="00EA0124" w:rsidP="003529A4">
            <w:pPr>
              <w:jc w:val="both"/>
              <w:rPr>
                <w:sz w:val="22"/>
                <w:szCs w:val="22"/>
              </w:rPr>
            </w:pPr>
          </w:p>
          <w:p w:rsidR="00EA0124" w:rsidRPr="00D43777" w:rsidRDefault="00EA0124" w:rsidP="003529A4">
            <w:pPr>
              <w:jc w:val="both"/>
              <w:rPr>
                <w:sz w:val="22"/>
                <w:szCs w:val="22"/>
              </w:rPr>
            </w:pPr>
            <w:r w:rsidRPr="00D43777">
              <w:rPr>
                <w:noProof/>
                <w:sz w:val="22"/>
                <w:szCs w:val="22"/>
              </w:rPr>
              <w:t xml:space="preserve"> </w:t>
            </w:r>
            <w:r w:rsidRPr="00D43777">
              <w:rPr>
                <w:noProof/>
                <w:sz w:val="22"/>
                <w:szCs w:val="22"/>
              </w:rPr>
              <w:lastRenderedPageBreak/>
              <w:drawing>
                <wp:inline distT="0" distB="0" distL="0" distR="0" wp14:anchorId="7E63085A" wp14:editId="38445FF4">
                  <wp:extent cx="2170090" cy="1613833"/>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1936" cy="1615206"/>
                          </a:xfrm>
                          <a:prstGeom prst="rect">
                            <a:avLst/>
                          </a:prstGeom>
                        </pic:spPr>
                      </pic:pic>
                    </a:graphicData>
                  </a:graphic>
                </wp:inline>
              </w:drawing>
            </w:r>
          </w:p>
        </w:tc>
        <w:tc>
          <w:tcPr>
            <w:tcW w:w="5720" w:type="dxa"/>
          </w:tcPr>
          <w:p w:rsidR="00EA0124" w:rsidRPr="00D43777" w:rsidRDefault="00EA0124" w:rsidP="003529A4">
            <w:pPr>
              <w:jc w:val="both"/>
              <w:rPr>
                <w:sz w:val="22"/>
                <w:szCs w:val="22"/>
              </w:rPr>
            </w:pPr>
            <w:r w:rsidRPr="00D43777">
              <w:rPr>
                <w:sz w:val="22"/>
                <w:szCs w:val="22"/>
              </w:rPr>
              <w:lastRenderedPageBreak/>
              <w:t xml:space="preserve">The Food safety management/ HACCP system is an intranet based system with the focus on Catering Codes of Practice (CCOP). Supporting documentation on site will include </w:t>
            </w:r>
            <w:r w:rsidR="00A05575">
              <w:rPr>
                <w:sz w:val="22"/>
                <w:szCs w:val="22"/>
              </w:rPr>
              <w:t>“</w:t>
            </w:r>
            <w:r w:rsidRPr="00D43777">
              <w:rPr>
                <w:sz w:val="22"/>
                <w:szCs w:val="22"/>
              </w:rPr>
              <w:t xml:space="preserve">Daily </w:t>
            </w:r>
            <w:r w:rsidR="00A05575">
              <w:rPr>
                <w:sz w:val="22"/>
                <w:szCs w:val="22"/>
              </w:rPr>
              <w:t>D</w:t>
            </w:r>
            <w:r w:rsidRPr="00D43777">
              <w:rPr>
                <w:sz w:val="22"/>
                <w:szCs w:val="22"/>
              </w:rPr>
              <w:t>iaries</w:t>
            </w:r>
            <w:r w:rsidR="00A05575">
              <w:rPr>
                <w:sz w:val="22"/>
                <w:szCs w:val="22"/>
              </w:rPr>
              <w:t>”</w:t>
            </w:r>
            <w:r w:rsidRPr="00D43777">
              <w:rPr>
                <w:sz w:val="22"/>
                <w:szCs w:val="22"/>
              </w:rPr>
              <w:t xml:space="preserve"> as well as goods received books. </w:t>
            </w:r>
            <w:r w:rsidR="00A05575">
              <w:rPr>
                <w:sz w:val="22"/>
                <w:szCs w:val="22"/>
              </w:rPr>
              <w:t>“</w:t>
            </w:r>
            <w:r w:rsidRPr="00D43777">
              <w:rPr>
                <w:sz w:val="22"/>
                <w:szCs w:val="22"/>
              </w:rPr>
              <w:t xml:space="preserve">Daily </w:t>
            </w:r>
            <w:r w:rsidR="00A05575">
              <w:rPr>
                <w:sz w:val="22"/>
                <w:szCs w:val="22"/>
              </w:rPr>
              <w:t>D</w:t>
            </w:r>
            <w:r w:rsidRPr="00D43777">
              <w:rPr>
                <w:sz w:val="22"/>
                <w:szCs w:val="22"/>
              </w:rPr>
              <w:t>aries</w:t>
            </w:r>
            <w:r w:rsidR="00A05575">
              <w:rPr>
                <w:sz w:val="22"/>
                <w:szCs w:val="22"/>
              </w:rPr>
              <w:t>”</w:t>
            </w:r>
            <w:r w:rsidRPr="00D43777">
              <w:rPr>
                <w:sz w:val="22"/>
                <w:szCs w:val="22"/>
              </w:rPr>
              <w:t xml:space="preserve"> typically will contain opening checks, closing checks and temperature control recordings as well as cleaning records. A minimum requirement during any inspection would be that the manager for the area demonstrates how to access the system.</w:t>
            </w:r>
          </w:p>
          <w:p w:rsidR="00EA0124" w:rsidRPr="00D43777" w:rsidRDefault="00EA0124" w:rsidP="003529A4">
            <w:pPr>
              <w:jc w:val="both"/>
              <w:rPr>
                <w:sz w:val="22"/>
                <w:szCs w:val="22"/>
              </w:rPr>
            </w:pPr>
          </w:p>
          <w:p w:rsidR="00EA0124" w:rsidRPr="00D43777" w:rsidRDefault="00EA0124" w:rsidP="003529A4">
            <w:pPr>
              <w:jc w:val="both"/>
              <w:rPr>
                <w:sz w:val="22"/>
                <w:szCs w:val="22"/>
              </w:rPr>
            </w:pPr>
            <w:r w:rsidRPr="00D43777">
              <w:rPr>
                <w:sz w:val="22"/>
                <w:szCs w:val="22"/>
              </w:rPr>
              <w:t xml:space="preserve">The intranet based system has been devised to ensure </w:t>
            </w:r>
            <w:r w:rsidRPr="00D43777">
              <w:rPr>
                <w:sz w:val="22"/>
                <w:szCs w:val="22"/>
              </w:rPr>
              <w:lastRenderedPageBreak/>
              <w:t xml:space="preserve">that it is fully interactive and easy to navigate. All venues will have a computer and up to date IT available and all members of the team will have access. The advantages of this type of system is that it remains live and kept up to date via head office. Communications for any changes or alerts are also sent out via the system. </w:t>
            </w:r>
          </w:p>
          <w:p w:rsidR="00EA0124" w:rsidRPr="00D43777" w:rsidRDefault="00EA0124" w:rsidP="003529A4">
            <w:pPr>
              <w:jc w:val="both"/>
              <w:rPr>
                <w:sz w:val="22"/>
                <w:szCs w:val="22"/>
              </w:rPr>
            </w:pPr>
          </w:p>
        </w:tc>
      </w:tr>
      <w:tr w:rsidR="00EA0124" w:rsidRPr="00D43777" w:rsidTr="003529A4">
        <w:tc>
          <w:tcPr>
            <w:tcW w:w="2802" w:type="dxa"/>
          </w:tcPr>
          <w:p w:rsidR="00EA0124" w:rsidRPr="00D43777" w:rsidRDefault="00EA0124" w:rsidP="003529A4">
            <w:pPr>
              <w:jc w:val="both"/>
              <w:rPr>
                <w:sz w:val="22"/>
                <w:szCs w:val="22"/>
              </w:rPr>
            </w:pPr>
            <w:r w:rsidRPr="00D43777">
              <w:rPr>
                <w:sz w:val="22"/>
                <w:szCs w:val="22"/>
              </w:rPr>
              <w:lastRenderedPageBreak/>
              <w:t>What training is given to employees?</w:t>
            </w:r>
          </w:p>
        </w:tc>
        <w:tc>
          <w:tcPr>
            <w:tcW w:w="5720" w:type="dxa"/>
          </w:tcPr>
          <w:p w:rsidR="00EA0124" w:rsidRPr="00D43777" w:rsidRDefault="00EA0124" w:rsidP="003529A4">
            <w:pPr>
              <w:jc w:val="both"/>
              <w:rPr>
                <w:sz w:val="22"/>
                <w:szCs w:val="22"/>
              </w:rPr>
            </w:pPr>
            <w:r w:rsidRPr="00D43777">
              <w:rPr>
                <w:sz w:val="22"/>
                <w:szCs w:val="22"/>
              </w:rPr>
              <w:t xml:space="preserve">All employees, regardless of job role, will receive a minimum food safety awareness training based on an e-learning module that must be completed before they can start in position. </w:t>
            </w:r>
          </w:p>
          <w:p w:rsidR="00EA0124" w:rsidRPr="00D43777" w:rsidRDefault="00EA0124" w:rsidP="003529A4">
            <w:pPr>
              <w:jc w:val="both"/>
              <w:rPr>
                <w:sz w:val="22"/>
                <w:szCs w:val="22"/>
              </w:rPr>
            </w:pPr>
          </w:p>
          <w:p w:rsidR="00EA0124" w:rsidRPr="00D43777" w:rsidRDefault="00EA0124" w:rsidP="003529A4">
            <w:pPr>
              <w:jc w:val="both"/>
              <w:rPr>
                <w:sz w:val="22"/>
                <w:szCs w:val="22"/>
              </w:rPr>
            </w:pPr>
            <w:r w:rsidRPr="00D43777">
              <w:rPr>
                <w:sz w:val="22"/>
                <w:szCs w:val="22"/>
              </w:rPr>
              <w:t xml:space="preserve">This training is also complimented by a full day induction where employees learn about the practical applications of food safety within our business including the taking of food temperatures and completion of daily diaries. Allergen awareness training is also completed via an e-learning module and again complimented at induction. </w:t>
            </w:r>
          </w:p>
          <w:p w:rsidR="00EA0124" w:rsidRPr="00D43777" w:rsidRDefault="00EA0124" w:rsidP="003529A4">
            <w:pPr>
              <w:jc w:val="both"/>
              <w:rPr>
                <w:sz w:val="22"/>
                <w:szCs w:val="22"/>
              </w:rPr>
            </w:pPr>
          </w:p>
          <w:p w:rsidR="00EA0124" w:rsidRPr="00D43777" w:rsidRDefault="00EA0124" w:rsidP="003529A4">
            <w:pPr>
              <w:jc w:val="both"/>
              <w:rPr>
                <w:sz w:val="22"/>
                <w:szCs w:val="22"/>
              </w:rPr>
            </w:pPr>
            <w:r w:rsidRPr="00D43777">
              <w:rPr>
                <w:sz w:val="22"/>
                <w:szCs w:val="22"/>
              </w:rPr>
              <w:t xml:space="preserve">All employees in a supervisory role and higher will complete as a minimum level 3 food safety. As a business we have also invested in our executive chef team and trained up to level 4. </w:t>
            </w:r>
          </w:p>
          <w:p w:rsidR="00EA0124" w:rsidRPr="00D43777" w:rsidRDefault="00EA0124" w:rsidP="003529A4">
            <w:pPr>
              <w:jc w:val="both"/>
              <w:rPr>
                <w:sz w:val="22"/>
                <w:szCs w:val="22"/>
              </w:rPr>
            </w:pPr>
          </w:p>
        </w:tc>
      </w:tr>
      <w:tr w:rsidR="00EA0124" w:rsidRPr="00D43777" w:rsidTr="003529A4">
        <w:tc>
          <w:tcPr>
            <w:tcW w:w="2802" w:type="dxa"/>
          </w:tcPr>
          <w:p w:rsidR="00EA0124" w:rsidRPr="00D43777" w:rsidRDefault="00EA0124" w:rsidP="003529A4">
            <w:pPr>
              <w:jc w:val="both"/>
              <w:rPr>
                <w:sz w:val="22"/>
                <w:szCs w:val="22"/>
              </w:rPr>
            </w:pPr>
            <w:r w:rsidRPr="00D43777">
              <w:rPr>
                <w:sz w:val="22"/>
                <w:szCs w:val="22"/>
              </w:rPr>
              <w:t>What control measures are in place for the control of and management of allergens?</w:t>
            </w:r>
          </w:p>
        </w:tc>
        <w:tc>
          <w:tcPr>
            <w:tcW w:w="5720" w:type="dxa"/>
          </w:tcPr>
          <w:p w:rsidR="00EA0124" w:rsidRPr="00D43777" w:rsidRDefault="00EA0124" w:rsidP="003529A4">
            <w:pPr>
              <w:jc w:val="both"/>
              <w:rPr>
                <w:sz w:val="22"/>
                <w:szCs w:val="22"/>
              </w:rPr>
            </w:pPr>
            <w:r w:rsidRPr="00D43777">
              <w:rPr>
                <w:sz w:val="22"/>
                <w:szCs w:val="22"/>
              </w:rPr>
              <w:t xml:space="preserve">Amadeus have invested heavily in a centralised IT system that enables the procurement team to load specifications including allergen information for all products, ingredients and component parts of recipes. These recipes are then created on the system. </w:t>
            </w:r>
          </w:p>
          <w:p w:rsidR="00EA0124" w:rsidRPr="00D43777" w:rsidRDefault="00EA0124" w:rsidP="003529A4">
            <w:pPr>
              <w:jc w:val="both"/>
              <w:rPr>
                <w:sz w:val="22"/>
                <w:szCs w:val="22"/>
              </w:rPr>
            </w:pPr>
          </w:p>
          <w:p w:rsidR="00EA0124" w:rsidRPr="00D43777" w:rsidRDefault="00EA0124" w:rsidP="003529A4">
            <w:pPr>
              <w:jc w:val="both"/>
              <w:rPr>
                <w:sz w:val="22"/>
                <w:szCs w:val="22"/>
              </w:rPr>
            </w:pPr>
            <w:r w:rsidRPr="00D43777">
              <w:rPr>
                <w:sz w:val="22"/>
                <w:szCs w:val="22"/>
              </w:rPr>
              <w:t xml:space="preserve">A report is then generated for each area of the business and procedures trained as previously documented. </w:t>
            </w:r>
          </w:p>
          <w:p w:rsidR="00EA0124" w:rsidRPr="00D43777" w:rsidRDefault="00EA0124" w:rsidP="003529A4">
            <w:pPr>
              <w:jc w:val="both"/>
              <w:rPr>
                <w:sz w:val="22"/>
                <w:szCs w:val="22"/>
              </w:rPr>
            </w:pPr>
          </w:p>
        </w:tc>
      </w:tr>
      <w:tr w:rsidR="00EA0124" w:rsidRPr="00D43777" w:rsidTr="003529A4">
        <w:tc>
          <w:tcPr>
            <w:tcW w:w="2802" w:type="dxa"/>
          </w:tcPr>
          <w:p w:rsidR="00EA0124" w:rsidRPr="00D43777" w:rsidRDefault="00EA0124" w:rsidP="003529A4">
            <w:pPr>
              <w:jc w:val="both"/>
              <w:rPr>
                <w:sz w:val="22"/>
                <w:szCs w:val="22"/>
              </w:rPr>
            </w:pPr>
            <w:r w:rsidRPr="00D43777">
              <w:rPr>
                <w:sz w:val="22"/>
                <w:szCs w:val="22"/>
              </w:rPr>
              <w:t>How are food complaints/ food poisoning allegations dealt with?</w:t>
            </w:r>
          </w:p>
        </w:tc>
        <w:tc>
          <w:tcPr>
            <w:tcW w:w="5720" w:type="dxa"/>
          </w:tcPr>
          <w:p w:rsidR="00EA0124" w:rsidRPr="00D43777" w:rsidRDefault="00EA0124" w:rsidP="003529A4">
            <w:pPr>
              <w:jc w:val="both"/>
              <w:rPr>
                <w:sz w:val="22"/>
                <w:szCs w:val="22"/>
              </w:rPr>
            </w:pPr>
            <w:r w:rsidRPr="00D43777">
              <w:rPr>
                <w:sz w:val="22"/>
                <w:szCs w:val="22"/>
              </w:rPr>
              <w:t xml:space="preserve">Within the intranet system, a purple tab has been created that will direct the employees to a food safety complaint questionnaire that should be completed whenever a complaint is made by a customer. </w:t>
            </w:r>
          </w:p>
          <w:p w:rsidR="00EA0124" w:rsidRPr="00D43777" w:rsidRDefault="00EA0124" w:rsidP="003529A4">
            <w:pPr>
              <w:jc w:val="both"/>
              <w:rPr>
                <w:sz w:val="22"/>
                <w:szCs w:val="22"/>
              </w:rPr>
            </w:pPr>
          </w:p>
          <w:p w:rsidR="00EA0124" w:rsidRPr="00D43777" w:rsidRDefault="00EA0124" w:rsidP="003529A4">
            <w:pPr>
              <w:jc w:val="both"/>
              <w:rPr>
                <w:sz w:val="22"/>
                <w:szCs w:val="22"/>
              </w:rPr>
            </w:pPr>
            <w:r w:rsidRPr="00D43777">
              <w:rPr>
                <w:sz w:val="22"/>
                <w:szCs w:val="22"/>
              </w:rPr>
              <w:t>These forms are then forwarded straight to Amadeus FSS who investigate every complaint.</w:t>
            </w:r>
          </w:p>
          <w:p w:rsidR="00EA0124" w:rsidRPr="00D43777" w:rsidRDefault="00EA0124" w:rsidP="003529A4">
            <w:pPr>
              <w:jc w:val="both"/>
              <w:rPr>
                <w:sz w:val="22"/>
                <w:szCs w:val="22"/>
              </w:rPr>
            </w:pPr>
          </w:p>
        </w:tc>
      </w:tr>
      <w:tr w:rsidR="00EA0124" w:rsidRPr="00D43777" w:rsidTr="003529A4">
        <w:tc>
          <w:tcPr>
            <w:tcW w:w="2802" w:type="dxa"/>
          </w:tcPr>
          <w:p w:rsidR="00EA0124" w:rsidRPr="00D43777" w:rsidRDefault="00EA0124" w:rsidP="003529A4">
            <w:pPr>
              <w:jc w:val="both"/>
              <w:rPr>
                <w:sz w:val="22"/>
                <w:szCs w:val="22"/>
              </w:rPr>
            </w:pPr>
            <w:r w:rsidRPr="00D43777">
              <w:rPr>
                <w:sz w:val="22"/>
                <w:szCs w:val="22"/>
              </w:rPr>
              <w:t xml:space="preserve">Does the sanitiser conform to </w:t>
            </w:r>
          </w:p>
          <w:p w:rsidR="00EA0124" w:rsidRPr="00D43777" w:rsidRDefault="00EA0124" w:rsidP="003529A4">
            <w:pPr>
              <w:jc w:val="both"/>
              <w:rPr>
                <w:sz w:val="22"/>
                <w:szCs w:val="22"/>
              </w:rPr>
            </w:pPr>
            <w:r w:rsidRPr="00D43777">
              <w:rPr>
                <w:sz w:val="22"/>
                <w:szCs w:val="22"/>
              </w:rPr>
              <w:t>BS EN 1276:1997?</w:t>
            </w:r>
          </w:p>
        </w:tc>
        <w:tc>
          <w:tcPr>
            <w:tcW w:w="5720" w:type="dxa"/>
          </w:tcPr>
          <w:p w:rsidR="00EA0124" w:rsidRPr="00D43777" w:rsidRDefault="005A02A0" w:rsidP="003529A4">
            <w:pPr>
              <w:jc w:val="both"/>
              <w:rPr>
                <w:sz w:val="22"/>
                <w:szCs w:val="22"/>
              </w:rPr>
            </w:pPr>
            <w:r>
              <w:rPr>
                <w:sz w:val="22"/>
                <w:szCs w:val="22"/>
              </w:rPr>
              <w:t xml:space="preserve">Yes, all </w:t>
            </w:r>
            <w:r w:rsidR="00EA0124" w:rsidRPr="00D43777">
              <w:rPr>
                <w:sz w:val="22"/>
                <w:szCs w:val="22"/>
              </w:rPr>
              <w:t xml:space="preserve">sanitisers fully conform to BS EN 1276:1997 standard. </w:t>
            </w:r>
          </w:p>
          <w:p w:rsidR="00EA0124" w:rsidRPr="00D43777" w:rsidRDefault="00EA0124" w:rsidP="003529A4">
            <w:pPr>
              <w:jc w:val="both"/>
              <w:rPr>
                <w:sz w:val="22"/>
                <w:szCs w:val="22"/>
              </w:rPr>
            </w:pPr>
          </w:p>
          <w:p w:rsidR="00EA0124" w:rsidRPr="00D43777" w:rsidRDefault="00EA0124" w:rsidP="003529A4">
            <w:pPr>
              <w:jc w:val="both"/>
              <w:rPr>
                <w:sz w:val="22"/>
                <w:szCs w:val="22"/>
              </w:rPr>
            </w:pPr>
            <w:r w:rsidRPr="00D43777">
              <w:rPr>
                <w:sz w:val="22"/>
                <w:szCs w:val="22"/>
              </w:rPr>
              <w:t>All chemicals are supplied via Zenith, no household products should be used on site</w:t>
            </w:r>
          </w:p>
          <w:p w:rsidR="00EA0124" w:rsidRPr="00D43777" w:rsidRDefault="00EA0124" w:rsidP="003529A4">
            <w:pPr>
              <w:jc w:val="both"/>
              <w:rPr>
                <w:sz w:val="22"/>
                <w:szCs w:val="22"/>
              </w:rPr>
            </w:pPr>
          </w:p>
        </w:tc>
      </w:tr>
      <w:tr w:rsidR="00EA0124" w:rsidRPr="00D43777" w:rsidTr="003529A4">
        <w:tc>
          <w:tcPr>
            <w:tcW w:w="2802" w:type="dxa"/>
          </w:tcPr>
          <w:p w:rsidR="00EA0124" w:rsidRPr="00D43777" w:rsidRDefault="00EA0124" w:rsidP="003529A4">
            <w:pPr>
              <w:jc w:val="both"/>
              <w:rPr>
                <w:sz w:val="22"/>
                <w:szCs w:val="22"/>
              </w:rPr>
            </w:pPr>
            <w:r w:rsidRPr="00D43777">
              <w:rPr>
                <w:sz w:val="22"/>
                <w:szCs w:val="22"/>
              </w:rPr>
              <w:t>Is there a pest control management system in place?</w:t>
            </w:r>
          </w:p>
        </w:tc>
        <w:tc>
          <w:tcPr>
            <w:tcW w:w="5720" w:type="dxa"/>
          </w:tcPr>
          <w:p w:rsidR="00EA0124" w:rsidRPr="00D43777" w:rsidRDefault="00EA0124" w:rsidP="003529A4">
            <w:pPr>
              <w:jc w:val="both"/>
              <w:rPr>
                <w:sz w:val="22"/>
                <w:szCs w:val="22"/>
              </w:rPr>
            </w:pPr>
            <w:r w:rsidRPr="00D43777">
              <w:rPr>
                <w:sz w:val="22"/>
                <w:szCs w:val="22"/>
              </w:rPr>
              <w:t xml:space="preserve">A pest control management system will be in place for every venue. </w:t>
            </w:r>
          </w:p>
          <w:p w:rsidR="00EA0124" w:rsidRPr="00D43777" w:rsidRDefault="00EA0124" w:rsidP="003529A4">
            <w:pPr>
              <w:jc w:val="both"/>
              <w:rPr>
                <w:sz w:val="22"/>
                <w:szCs w:val="22"/>
              </w:rPr>
            </w:pPr>
            <w:r w:rsidRPr="00D43777">
              <w:rPr>
                <w:sz w:val="22"/>
                <w:szCs w:val="22"/>
              </w:rPr>
              <w:t xml:space="preserve">Where Amadeus activities fall within a managed building often that building’s facilities management also manage </w:t>
            </w:r>
            <w:r w:rsidRPr="00D43777">
              <w:rPr>
                <w:sz w:val="22"/>
                <w:szCs w:val="22"/>
              </w:rPr>
              <w:lastRenderedPageBreak/>
              <w:t xml:space="preserve">pest control. </w:t>
            </w:r>
          </w:p>
          <w:p w:rsidR="00EA0124" w:rsidRPr="00D43777" w:rsidRDefault="00EA0124" w:rsidP="003529A4">
            <w:pPr>
              <w:jc w:val="both"/>
              <w:rPr>
                <w:sz w:val="22"/>
                <w:szCs w:val="22"/>
              </w:rPr>
            </w:pPr>
          </w:p>
          <w:p w:rsidR="00EA0124" w:rsidRPr="00D43777" w:rsidRDefault="00EA0124" w:rsidP="003529A4">
            <w:pPr>
              <w:jc w:val="both"/>
              <w:rPr>
                <w:sz w:val="22"/>
                <w:szCs w:val="22"/>
              </w:rPr>
            </w:pPr>
            <w:r w:rsidRPr="00D43777">
              <w:rPr>
                <w:sz w:val="22"/>
                <w:szCs w:val="22"/>
              </w:rPr>
              <w:t xml:space="preserve">Pest control checks should be competed daily at all Amadeus venues and detail is contained within the </w:t>
            </w:r>
            <w:r w:rsidR="005A02A0">
              <w:rPr>
                <w:sz w:val="22"/>
                <w:szCs w:val="22"/>
              </w:rPr>
              <w:t>“D</w:t>
            </w:r>
            <w:r w:rsidRPr="00D43777">
              <w:rPr>
                <w:sz w:val="22"/>
                <w:szCs w:val="22"/>
              </w:rPr>
              <w:t xml:space="preserve">aily </w:t>
            </w:r>
            <w:r w:rsidR="005A02A0">
              <w:rPr>
                <w:sz w:val="22"/>
                <w:szCs w:val="22"/>
              </w:rPr>
              <w:t>D</w:t>
            </w:r>
            <w:r w:rsidRPr="00D43777">
              <w:rPr>
                <w:sz w:val="22"/>
                <w:szCs w:val="22"/>
              </w:rPr>
              <w:t>iary</w:t>
            </w:r>
            <w:r w:rsidR="005A02A0">
              <w:rPr>
                <w:sz w:val="22"/>
                <w:szCs w:val="22"/>
              </w:rPr>
              <w:t>”</w:t>
            </w:r>
            <w:r w:rsidRPr="00D43777">
              <w:rPr>
                <w:sz w:val="22"/>
                <w:szCs w:val="22"/>
              </w:rPr>
              <w:t xml:space="preserve">. Where venue specific controls differ, details should be obtained on site and venue pest control folder should be available for inspection. </w:t>
            </w:r>
          </w:p>
          <w:p w:rsidR="00EA0124" w:rsidRPr="00D43777" w:rsidRDefault="00EA0124" w:rsidP="003529A4">
            <w:pPr>
              <w:jc w:val="both"/>
              <w:rPr>
                <w:sz w:val="22"/>
                <w:szCs w:val="22"/>
              </w:rPr>
            </w:pPr>
          </w:p>
        </w:tc>
      </w:tr>
      <w:tr w:rsidR="00EA0124" w:rsidRPr="00D43777" w:rsidTr="003529A4">
        <w:tc>
          <w:tcPr>
            <w:tcW w:w="2802" w:type="dxa"/>
          </w:tcPr>
          <w:p w:rsidR="00EA0124" w:rsidRPr="00D43777" w:rsidRDefault="00EA0124" w:rsidP="003529A4">
            <w:pPr>
              <w:jc w:val="both"/>
              <w:rPr>
                <w:sz w:val="22"/>
                <w:szCs w:val="22"/>
              </w:rPr>
            </w:pPr>
            <w:r w:rsidRPr="00D43777">
              <w:rPr>
                <w:sz w:val="22"/>
                <w:szCs w:val="22"/>
              </w:rPr>
              <w:lastRenderedPageBreak/>
              <w:t>How does Amadeus apply the current E- coli approved code of practice to its businesses?</w:t>
            </w:r>
          </w:p>
        </w:tc>
        <w:tc>
          <w:tcPr>
            <w:tcW w:w="5720" w:type="dxa"/>
          </w:tcPr>
          <w:p w:rsidR="00EA0124" w:rsidRPr="00D43777" w:rsidRDefault="00EA0124" w:rsidP="003529A4">
            <w:pPr>
              <w:jc w:val="both"/>
              <w:rPr>
                <w:sz w:val="22"/>
                <w:szCs w:val="22"/>
              </w:rPr>
            </w:pPr>
            <w:r w:rsidRPr="00D43777">
              <w:rPr>
                <w:sz w:val="22"/>
                <w:szCs w:val="22"/>
              </w:rPr>
              <w:t>Amadeus have an E- coli CCOP which details all control proce</w:t>
            </w:r>
            <w:r w:rsidR="007648CA">
              <w:rPr>
                <w:sz w:val="22"/>
                <w:szCs w:val="22"/>
              </w:rPr>
              <w:t>d</w:t>
            </w:r>
            <w:r w:rsidRPr="00D43777">
              <w:rPr>
                <w:sz w:val="22"/>
                <w:szCs w:val="22"/>
              </w:rPr>
              <w:t xml:space="preserve">ures in place to prevent the risks posed by E- coli contamination. This CCOP has been devised with current Food Standards Agency guidance and existing controls within the FSMS. </w:t>
            </w:r>
          </w:p>
          <w:p w:rsidR="00EA0124" w:rsidRPr="00D43777" w:rsidRDefault="00EA0124" w:rsidP="003529A4">
            <w:pPr>
              <w:jc w:val="both"/>
              <w:rPr>
                <w:sz w:val="22"/>
                <w:szCs w:val="22"/>
              </w:rPr>
            </w:pPr>
          </w:p>
        </w:tc>
      </w:tr>
      <w:tr w:rsidR="00EA0124" w:rsidRPr="00D43777" w:rsidTr="003529A4">
        <w:tc>
          <w:tcPr>
            <w:tcW w:w="2802" w:type="dxa"/>
          </w:tcPr>
          <w:p w:rsidR="00EA0124" w:rsidRPr="00D43777" w:rsidRDefault="00EA0124" w:rsidP="003529A4">
            <w:pPr>
              <w:jc w:val="both"/>
              <w:rPr>
                <w:sz w:val="22"/>
                <w:szCs w:val="22"/>
              </w:rPr>
            </w:pPr>
            <w:r w:rsidRPr="00D43777">
              <w:rPr>
                <w:sz w:val="22"/>
                <w:szCs w:val="22"/>
              </w:rPr>
              <w:t>How does Amadeus Manage its external and Event catering?</w:t>
            </w:r>
          </w:p>
        </w:tc>
        <w:tc>
          <w:tcPr>
            <w:tcW w:w="5720" w:type="dxa"/>
          </w:tcPr>
          <w:p w:rsidR="00EA0124" w:rsidRPr="00D43777" w:rsidRDefault="00EA0124" w:rsidP="003529A4">
            <w:pPr>
              <w:jc w:val="both"/>
              <w:rPr>
                <w:sz w:val="22"/>
                <w:szCs w:val="22"/>
              </w:rPr>
            </w:pPr>
            <w:r w:rsidRPr="00D43777">
              <w:rPr>
                <w:sz w:val="22"/>
                <w:szCs w:val="22"/>
              </w:rPr>
              <w:t>External events are expected to comply with the other Catering Codes of Practice for all control/storage/temperature control requirements.</w:t>
            </w:r>
            <w:r w:rsidR="00D43777">
              <w:rPr>
                <w:sz w:val="22"/>
                <w:szCs w:val="22"/>
              </w:rPr>
              <w:t xml:space="preserve"> </w:t>
            </w:r>
            <w:r w:rsidRPr="00D43777">
              <w:rPr>
                <w:sz w:val="22"/>
                <w:szCs w:val="22"/>
              </w:rPr>
              <w:t xml:space="preserve">Food is delivered to the event safely and under temperature controlled conditions appropriate to the food being transported </w:t>
            </w:r>
          </w:p>
          <w:p w:rsidR="00EA0124" w:rsidRPr="00D43777" w:rsidRDefault="00EA0124" w:rsidP="003529A4">
            <w:pPr>
              <w:jc w:val="both"/>
              <w:rPr>
                <w:sz w:val="22"/>
                <w:szCs w:val="22"/>
              </w:rPr>
            </w:pPr>
          </w:p>
          <w:p w:rsidR="00EA0124" w:rsidRPr="00D43777" w:rsidRDefault="00EA0124" w:rsidP="003529A4">
            <w:pPr>
              <w:jc w:val="both"/>
              <w:rPr>
                <w:b/>
                <w:sz w:val="22"/>
                <w:szCs w:val="22"/>
                <w:highlight w:val="yellow"/>
              </w:rPr>
            </w:pPr>
            <w:r w:rsidRPr="00D43777">
              <w:rPr>
                <w:b/>
                <w:sz w:val="22"/>
                <w:szCs w:val="22"/>
              </w:rPr>
              <w:t>Pre event Planning</w:t>
            </w:r>
          </w:p>
          <w:p w:rsidR="00EA0124" w:rsidRPr="00D43777" w:rsidRDefault="00EA0124" w:rsidP="003529A4">
            <w:pPr>
              <w:jc w:val="both"/>
              <w:rPr>
                <w:sz w:val="22"/>
                <w:szCs w:val="22"/>
              </w:rPr>
            </w:pPr>
            <w:r w:rsidRPr="00D43777">
              <w:rPr>
                <w:sz w:val="22"/>
                <w:szCs w:val="22"/>
              </w:rPr>
              <w:t xml:space="preserve">The Food and Safety Support Team will inspect / audit most events. </w:t>
            </w:r>
          </w:p>
          <w:p w:rsidR="00EA0124" w:rsidRPr="00D43777" w:rsidRDefault="00EA0124" w:rsidP="003529A4">
            <w:pPr>
              <w:jc w:val="both"/>
              <w:rPr>
                <w:b/>
                <w:sz w:val="22"/>
                <w:szCs w:val="22"/>
              </w:rPr>
            </w:pPr>
            <w:r w:rsidRPr="00D43777">
              <w:rPr>
                <w:b/>
                <w:sz w:val="22"/>
                <w:szCs w:val="22"/>
              </w:rPr>
              <w:t>Design and Construction</w:t>
            </w:r>
          </w:p>
          <w:p w:rsidR="00EA0124" w:rsidRPr="00D43777" w:rsidRDefault="00EA0124" w:rsidP="003529A4">
            <w:pPr>
              <w:jc w:val="both"/>
              <w:rPr>
                <w:sz w:val="22"/>
                <w:szCs w:val="22"/>
              </w:rPr>
            </w:pPr>
            <w:r w:rsidRPr="00D43777">
              <w:rPr>
                <w:sz w:val="22"/>
                <w:szCs w:val="22"/>
              </w:rPr>
              <w:t xml:space="preserve">The stall, vehicle or temporary kitchen must be large enough for the type of catering being carried out (e.g. sufficient working surfaces for the separate preparation of raw and cooked products) so that cross contamination cannot occur. </w:t>
            </w:r>
          </w:p>
          <w:p w:rsidR="00EA0124" w:rsidRPr="00D43777" w:rsidRDefault="00EA0124" w:rsidP="003529A4">
            <w:pPr>
              <w:jc w:val="both"/>
              <w:rPr>
                <w:sz w:val="22"/>
                <w:szCs w:val="22"/>
              </w:rPr>
            </w:pPr>
            <w:r w:rsidRPr="00D43777">
              <w:rPr>
                <w:sz w:val="22"/>
                <w:szCs w:val="22"/>
              </w:rPr>
              <w:t xml:space="preserve">All internal surfaces in a food preparation area must be washable and floors must have cleanable sheeting material over the structure.  </w:t>
            </w:r>
          </w:p>
          <w:p w:rsidR="00EA0124" w:rsidRPr="00D43777" w:rsidRDefault="00EA0124" w:rsidP="003529A4">
            <w:pPr>
              <w:rPr>
                <w:b/>
                <w:sz w:val="22"/>
                <w:szCs w:val="22"/>
              </w:rPr>
            </w:pPr>
            <w:r w:rsidRPr="00D43777">
              <w:rPr>
                <w:b/>
                <w:sz w:val="22"/>
                <w:szCs w:val="22"/>
              </w:rPr>
              <w:t>Pest Control</w:t>
            </w:r>
          </w:p>
          <w:p w:rsidR="00EA0124" w:rsidRPr="00D43777" w:rsidRDefault="00EA0124" w:rsidP="005A02A0">
            <w:pPr>
              <w:jc w:val="both"/>
              <w:rPr>
                <w:sz w:val="22"/>
                <w:szCs w:val="22"/>
              </w:rPr>
            </w:pPr>
            <w:r w:rsidRPr="00D43777">
              <w:rPr>
                <w:sz w:val="22"/>
                <w:szCs w:val="22"/>
              </w:rPr>
              <w:t>Pest checks must be carried out daily before food production begins to ensure there is no evidence of a major pests infestation. These pest checks must be recorded in the</w:t>
            </w:r>
            <w:r w:rsidR="005A02A0">
              <w:rPr>
                <w:sz w:val="22"/>
                <w:szCs w:val="22"/>
              </w:rPr>
              <w:t>”</w:t>
            </w:r>
            <w:r w:rsidRPr="00D43777">
              <w:rPr>
                <w:sz w:val="22"/>
                <w:szCs w:val="22"/>
              </w:rPr>
              <w:t xml:space="preserve"> Daily Diary</w:t>
            </w:r>
            <w:r w:rsidR="005A02A0">
              <w:rPr>
                <w:sz w:val="22"/>
                <w:szCs w:val="22"/>
              </w:rPr>
              <w:t>”</w:t>
            </w:r>
            <w:r w:rsidRPr="00D43777">
              <w:rPr>
                <w:sz w:val="22"/>
                <w:szCs w:val="22"/>
              </w:rPr>
              <w:t>.  If a major problem is found at any point during the event, all contaminated food and food suspected to be contaminated must be discarded. All work surfaces and hand contact points must be sanitised before catering begins/re-commences.</w:t>
            </w:r>
            <w:r w:rsidR="005A02A0">
              <w:rPr>
                <w:sz w:val="22"/>
                <w:szCs w:val="22"/>
              </w:rPr>
              <w:t xml:space="preserve"> </w:t>
            </w:r>
            <w:r w:rsidRPr="00D43777">
              <w:rPr>
                <w:sz w:val="22"/>
                <w:szCs w:val="22"/>
              </w:rPr>
              <w:t xml:space="preserve"> If catering within ano</w:t>
            </w:r>
            <w:r w:rsidR="005A02A0">
              <w:rPr>
                <w:sz w:val="22"/>
                <w:szCs w:val="22"/>
              </w:rPr>
              <w:t xml:space="preserve">ther managed building </w:t>
            </w:r>
            <w:r w:rsidRPr="00D43777">
              <w:rPr>
                <w:sz w:val="22"/>
                <w:szCs w:val="22"/>
              </w:rPr>
              <w:t>the venues pest control</w:t>
            </w:r>
            <w:r w:rsidR="005A02A0">
              <w:rPr>
                <w:sz w:val="22"/>
                <w:szCs w:val="22"/>
              </w:rPr>
              <w:t xml:space="preserve"> service would be asked to</w:t>
            </w:r>
            <w:r w:rsidRPr="00D43777">
              <w:rPr>
                <w:sz w:val="22"/>
                <w:szCs w:val="22"/>
              </w:rPr>
              <w:t xml:space="preserve"> attend site. </w:t>
            </w:r>
          </w:p>
        </w:tc>
        <w:bookmarkStart w:id="0" w:name="_GoBack"/>
        <w:bookmarkEnd w:id="0"/>
      </w:tr>
    </w:tbl>
    <w:p w:rsidR="00EA0124" w:rsidRPr="00D43777" w:rsidRDefault="00EA0124" w:rsidP="00EA0124">
      <w:pPr>
        <w:rPr>
          <w:sz w:val="22"/>
          <w:szCs w:val="22"/>
        </w:rPr>
      </w:pPr>
    </w:p>
    <w:p w:rsidR="00EA0124" w:rsidRPr="00D43777" w:rsidRDefault="00EA0124" w:rsidP="00EA0124">
      <w:pPr>
        <w:rPr>
          <w:sz w:val="22"/>
          <w:szCs w:val="22"/>
        </w:rPr>
      </w:pPr>
    </w:p>
    <w:p w:rsidR="00EA0124" w:rsidRPr="00D43777" w:rsidRDefault="00EA0124" w:rsidP="00EA0124">
      <w:pPr>
        <w:rPr>
          <w:sz w:val="22"/>
          <w:szCs w:val="22"/>
        </w:rPr>
      </w:pPr>
    </w:p>
    <w:sectPr w:rsidR="00EA0124" w:rsidRPr="00D43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E7FD8"/>
    <w:multiLevelType w:val="multilevel"/>
    <w:tmpl w:val="1C18090A"/>
    <w:lvl w:ilvl="0">
      <w:start w:val="100"/>
      <w:numFmt w:val="decimal"/>
      <w:suff w:val="space"/>
      <w:lvlText w:val="Chapter FHP%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24"/>
    <w:rsid w:val="002E705A"/>
    <w:rsid w:val="003529A4"/>
    <w:rsid w:val="005A02A0"/>
    <w:rsid w:val="007648CA"/>
    <w:rsid w:val="00937523"/>
    <w:rsid w:val="009C1EEF"/>
    <w:rsid w:val="00A05575"/>
    <w:rsid w:val="00A64307"/>
    <w:rsid w:val="00BB1693"/>
    <w:rsid w:val="00D43777"/>
    <w:rsid w:val="00E93203"/>
    <w:rsid w:val="00EA0124"/>
    <w:rsid w:val="00FB0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124"/>
    <w:pPr>
      <w:spacing w:after="0" w:line="240" w:lineRule="auto"/>
    </w:pPr>
    <w:rPr>
      <w:rFonts w:ascii="Arial" w:eastAsia="Times New Roman" w:hAnsi="Arial" w:cs="Arial"/>
      <w:sz w:val="24"/>
      <w:szCs w:val="24"/>
    </w:rPr>
  </w:style>
  <w:style w:type="paragraph" w:styleId="Heading2">
    <w:name w:val="heading 2"/>
    <w:basedOn w:val="Normal"/>
    <w:next w:val="Normal"/>
    <w:link w:val="Heading2Char"/>
    <w:qFormat/>
    <w:rsid w:val="00EA0124"/>
    <w:pPr>
      <w:keepNext/>
      <w:numPr>
        <w:ilvl w:val="1"/>
        <w:numId w:val="1"/>
      </w:numPr>
      <w:outlineLvl w:val="1"/>
    </w:pPr>
    <w:rPr>
      <w:rFonts w:ascii="Verdana" w:hAnsi="Verdana" w:cs="Times New Roman"/>
      <w:b/>
      <w:color w:val="3366FF"/>
      <w:sz w:val="20"/>
      <w:szCs w:val="20"/>
    </w:rPr>
  </w:style>
  <w:style w:type="paragraph" w:styleId="Heading3">
    <w:name w:val="heading 3"/>
    <w:basedOn w:val="Normal"/>
    <w:next w:val="Normal"/>
    <w:link w:val="Heading3Char"/>
    <w:qFormat/>
    <w:rsid w:val="00EA0124"/>
    <w:pPr>
      <w:keepNext/>
      <w:numPr>
        <w:ilvl w:val="2"/>
        <w:numId w:val="1"/>
      </w:numPr>
      <w:jc w:val="center"/>
      <w:outlineLvl w:val="2"/>
    </w:pPr>
    <w:rPr>
      <w:rFonts w:ascii="Verdana" w:hAnsi="Verdana" w:cs="Times New Roman"/>
      <w:b/>
      <w:sz w:val="20"/>
      <w:szCs w:val="20"/>
    </w:rPr>
  </w:style>
  <w:style w:type="paragraph" w:styleId="Heading4">
    <w:name w:val="heading 4"/>
    <w:basedOn w:val="Normal"/>
    <w:next w:val="Normal"/>
    <w:link w:val="Heading4Char"/>
    <w:qFormat/>
    <w:rsid w:val="00EA0124"/>
    <w:pPr>
      <w:keepNext/>
      <w:numPr>
        <w:ilvl w:val="3"/>
        <w:numId w:val="1"/>
      </w:numPr>
      <w:jc w:val="center"/>
      <w:outlineLvl w:val="3"/>
    </w:pPr>
    <w:rPr>
      <w:rFonts w:cs="Times New Roman"/>
      <w:b/>
      <w:szCs w:val="20"/>
    </w:rPr>
  </w:style>
  <w:style w:type="paragraph" w:styleId="Heading5">
    <w:name w:val="heading 5"/>
    <w:basedOn w:val="Normal"/>
    <w:next w:val="Normal"/>
    <w:link w:val="Heading5Char"/>
    <w:qFormat/>
    <w:rsid w:val="00EA0124"/>
    <w:pPr>
      <w:keepNext/>
      <w:numPr>
        <w:ilvl w:val="4"/>
        <w:numId w:val="1"/>
      </w:numPr>
      <w:tabs>
        <w:tab w:val="left" w:pos="-720"/>
      </w:tabs>
      <w:suppressAutoHyphens/>
      <w:jc w:val="center"/>
      <w:outlineLvl w:val="4"/>
    </w:pPr>
    <w:rPr>
      <w:rFonts w:cs="Times New Roman"/>
      <w:b/>
      <w:spacing w:val="-3"/>
      <w:szCs w:val="20"/>
    </w:rPr>
  </w:style>
  <w:style w:type="paragraph" w:styleId="Heading6">
    <w:name w:val="heading 6"/>
    <w:basedOn w:val="Normal"/>
    <w:next w:val="Normal"/>
    <w:link w:val="Heading6Char"/>
    <w:qFormat/>
    <w:rsid w:val="00EA0124"/>
    <w:pPr>
      <w:keepNext/>
      <w:numPr>
        <w:ilvl w:val="5"/>
        <w:numId w:val="1"/>
      </w:numPr>
      <w:tabs>
        <w:tab w:val="left" w:pos="-720"/>
      </w:tabs>
      <w:suppressAutoHyphens/>
      <w:jc w:val="center"/>
      <w:outlineLvl w:val="5"/>
    </w:pPr>
    <w:rPr>
      <w:rFonts w:cs="Times New Roman"/>
      <w:b/>
      <w:spacing w:val="-3"/>
      <w:szCs w:val="20"/>
    </w:rPr>
  </w:style>
  <w:style w:type="paragraph" w:styleId="Heading7">
    <w:name w:val="heading 7"/>
    <w:basedOn w:val="Normal"/>
    <w:next w:val="Normal"/>
    <w:link w:val="Heading7Char"/>
    <w:qFormat/>
    <w:rsid w:val="00EA0124"/>
    <w:pPr>
      <w:keepNext/>
      <w:numPr>
        <w:ilvl w:val="6"/>
        <w:numId w:val="1"/>
      </w:numPr>
      <w:tabs>
        <w:tab w:val="left" w:pos="-720"/>
        <w:tab w:val="left" w:pos="0"/>
        <w:tab w:val="right" w:pos="9000"/>
      </w:tabs>
      <w:suppressAutoHyphens/>
      <w:jc w:val="center"/>
      <w:outlineLvl w:val="6"/>
    </w:pPr>
    <w:rPr>
      <w:rFonts w:cs="Times New Roman"/>
      <w:b/>
      <w:spacing w:val="-3"/>
      <w:szCs w:val="20"/>
    </w:rPr>
  </w:style>
  <w:style w:type="paragraph" w:styleId="Heading8">
    <w:name w:val="heading 8"/>
    <w:basedOn w:val="Normal"/>
    <w:next w:val="Normal"/>
    <w:link w:val="Heading8Char"/>
    <w:qFormat/>
    <w:rsid w:val="00EA0124"/>
    <w:pPr>
      <w:keepNext/>
      <w:numPr>
        <w:ilvl w:val="7"/>
        <w:numId w:val="1"/>
      </w:numPr>
      <w:tabs>
        <w:tab w:val="right" w:pos="9317"/>
        <w:tab w:val="right" w:pos="13950"/>
      </w:tabs>
      <w:ind w:right="-43"/>
      <w:jc w:val="right"/>
      <w:outlineLvl w:val="7"/>
    </w:pPr>
    <w:rPr>
      <w:rFonts w:ascii="Times New Roman" w:hAnsi="Times New Roman" w:cs="Times New Roman"/>
      <w:b/>
      <w:szCs w:val="20"/>
    </w:rPr>
  </w:style>
  <w:style w:type="paragraph" w:styleId="Heading9">
    <w:name w:val="heading 9"/>
    <w:basedOn w:val="Normal"/>
    <w:next w:val="Normal"/>
    <w:link w:val="Heading9Char"/>
    <w:qFormat/>
    <w:rsid w:val="00EA0124"/>
    <w:pPr>
      <w:keepNext/>
      <w:numPr>
        <w:ilvl w:val="8"/>
        <w:numId w:val="1"/>
      </w:numPr>
      <w:tabs>
        <w:tab w:val="right" w:pos="9317"/>
        <w:tab w:val="right" w:pos="13950"/>
      </w:tabs>
      <w:ind w:right="-43"/>
      <w:jc w:val="center"/>
      <w:outlineLvl w:val="8"/>
    </w:pPr>
    <w:rPr>
      <w:rFonts w:ascii="Times New Roman" w:hAnsi="Times New Roman" w:cs="Times New Roman"/>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124"/>
    <w:rPr>
      <w:rFonts w:ascii="Verdana" w:eastAsia="Times New Roman" w:hAnsi="Verdana" w:cs="Times New Roman"/>
      <w:b/>
      <w:color w:val="3366FF"/>
      <w:sz w:val="20"/>
      <w:szCs w:val="20"/>
    </w:rPr>
  </w:style>
  <w:style w:type="character" w:customStyle="1" w:styleId="Heading3Char">
    <w:name w:val="Heading 3 Char"/>
    <w:basedOn w:val="DefaultParagraphFont"/>
    <w:link w:val="Heading3"/>
    <w:rsid w:val="00EA0124"/>
    <w:rPr>
      <w:rFonts w:ascii="Verdana" w:eastAsia="Times New Roman" w:hAnsi="Verdana" w:cs="Times New Roman"/>
      <w:b/>
      <w:sz w:val="20"/>
      <w:szCs w:val="20"/>
    </w:rPr>
  </w:style>
  <w:style w:type="character" w:customStyle="1" w:styleId="Heading4Char">
    <w:name w:val="Heading 4 Char"/>
    <w:basedOn w:val="DefaultParagraphFont"/>
    <w:link w:val="Heading4"/>
    <w:rsid w:val="00EA0124"/>
    <w:rPr>
      <w:rFonts w:ascii="Arial" w:eastAsia="Times New Roman" w:hAnsi="Arial" w:cs="Times New Roman"/>
      <w:b/>
      <w:sz w:val="24"/>
      <w:szCs w:val="20"/>
    </w:rPr>
  </w:style>
  <w:style w:type="character" w:customStyle="1" w:styleId="Heading5Char">
    <w:name w:val="Heading 5 Char"/>
    <w:basedOn w:val="DefaultParagraphFont"/>
    <w:link w:val="Heading5"/>
    <w:rsid w:val="00EA0124"/>
    <w:rPr>
      <w:rFonts w:ascii="Arial" w:eastAsia="Times New Roman" w:hAnsi="Arial" w:cs="Times New Roman"/>
      <w:b/>
      <w:spacing w:val="-3"/>
      <w:sz w:val="24"/>
      <w:szCs w:val="20"/>
    </w:rPr>
  </w:style>
  <w:style w:type="character" w:customStyle="1" w:styleId="Heading6Char">
    <w:name w:val="Heading 6 Char"/>
    <w:basedOn w:val="DefaultParagraphFont"/>
    <w:link w:val="Heading6"/>
    <w:rsid w:val="00EA0124"/>
    <w:rPr>
      <w:rFonts w:ascii="Arial" w:eastAsia="Times New Roman" w:hAnsi="Arial" w:cs="Times New Roman"/>
      <w:b/>
      <w:spacing w:val="-3"/>
      <w:sz w:val="24"/>
      <w:szCs w:val="20"/>
    </w:rPr>
  </w:style>
  <w:style w:type="character" w:customStyle="1" w:styleId="Heading7Char">
    <w:name w:val="Heading 7 Char"/>
    <w:basedOn w:val="DefaultParagraphFont"/>
    <w:link w:val="Heading7"/>
    <w:rsid w:val="00EA0124"/>
    <w:rPr>
      <w:rFonts w:ascii="Arial" w:eastAsia="Times New Roman" w:hAnsi="Arial" w:cs="Times New Roman"/>
      <w:b/>
      <w:spacing w:val="-3"/>
      <w:sz w:val="24"/>
      <w:szCs w:val="20"/>
    </w:rPr>
  </w:style>
  <w:style w:type="character" w:customStyle="1" w:styleId="Heading8Char">
    <w:name w:val="Heading 8 Char"/>
    <w:basedOn w:val="DefaultParagraphFont"/>
    <w:link w:val="Heading8"/>
    <w:rsid w:val="00EA0124"/>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EA0124"/>
    <w:rPr>
      <w:rFonts w:ascii="Times New Roman" w:eastAsia="Times New Roman" w:hAnsi="Times New Roman" w:cs="Times New Roman"/>
      <w:b/>
      <w:sz w:val="32"/>
      <w:szCs w:val="20"/>
    </w:rPr>
  </w:style>
  <w:style w:type="table" w:styleId="TableGrid">
    <w:name w:val="Table Grid"/>
    <w:basedOn w:val="TableNormal"/>
    <w:uiPriority w:val="59"/>
    <w:rsid w:val="00EA0124"/>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0124"/>
    <w:rPr>
      <w:rFonts w:ascii="Tahoma" w:hAnsi="Tahoma" w:cs="Tahoma"/>
      <w:sz w:val="16"/>
      <w:szCs w:val="16"/>
    </w:rPr>
  </w:style>
  <w:style w:type="character" w:customStyle="1" w:styleId="BalloonTextChar">
    <w:name w:val="Balloon Text Char"/>
    <w:basedOn w:val="DefaultParagraphFont"/>
    <w:link w:val="BalloonText"/>
    <w:uiPriority w:val="99"/>
    <w:semiHidden/>
    <w:rsid w:val="00EA012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124"/>
    <w:pPr>
      <w:spacing w:after="0" w:line="240" w:lineRule="auto"/>
    </w:pPr>
    <w:rPr>
      <w:rFonts w:ascii="Arial" w:eastAsia="Times New Roman" w:hAnsi="Arial" w:cs="Arial"/>
      <w:sz w:val="24"/>
      <w:szCs w:val="24"/>
    </w:rPr>
  </w:style>
  <w:style w:type="paragraph" w:styleId="Heading2">
    <w:name w:val="heading 2"/>
    <w:basedOn w:val="Normal"/>
    <w:next w:val="Normal"/>
    <w:link w:val="Heading2Char"/>
    <w:qFormat/>
    <w:rsid w:val="00EA0124"/>
    <w:pPr>
      <w:keepNext/>
      <w:numPr>
        <w:ilvl w:val="1"/>
        <w:numId w:val="1"/>
      </w:numPr>
      <w:outlineLvl w:val="1"/>
    </w:pPr>
    <w:rPr>
      <w:rFonts w:ascii="Verdana" w:hAnsi="Verdana" w:cs="Times New Roman"/>
      <w:b/>
      <w:color w:val="3366FF"/>
      <w:sz w:val="20"/>
      <w:szCs w:val="20"/>
    </w:rPr>
  </w:style>
  <w:style w:type="paragraph" w:styleId="Heading3">
    <w:name w:val="heading 3"/>
    <w:basedOn w:val="Normal"/>
    <w:next w:val="Normal"/>
    <w:link w:val="Heading3Char"/>
    <w:qFormat/>
    <w:rsid w:val="00EA0124"/>
    <w:pPr>
      <w:keepNext/>
      <w:numPr>
        <w:ilvl w:val="2"/>
        <w:numId w:val="1"/>
      </w:numPr>
      <w:jc w:val="center"/>
      <w:outlineLvl w:val="2"/>
    </w:pPr>
    <w:rPr>
      <w:rFonts w:ascii="Verdana" w:hAnsi="Verdana" w:cs="Times New Roman"/>
      <w:b/>
      <w:sz w:val="20"/>
      <w:szCs w:val="20"/>
    </w:rPr>
  </w:style>
  <w:style w:type="paragraph" w:styleId="Heading4">
    <w:name w:val="heading 4"/>
    <w:basedOn w:val="Normal"/>
    <w:next w:val="Normal"/>
    <w:link w:val="Heading4Char"/>
    <w:qFormat/>
    <w:rsid w:val="00EA0124"/>
    <w:pPr>
      <w:keepNext/>
      <w:numPr>
        <w:ilvl w:val="3"/>
        <w:numId w:val="1"/>
      </w:numPr>
      <w:jc w:val="center"/>
      <w:outlineLvl w:val="3"/>
    </w:pPr>
    <w:rPr>
      <w:rFonts w:cs="Times New Roman"/>
      <w:b/>
      <w:szCs w:val="20"/>
    </w:rPr>
  </w:style>
  <w:style w:type="paragraph" w:styleId="Heading5">
    <w:name w:val="heading 5"/>
    <w:basedOn w:val="Normal"/>
    <w:next w:val="Normal"/>
    <w:link w:val="Heading5Char"/>
    <w:qFormat/>
    <w:rsid w:val="00EA0124"/>
    <w:pPr>
      <w:keepNext/>
      <w:numPr>
        <w:ilvl w:val="4"/>
        <w:numId w:val="1"/>
      </w:numPr>
      <w:tabs>
        <w:tab w:val="left" w:pos="-720"/>
      </w:tabs>
      <w:suppressAutoHyphens/>
      <w:jc w:val="center"/>
      <w:outlineLvl w:val="4"/>
    </w:pPr>
    <w:rPr>
      <w:rFonts w:cs="Times New Roman"/>
      <w:b/>
      <w:spacing w:val="-3"/>
      <w:szCs w:val="20"/>
    </w:rPr>
  </w:style>
  <w:style w:type="paragraph" w:styleId="Heading6">
    <w:name w:val="heading 6"/>
    <w:basedOn w:val="Normal"/>
    <w:next w:val="Normal"/>
    <w:link w:val="Heading6Char"/>
    <w:qFormat/>
    <w:rsid w:val="00EA0124"/>
    <w:pPr>
      <w:keepNext/>
      <w:numPr>
        <w:ilvl w:val="5"/>
        <w:numId w:val="1"/>
      </w:numPr>
      <w:tabs>
        <w:tab w:val="left" w:pos="-720"/>
      </w:tabs>
      <w:suppressAutoHyphens/>
      <w:jc w:val="center"/>
      <w:outlineLvl w:val="5"/>
    </w:pPr>
    <w:rPr>
      <w:rFonts w:cs="Times New Roman"/>
      <w:b/>
      <w:spacing w:val="-3"/>
      <w:szCs w:val="20"/>
    </w:rPr>
  </w:style>
  <w:style w:type="paragraph" w:styleId="Heading7">
    <w:name w:val="heading 7"/>
    <w:basedOn w:val="Normal"/>
    <w:next w:val="Normal"/>
    <w:link w:val="Heading7Char"/>
    <w:qFormat/>
    <w:rsid w:val="00EA0124"/>
    <w:pPr>
      <w:keepNext/>
      <w:numPr>
        <w:ilvl w:val="6"/>
        <w:numId w:val="1"/>
      </w:numPr>
      <w:tabs>
        <w:tab w:val="left" w:pos="-720"/>
        <w:tab w:val="left" w:pos="0"/>
        <w:tab w:val="right" w:pos="9000"/>
      </w:tabs>
      <w:suppressAutoHyphens/>
      <w:jc w:val="center"/>
      <w:outlineLvl w:val="6"/>
    </w:pPr>
    <w:rPr>
      <w:rFonts w:cs="Times New Roman"/>
      <w:b/>
      <w:spacing w:val="-3"/>
      <w:szCs w:val="20"/>
    </w:rPr>
  </w:style>
  <w:style w:type="paragraph" w:styleId="Heading8">
    <w:name w:val="heading 8"/>
    <w:basedOn w:val="Normal"/>
    <w:next w:val="Normal"/>
    <w:link w:val="Heading8Char"/>
    <w:qFormat/>
    <w:rsid w:val="00EA0124"/>
    <w:pPr>
      <w:keepNext/>
      <w:numPr>
        <w:ilvl w:val="7"/>
        <w:numId w:val="1"/>
      </w:numPr>
      <w:tabs>
        <w:tab w:val="right" w:pos="9317"/>
        <w:tab w:val="right" w:pos="13950"/>
      </w:tabs>
      <w:ind w:right="-43"/>
      <w:jc w:val="right"/>
      <w:outlineLvl w:val="7"/>
    </w:pPr>
    <w:rPr>
      <w:rFonts w:ascii="Times New Roman" w:hAnsi="Times New Roman" w:cs="Times New Roman"/>
      <w:b/>
      <w:szCs w:val="20"/>
    </w:rPr>
  </w:style>
  <w:style w:type="paragraph" w:styleId="Heading9">
    <w:name w:val="heading 9"/>
    <w:basedOn w:val="Normal"/>
    <w:next w:val="Normal"/>
    <w:link w:val="Heading9Char"/>
    <w:qFormat/>
    <w:rsid w:val="00EA0124"/>
    <w:pPr>
      <w:keepNext/>
      <w:numPr>
        <w:ilvl w:val="8"/>
        <w:numId w:val="1"/>
      </w:numPr>
      <w:tabs>
        <w:tab w:val="right" w:pos="9317"/>
        <w:tab w:val="right" w:pos="13950"/>
      </w:tabs>
      <w:ind w:right="-43"/>
      <w:jc w:val="center"/>
      <w:outlineLvl w:val="8"/>
    </w:pPr>
    <w:rPr>
      <w:rFonts w:ascii="Times New Roman" w:hAnsi="Times New Roman" w:cs="Times New Roman"/>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124"/>
    <w:rPr>
      <w:rFonts w:ascii="Verdana" w:eastAsia="Times New Roman" w:hAnsi="Verdana" w:cs="Times New Roman"/>
      <w:b/>
      <w:color w:val="3366FF"/>
      <w:sz w:val="20"/>
      <w:szCs w:val="20"/>
    </w:rPr>
  </w:style>
  <w:style w:type="character" w:customStyle="1" w:styleId="Heading3Char">
    <w:name w:val="Heading 3 Char"/>
    <w:basedOn w:val="DefaultParagraphFont"/>
    <w:link w:val="Heading3"/>
    <w:rsid w:val="00EA0124"/>
    <w:rPr>
      <w:rFonts w:ascii="Verdana" w:eastAsia="Times New Roman" w:hAnsi="Verdana" w:cs="Times New Roman"/>
      <w:b/>
      <w:sz w:val="20"/>
      <w:szCs w:val="20"/>
    </w:rPr>
  </w:style>
  <w:style w:type="character" w:customStyle="1" w:styleId="Heading4Char">
    <w:name w:val="Heading 4 Char"/>
    <w:basedOn w:val="DefaultParagraphFont"/>
    <w:link w:val="Heading4"/>
    <w:rsid w:val="00EA0124"/>
    <w:rPr>
      <w:rFonts w:ascii="Arial" w:eastAsia="Times New Roman" w:hAnsi="Arial" w:cs="Times New Roman"/>
      <w:b/>
      <w:sz w:val="24"/>
      <w:szCs w:val="20"/>
    </w:rPr>
  </w:style>
  <w:style w:type="character" w:customStyle="1" w:styleId="Heading5Char">
    <w:name w:val="Heading 5 Char"/>
    <w:basedOn w:val="DefaultParagraphFont"/>
    <w:link w:val="Heading5"/>
    <w:rsid w:val="00EA0124"/>
    <w:rPr>
      <w:rFonts w:ascii="Arial" w:eastAsia="Times New Roman" w:hAnsi="Arial" w:cs="Times New Roman"/>
      <w:b/>
      <w:spacing w:val="-3"/>
      <w:sz w:val="24"/>
      <w:szCs w:val="20"/>
    </w:rPr>
  </w:style>
  <w:style w:type="character" w:customStyle="1" w:styleId="Heading6Char">
    <w:name w:val="Heading 6 Char"/>
    <w:basedOn w:val="DefaultParagraphFont"/>
    <w:link w:val="Heading6"/>
    <w:rsid w:val="00EA0124"/>
    <w:rPr>
      <w:rFonts w:ascii="Arial" w:eastAsia="Times New Roman" w:hAnsi="Arial" w:cs="Times New Roman"/>
      <w:b/>
      <w:spacing w:val="-3"/>
      <w:sz w:val="24"/>
      <w:szCs w:val="20"/>
    </w:rPr>
  </w:style>
  <w:style w:type="character" w:customStyle="1" w:styleId="Heading7Char">
    <w:name w:val="Heading 7 Char"/>
    <w:basedOn w:val="DefaultParagraphFont"/>
    <w:link w:val="Heading7"/>
    <w:rsid w:val="00EA0124"/>
    <w:rPr>
      <w:rFonts w:ascii="Arial" w:eastAsia="Times New Roman" w:hAnsi="Arial" w:cs="Times New Roman"/>
      <w:b/>
      <w:spacing w:val="-3"/>
      <w:sz w:val="24"/>
      <w:szCs w:val="20"/>
    </w:rPr>
  </w:style>
  <w:style w:type="character" w:customStyle="1" w:styleId="Heading8Char">
    <w:name w:val="Heading 8 Char"/>
    <w:basedOn w:val="DefaultParagraphFont"/>
    <w:link w:val="Heading8"/>
    <w:rsid w:val="00EA0124"/>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EA0124"/>
    <w:rPr>
      <w:rFonts w:ascii="Times New Roman" w:eastAsia="Times New Roman" w:hAnsi="Times New Roman" w:cs="Times New Roman"/>
      <w:b/>
      <w:sz w:val="32"/>
      <w:szCs w:val="20"/>
    </w:rPr>
  </w:style>
  <w:style w:type="table" w:styleId="TableGrid">
    <w:name w:val="Table Grid"/>
    <w:basedOn w:val="TableNormal"/>
    <w:uiPriority w:val="59"/>
    <w:rsid w:val="00EA0124"/>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0124"/>
    <w:rPr>
      <w:rFonts w:ascii="Tahoma" w:hAnsi="Tahoma" w:cs="Tahoma"/>
      <w:sz w:val="16"/>
      <w:szCs w:val="16"/>
    </w:rPr>
  </w:style>
  <w:style w:type="character" w:customStyle="1" w:styleId="BalloonTextChar">
    <w:name w:val="Balloon Text Char"/>
    <w:basedOn w:val="DefaultParagraphFont"/>
    <w:link w:val="BalloonText"/>
    <w:uiPriority w:val="99"/>
    <w:semiHidden/>
    <w:rsid w:val="00EA012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Word_97_-_2003_Document2.doc"/><Relationship Id="rId5" Type="http://schemas.openxmlformats.org/officeDocument/2006/relationships/settings" Target="settings.xml"/><Relationship Id="rId10" Type="http://schemas.openxmlformats.org/officeDocument/2006/relationships/image" Target="media/image20.wmf"/><Relationship Id="rId4" Type="http://schemas.microsoft.com/office/2007/relationships/stylesWithEffects" Target="stylesWithEffects.xml"/><Relationship Id="rId9" Type="http://schemas.openxmlformats.org/officeDocument/2006/relationships/oleObject" Target="embeddings/Microsoft_Word_97_-_2003_Document1.doc"/><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B4E6D-BE81-4CA6-AF0E-AE65AB9FD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Aston, Neil (Places Directorate - Solihull MBC)</dc:creator>
  <cp:lastModifiedBy>jpaterso</cp:lastModifiedBy>
  <cp:revision>4</cp:revision>
  <dcterms:created xsi:type="dcterms:W3CDTF">2014-12-22T11:58:00Z</dcterms:created>
  <dcterms:modified xsi:type="dcterms:W3CDTF">2014-12-22T12:12:00Z</dcterms:modified>
</cp:coreProperties>
</file>