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C25" w:rsidRPr="00C15C25" w:rsidRDefault="00C15C25" w:rsidP="00C15C25">
      <w:pPr>
        <w:pStyle w:val="Corpsdetexte"/>
        <w:rPr>
          <w:color w:val="auto"/>
        </w:rPr>
      </w:pPr>
      <w:r w:rsidRPr="00C15C25">
        <w:rPr>
          <w:noProof/>
          <w:color w:val="auto"/>
          <w:lang w:eastAsia="fr-FR" w:bidi="ar-SA"/>
        </w:rPr>
        <mc:AlternateContent>
          <mc:Choice Requires="wps">
            <w:drawing>
              <wp:anchor distT="0" distB="0" distL="0" distR="0" simplePos="0" relativeHeight="251659264" behindDoc="0" locked="0" layoutInCell="1" allowOverlap="1" wp14:anchorId="1629AFDE" wp14:editId="584C91A4">
                <wp:simplePos x="0" y="0"/>
                <wp:positionH relativeFrom="margin">
                  <wp:posOffset>58420</wp:posOffset>
                </wp:positionH>
                <wp:positionV relativeFrom="page">
                  <wp:posOffset>2675890</wp:posOffset>
                </wp:positionV>
                <wp:extent cx="3620135" cy="675640"/>
                <wp:effectExtent l="0" t="0" r="0" b="0"/>
                <wp:wrapTopAndBottom/>
                <wp:docPr id="31" name="Cadre3"/>
                <wp:cNvGraphicFramePr/>
                <a:graphic xmlns:a="http://schemas.openxmlformats.org/drawingml/2006/main">
                  <a:graphicData uri="http://schemas.microsoft.com/office/word/2010/wordprocessingShape">
                    <wps:wsp>
                      <wps:cNvSpPr txBox="1"/>
                      <wps:spPr>
                        <a:xfrm>
                          <a:off x="0" y="0"/>
                          <a:ext cx="3620135" cy="675640"/>
                        </a:xfrm>
                        <a:prstGeom prst="rect">
                          <a:avLst/>
                        </a:prstGeom>
                      </wps:spPr>
                      <wps:txbx>
                        <w:txbxContent>
                          <w:p w:rsidR="00C15C25" w:rsidRPr="00C15C25" w:rsidRDefault="00C15C25" w:rsidP="00C15C25">
                            <w:pPr>
                              <w:rPr>
                                <w:b/>
                                <w:bCs/>
                                <w:color w:val="auto"/>
                                <w:sz w:val="22"/>
                              </w:rPr>
                            </w:pPr>
                            <w:r w:rsidRPr="00C15C25">
                              <w:rPr>
                                <w:b/>
                                <w:bCs/>
                                <w:color w:val="auto"/>
                                <w:sz w:val="22"/>
                              </w:rPr>
                              <w:t>Hugo SENGES</w:t>
                            </w:r>
                          </w:p>
                          <w:p w:rsidR="00C15C25" w:rsidRDefault="00C15C25" w:rsidP="00C15C25">
                            <w:r w:rsidRPr="00C15C25">
                              <w:rPr>
                                <w:b/>
                                <w:bCs/>
                                <w:color w:val="auto"/>
                                <w:sz w:val="22"/>
                              </w:rPr>
                              <w:t>SOAD</w:t>
                            </w:r>
                            <w:r w:rsidRPr="00C15C25">
                              <w:rPr>
                                <w:color w:val="auto"/>
                                <w:sz w:val="22"/>
                              </w:rPr>
                              <w:br/>
                              <w:t>Variables numériques en appui aux métiers de L’OFB</w:t>
                            </w:r>
                            <w:r w:rsidRPr="00126E09">
                              <w:br/>
                            </w:r>
                          </w:p>
                        </w:txbxContent>
                      </wps:txbx>
                      <wps:bodyPr wrap="square" lIns="0" tIns="0" rIns="0" bIns="0" anchor="t">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adre3" o:spid="_x0000_s1026" type="#_x0000_t202" style="position:absolute;margin-left:4.6pt;margin-top:210.7pt;width:285.05pt;height:53.2pt;z-index:251659264;visibility:visible;mso-wrap-style:square;mso-width-percent:0;mso-wrap-distance-left:0;mso-wrap-distance-top:0;mso-wrap-distance-right:0;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" filled="f" stroked="f">
                <v:textbox inset="0,0,0,0">
                  <w:txbxContent>
                    <w:p w:rsidR="00C15C25" w:rsidRPr="00C15C25" w:rsidRDefault="00C15C25" w:rsidP="00C15C25">
                      <w:pPr>
                        <w:rPr>
                          <w:b/>
                          <w:bCs/>
                          <w:color w:val="auto"/>
                          <w:sz w:val="22"/>
                        </w:rPr>
                      </w:pPr>
                      <w:r w:rsidRPr="00C15C25">
                        <w:rPr>
                          <w:b/>
                          <w:bCs/>
                          <w:color w:val="auto"/>
                          <w:sz w:val="22"/>
                        </w:rPr>
                        <w:t>Hugo SENGES</w:t>
                      </w:r>
                    </w:p>
                    <w:p w:rsidR="00C15C25" w:rsidRDefault="00C15C25" w:rsidP="00C15C25">
                      <w:r w:rsidRPr="00C15C25">
                        <w:rPr>
                          <w:b/>
                          <w:bCs/>
                          <w:color w:val="auto"/>
                          <w:sz w:val="22"/>
                        </w:rPr>
                        <w:t>SOAD</w:t>
                      </w:r>
                      <w:r w:rsidRPr="00C15C25">
                        <w:rPr>
                          <w:color w:val="auto"/>
                          <w:sz w:val="22"/>
                        </w:rPr>
                        <w:br/>
                        <w:t>Variables numériques en appui aux métiers de L’OFB</w:t>
                      </w:r>
                      <w:r w:rsidRPr="00126E09">
                        <w:br/>
                      </w:r>
                    </w:p>
                  </w:txbxContent>
                </v:textbox>
                <w10:wrap type="topAndBottom" anchorx="margin" anchory="page"/>
              </v:shape>
            </w:pict>
          </mc:Fallback>
        </mc:AlternateContent>
      </w:r>
      <w:r w:rsidRPr="00C15C25">
        <w:rPr>
          <w:noProof/>
          <w:color w:val="auto"/>
          <w:lang w:eastAsia="fr-FR" w:bidi="ar-SA"/>
        </w:rPr>
        <mc:AlternateContent>
          <mc:Choice Requires="wps">
            <w:drawing>
              <wp:anchor distT="0" distB="0" distL="0" distR="0" simplePos="0" relativeHeight="251660288" behindDoc="0" locked="0" layoutInCell="1" allowOverlap="1" wp14:anchorId="2B4C7F5A" wp14:editId="30BE78B6">
                <wp:simplePos x="0" y="0"/>
                <wp:positionH relativeFrom="page">
                  <wp:posOffset>4673600</wp:posOffset>
                </wp:positionH>
                <wp:positionV relativeFrom="page">
                  <wp:posOffset>2625090</wp:posOffset>
                </wp:positionV>
                <wp:extent cx="2636520" cy="380365"/>
                <wp:effectExtent l="0" t="0" r="0" b="0"/>
                <wp:wrapTopAndBottom/>
                <wp:docPr id="29" name="Cadre1"/>
                <wp:cNvGraphicFramePr/>
                <a:graphic xmlns:a="http://schemas.openxmlformats.org/drawingml/2006/main">
                  <a:graphicData uri="http://schemas.microsoft.com/office/word/2010/wordprocessingShape">
                    <wps:wsp>
                      <wps:cNvSpPr txBox="1"/>
                      <wps:spPr>
                        <a:xfrm>
                          <a:off x="0" y="0"/>
                          <a:ext cx="2636520" cy="380365"/>
                        </a:xfrm>
                        <a:prstGeom prst="rect">
                          <a:avLst/>
                        </a:prstGeom>
                      </wps:spPr>
                      <wps:txbx>
                        <w:txbxContent>
                          <w:p w:rsidR="00C15C25" w:rsidRPr="00C15C25" w:rsidRDefault="0073595D" w:rsidP="00C15C25">
                            <w:pPr>
                              <w:rPr>
                                <w:color w:val="auto"/>
                                <w:sz w:val="22"/>
                              </w:rPr>
                            </w:pPr>
                            <w:r>
                              <w:rPr>
                                <w:color w:val="auto"/>
                                <w:sz w:val="22"/>
                              </w:rPr>
                              <w:t>Vincennes, le 25</w:t>
                            </w:r>
                            <w:r w:rsidR="00C15C25" w:rsidRPr="00C15C25">
                              <w:rPr>
                                <w:color w:val="auto"/>
                                <w:sz w:val="22"/>
                              </w:rPr>
                              <w:t xml:space="preserve"> Octobre 2021</w:t>
                            </w:r>
                          </w:p>
                        </w:txbxContent>
                      </wps:txbx>
                      <wps:bodyPr lIns="0" tIns="0" rIns="0" bIns="0" anchor="t">
                        <a:noAutofit/>
                      </wps:bodyPr>
                    </wps:wsp>
                  </a:graphicData>
                </a:graphic>
              </wp:anchor>
            </w:drawing>
          </mc:Choice>
          <mc:Fallback>
            <w:pict>
              <v:shape id="Cadre1" o:spid="_x0000_s1027" type="#_x0000_t202" style="position:absolute;margin-left:368pt;margin-top:206.7pt;width:207.6pt;height:29.9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" filled="f" stroked="f">
                <v:textbox inset="0,0,0,0">
                  <w:txbxContent>
                    <w:p w:rsidR="00C15C25" w:rsidRPr="00C15C25" w:rsidRDefault="0073595D" w:rsidP="00C15C25">
                      <w:pPr>
                        <w:rPr>
                          <w:color w:val="auto"/>
                          <w:sz w:val="22"/>
                        </w:rPr>
                      </w:pPr>
                      <w:r>
                        <w:rPr>
                          <w:color w:val="auto"/>
                          <w:sz w:val="22"/>
                        </w:rPr>
                        <w:t>Vincennes, le 25</w:t>
                      </w:r>
                      <w:r w:rsidR="00C15C25" w:rsidRPr="00C15C25">
                        <w:rPr>
                          <w:color w:val="auto"/>
                          <w:sz w:val="22"/>
                        </w:rPr>
                        <w:t xml:space="preserve"> Octobre 2021</w:t>
                      </w:r>
                    </w:p>
                  </w:txbxContent>
                </v:textbox>
                <w10:wrap type="topAndBottom" anchorx="page" anchory="page"/>
              </v:shape>
            </w:pict>
          </mc:Fallback>
        </mc:AlternateContent>
      </w:r>
      <w:r w:rsidR="005B08ED" w:rsidRPr="00C15C25">
        <w:rPr>
          <w:noProof/>
          <w:color w:val="auto"/>
          <w:lang w:eastAsia="fr-FR" w:bidi="ar-SA"/>
        </w:rPr>
        <mc:AlternateContent>
          <mc:Choice Requires="wps">
            <w:drawing>
              <wp:anchor distT="0" distB="0" distL="0" distR="0" simplePos="0" relativeHeight="3" behindDoc="0" locked="0" layoutInCell="1" allowOverlap="1" wp14:anchorId="5BA4EB51" wp14:editId="60E47331">
                <wp:simplePos x="0" y="0"/>
                <wp:positionH relativeFrom="page">
                  <wp:posOffset>3780155</wp:posOffset>
                </wp:positionH>
                <wp:positionV relativeFrom="page">
                  <wp:posOffset>1670050</wp:posOffset>
                </wp:positionV>
                <wp:extent cx="2612390" cy="972185"/>
                <wp:effectExtent l="0" t="0" r="0" b="0"/>
                <wp:wrapTopAndBottom/>
                <wp:docPr id="4" name="adresse"/>
                <wp:cNvGraphicFramePr/>
                <a:graphic xmlns:a="http://schemas.openxmlformats.org/drawingml/2006/main">
                  <a:graphicData uri="http://schemas.microsoft.com/office/word/2010/wordprocessingShape">
                    <wps:wsp>
                      <wps:cNvSpPr txBox="1"/>
                      <wps:spPr>
                        <a:xfrm>
                          <a:off x="0" y="0"/>
                          <a:ext cx="2612390" cy="972185"/>
                        </a:xfrm>
                        <a:prstGeom prst="rect">
                          <a:avLst/>
                        </a:prstGeom>
                      </wps:spPr>
                      <wps:txbx>
                        <w:txbxContent>
                          <w:p w:rsidR="00482FA3" w:rsidRPr="00C15C25" w:rsidRDefault="0073595D">
                            <w:pPr>
                              <w:jc w:val="right"/>
                              <w:rPr>
                                <w:color w:val="auto"/>
                                <w:sz w:val="22"/>
                              </w:rPr>
                            </w:pPr>
                            <w:r>
                              <w:rPr>
                                <w:color w:val="auto"/>
                                <w:sz w:val="22"/>
                              </w:rPr>
                              <w:t xml:space="preserve">Josselin </w:t>
                            </w:r>
                            <w:proofErr w:type="gramStart"/>
                            <w:r>
                              <w:rPr>
                                <w:color w:val="auto"/>
                                <w:sz w:val="22"/>
                              </w:rPr>
                              <w:t xml:space="preserve">Barry </w:t>
                            </w:r>
                            <w:r w:rsidR="00C15C25" w:rsidRPr="00C15C25">
                              <w:rPr>
                                <w:color w:val="auto"/>
                                <w:sz w:val="22"/>
                              </w:rPr>
                              <w:t>,</w:t>
                            </w:r>
                            <w:proofErr w:type="gramEnd"/>
                          </w:p>
                          <w:p w:rsidR="00482FA3" w:rsidRPr="00C15C25" w:rsidRDefault="0073595D">
                            <w:pPr>
                              <w:jc w:val="right"/>
                              <w:rPr>
                                <w:color w:val="auto"/>
                                <w:sz w:val="22"/>
                              </w:rPr>
                            </w:pPr>
                            <w:r>
                              <w:rPr>
                                <w:color w:val="auto"/>
                                <w:sz w:val="22"/>
                              </w:rPr>
                              <w:t>Technicien supérieur à l’OFB</w:t>
                            </w:r>
                          </w:p>
                        </w:txbxContent>
                      </wps:txbx>
                      <wps:bodyPr lIns="0" tIns="0" rIns="0" bIns="0" anchor="t">
                        <a:noAutofit/>
                      </wps:bodyPr>
                    </wps:wsp>
                  </a:graphicData>
                </a:graphic>
              </wp:anchor>
            </w:drawing>
          </mc:Choice>
          <mc:Fallback>
            <w:pict>
              <v:shape id="adresse" o:spid="_x0000_s1028" type="#_x0000_t202" style="position:absolute;margin-left:297.65pt;margin-top:131.5pt;width:205.7pt;height:76.55pt;z-index:3;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" filled="f" stroked="f">
                <v:textbox inset="0,0,0,0">
                  <w:txbxContent>
                    <w:p w:rsidR="00482FA3" w:rsidRPr="00C15C25" w:rsidRDefault="0073595D">
                      <w:pPr>
                        <w:jc w:val="right"/>
                        <w:rPr>
                          <w:color w:val="auto"/>
                          <w:sz w:val="22"/>
                        </w:rPr>
                      </w:pPr>
                      <w:r>
                        <w:rPr>
                          <w:color w:val="auto"/>
                          <w:sz w:val="22"/>
                        </w:rPr>
                        <w:t xml:space="preserve">Josselin </w:t>
                      </w:r>
                      <w:proofErr w:type="gramStart"/>
                      <w:r>
                        <w:rPr>
                          <w:color w:val="auto"/>
                          <w:sz w:val="22"/>
                        </w:rPr>
                        <w:t xml:space="preserve">Barry </w:t>
                      </w:r>
                      <w:r w:rsidR="00C15C25" w:rsidRPr="00C15C25">
                        <w:rPr>
                          <w:color w:val="auto"/>
                          <w:sz w:val="22"/>
                        </w:rPr>
                        <w:t>,</w:t>
                      </w:r>
                      <w:proofErr w:type="gramEnd"/>
                    </w:p>
                    <w:p w:rsidR="00482FA3" w:rsidRPr="00C15C25" w:rsidRDefault="0073595D">
                      <w:pPr>
                        <w:jc w:val="right"/>
                        <w:rPr>
                          <w:color w:val="auto"/>
                          <w:sz w:val="22"/>
                        </w:rPr>
                      </w:pPr>
                      <w:r>
                        <w:rPr>
                          <w:color w:val="auto"/>
                          <w:sz w:val="22"/>
                        </w:rPr>
                        <w:t>Technicien supérieur à l’OFB</w:t>
                      </w:r>
                    </w:p>
                  </w:txbxContent>
                </v:textbox>
                <w10:wrap type="topAndBottom" anchorx="page" anchory="page"/>
              </v:shape>
            </w:pict>
          </mc:Fallback>
        </mc:AlternateContent>
      </w:r>
      <w:r w:rsidRPr="00C15C25">
        <w:rPr>
          <w:color w:val="auto"/>
        </w:rPr>
        <w:tab/>
      </w:r>
    </w:p>
    <w:p w:rsidR="00C15C25" w:rsidRPr="007519DD" w:rsidRDefault="00C15C25" w:rsidP="007519DD">
      <w:pPr>
        <w:pStyle w:val="Titre"/>
        <w:rPr>
          <w:color w:val="auto"/>
        </w:rPr>
      </w:pPr>
      <w:r w:rsidRPr="00C15C25">
        <w:rPr>
          <w:color w:val="auto"/>
        </w:rPr>
        <w:t>Constitution d’un</w:t>
      </w:r>
      <w:r w:rsidR="0073595D">
        <w:rPr>
          <w:color w:val="auto"/>
        </w:rPr>
        <w:t>e</w:t>
      </w:r>
      <w:r w:rsidRPr="00C15C25">
        <w:rPr>
          <w:color w:val="auto"/>
        </w:rPr>
        <w:t xml:space="preserve"> </w:t>
      </w:r>
      <w:r w:rsidR="0073595D">
        <w:rPr>
          <w:color w:val="auto"/>
        </w:rPr>
        <w:t>donnée d’entraînement basée sur l’observation terrain à destination de la télédétection des CIPAN</w:t>
      </w:r>
    </w:p>
    <w:p w:rsidR="00C15C25" w:rsidRDefault="00C15C25" w:rsidP="00C15C25">
      <w:pPr>
        <w:rPr>
          <w:color w:val="auto"/>
        </w:rPr>
      </w:pPr>
    </w:p>
    <w:p w:rsidR="007519DD" w:rsidRPr="007519DD" w:rsidRDefault="007519DD" w:rsidP="007519DD">
      <w:pPr>
        <w:jc w:val="both"/>
        <w:rPr>
          <w:color w:val="auto"/>
          <w:sz w:val="22"/>
        </w:rPr>
      </w:pPr>
      <w:r w:rsidRPr="007519DD">
        <w:rPr>
          <w:color w:val="auto"/>
          <w:sz w:val="22"/>
        </w:rPr>
        <w:t>Il</w:t>
      </w:r>
      <w:r>
        <w:rPr>
          <w:color w:val="auto"/>
          <w:sz w:val="22"/>
        </w:rPr>
        <w:t xml:space="preserve"> est question dans cette note du cadrage et de la définition d’une mission d’acquisition de données de vérité-terrain, dans le cadre d’un projet plus large de développement de nouvelles chaînes algorithmiques en télédétection sur la thématique des CIPAN. L’objet principal est la capitalisation des expériences précédentes, l’identification des contraintes liées à l’environnement de développement et les bonnes pratiques correspondantes à adopter.</w:t>
      </w:r>
      <w:r w:rsidRPr="007519DD">
        <w:rPr>
          <w:color w:val="auto"/>
          <w:sz w:val="22"/>
        </w:rPr>
        <w:t xml:space="preserve"> </w:t>
      </w:r>
    </w:p>
    <w:p w:rsidR="007519DD" w:rsidRPr="00C15C25" w:rsidRDefault="007519DD" w:rsidP="00C15C25">
      <w:pPr>
        <w:rPr>
          <w:color w:val="auto"/>
        </w:rPr>
      </w:pPr>
    </w:p>
    <w:p w:rsidR="00C15C25" w:rsidRPr="00C15C25" w:rsidRDefault="00C15C25" w:rsidP="00C15C25">
      <w:pPr>
        <w:pStyle w:val="Sous-titre"/>
        <w:numPr>
          <w:ilvl w:val="0"/>
          <w:numId w:val="2"/>
        </w:numPr>
        <w:tabs>
          <w:tab w:val="left" w:pos="1021"/>
        </w:tabs>
        <w:ind w:right="991"/>
      </w:pPr>
      <w:r w:rsidRPr="00C15C25">
        <w:t>Contexte et objectif</w:t>
      </w:r>
    </w:p>
    <w:p w:rsidR="00C15C25" w:rsidRPr="00C15C25" w:rsidRDefault="00C15C25" w:rsidP="00C15C25">
      <w:pPr>
        <w:rPr>
          <w:color w:val="auto"/>
        </w:rPr>
      </w:pPr>
    </w:p>
    <w:p w:rsidR="00C15C25" w:rsidRPr="00C15C25" w:rsidRDefault="00C15C25" w:rsidP="007519DD">
      <w:pPr>
        <w:ind w:right="-2" w:firstLine="454"/>
        <w:jc w:val="both"/>
        <w:rPr>
          <w:color w:val="auto"/>
          <w:sz w:val="22"/>
        </w:rPr>
      </w:pPr>
      <w:r w:rsidRPr="00C15C25">
        <w:rPr>
          <w:color w:val="auto"/>
          <w:sz w:val="22"/>
        </w:rPr>
        <w:t>Dans le cadre de l’activité d’ajout d’une chaîne de traitement dans le package INRAE SISPPEO (dédié à la télédétection des CIPAN</w:t>
      </w:r>
      <w:r w:rsidRPr="00C15C25">
        <w:rPr>
          <w:rStyle w:val="Appelnotedebasdep"/>
          <w:color w:val="auto"/>
          <w:sz w:val="22"/>
        </w:rPr>
        <w:footnoteReference w:id="1"/>
      </w:r>
      <w:r w:rsidRPr="00C15C25">
        <w:rPr>
          <w:color w:val="auto"/>
          <w:sz w:val="22"/>
        </w:rPr>
        <w:t xml:space="preserve">), il est nécessaire de disposer d’une </w:t>
      </w:r>
      <w:r w:rsidR="008669F1">
        <w:rPr>
          <w:color w:val="auto"/>
          <w:sz w:val="22"/>
        </w:rPr>
        <w:t>vérité-terrain actualisée</w:t>
      </w:r>
      <w:r w:rsidRPr="00C15C25">
        <w:rPr>
          <w:color w:val="auto"/>
          <w:sz w:val="22"/>
        </w:rPr>
        <w:t xml:space="preserve">. Celle-ci prendra la forme d’une donnée </w:t>
      </w:r>
      <w:r w:rsidR="008669F1">
        <w:rPr>
          <w:color w:val="auto"/>
          <w:sz w:val="22"/>
        </w:rPr>
        <w:t xml:space="preserve"> sémantique, issue d’un repérage sur le terrain dans les départements choisis (Ille-et-Vilaine et Morbihan)</w:t>
      </w:r>
      <w:r w:rsidR="00AA4132">
        <w:rPr>
          <w:color w:val="auto"/>
          <w:sz w:val="22"/>
        </w:rPr>
        <w:t>. Elle devra caractériser</w:t>
      </w:r>
      <w:r w:rsidR="008669F1">
        <w:rPr>
          <w:color w:val="auto"/>
          <w:sz w:val="22"/>
        </w:rPr>
        <w:t xml:space="preserve"> le type de couverture du sol ainsi que la qualité de celle-ci, et être rattachable à la maille d’entraînement, donnée </w:t>
      </w:r>
      <w:r w:rsidRPr="00C15C25">
        <w:rPr>
          <w:color w:val="auto"/>
          <w:sz w:val="22"/>
        </w:rPr>
        <w:t>vectorielle dérivée des données annualisées « Registre Parcellaire Graphique » mis à disposition publiquement par l’IGN</w:t>
      </w:r>
      <w:r w:rsidRPr="00C15C25">
        <w:rPr>
          <w:rStyle w:val="Appelnotedebasdep"/>
          <w:color w:val="auto"/>
          <w:sz w:val="22"/>
        </w:rPr>
        <w:footnoteReference w:id="2"/>
      </w:r>
      <w:r w:rsidRPr="00C15C25">
        <w:rPr>
          <w:color w:val="auto"/>
          <w:sz w:val="22"/>
        </w:rPr>
        <w:t xml:space="preserve"> (</w:t>
      </w:r>
      <w:proofErr w:type="spellStart"/>
      <w:r w:rsidRPr="00C15C25">
        <w:rPr>
          <w:color w:val="auto"/>
          <w:sz w:val="22"/>
        </w:rPr>
        <w:t>GeoServices</w:t>
      </w:r>
      <w:proofErr w:type="spellEnd"/>
      <w:r w:rsidRPr="00C15C25">
        <w:rPr>
          <w:color w:val="auto"/>
          <w:sz w:val="22"/>
        </w:rPr>
        <w:t xml:space="preserve">). Se basant sur l’AMI précédent (Intelligence Artificielle en appui à l’élaboration des plans de contrôle Eau &amp; Nature), l’AMI « Variables Numériques » s’inscrit dans un environnement de développement établi. Ainsi les méthodes de collecte, tuilage et traitement des images Sentinel sont déjà implémentées et validées au sein du package python SISSPEO, hébergé sur les serveurs de l’INRAE. C’est dans ce cadre qu’il s’agit de développer une nouvelle branche de ce projet, qui permette l’élaboration d’un outil statistique d’aide à la décision sur la thématique des CIPAN. Cette activité se rapporte à l’objectif 1.1, inclue dans le document </w:t>
      </w:r>
      <w:r w:rsidRPr="00C15C25">
        <w:rPr>
          <w:color w:val="auto"/>
          <w:sz w:val="22"/>
          <w:u w:val="single"/>
        </w:rPr>
        <w:t>Descriptif de phase 1</w:t>
      </w:r>
      <w:r w:rsidRPr="00C15C25">
        <w:rPr>
          <w:color w:val="auto"/>
          <w:sz w:val="22"/>
        </w:rPr>
        <w:t xml:space="preserve"> du projet : </w:t>
      </w:r>
    </w:p>
    <w:p w:rsidR="00C15C25" w:rsidRDefault="00C15C25" w:rsidP="00C15C25">
      <w:pPr>
        <w:ind w:right="707" w:firstLine="454"/>
        <w:jc w:val="both"/>
        <w:rPr>
          <w:color w:val="auto"/>
          <w:sz w:val="22"/>
        </w:rPr>
      </w:pPr>
    </w:p>
    <w:p w:rsidR="008669F1" w:rsidRPr="00C15C25" w:rsidRDefault="008669F1" w:rsidP="00C15C25">
      <w:pPr>
        <w:ind w:right="707" w:firstLine="454"/>
        <w:jc w:val="both"/>
        <w:rPr>
          <w:color w:val="auto"/>
          <w:sz w:val="22"/>
        </w:rPr>
      </w:pPr>
    </w:p>
    <w:p w:rsidR="00C15C25" w:rsidRPr="00AC60A9" w:rsidRDefault="00C15C25" w:rsidP="008669F1">
      <w:pPr>
        <w:tabs>
          <w:tab w:val="left" w:pos="7513"/>
          <w:tab w:val="left" w:pos="7655"/>
        </w:tabs>
        <w:ind w:left="567" w:right="1557"/>
        <w:jc w:val="both"/>
        <w:rPr>
          <w:b/>
          <w:bCs/>
          <w:color w:val="auto"/>
          <w:sz w:val="22"/>
        </w:rPr>
      </w:pPr>
      <w:r w:rsidRPr="00C15C25">
        <w:rPr>
          <w:b/>
          <w:bCs/>
          <w:color w:val="auto"/>
          <w:sz w:val="22"/>
        </w:rPr>
        <w:t>Objectif 1.1. Mise à disposition d’une API de résultats statistiques aux mailles de</w:t>
      </w:r>
      <w:r w:rsidR="00AC60A9">
        <w:rPr>
          <w:b/>
          <w:bCs/>
          <w:color w:val="auto"/>
          <w:sz w:val="22"/>
        </w:rPr>
        <w:t xml:space="preserve"> </w:t>
      </w:r>
      <w:r w:rsidRPr="00C15C25">
        <w:rPr>
          <w:b/>
          <w:bCs/>
          <w:color w:val="auto"/>
          <w:sz w:val="22"/>
        </w:rPr>
        <w:t>référence INPN, sur la thématique du type de couverture de sol sur les parcelles</w:t>
      </w:r>
      <w:r w:rsidR="00AC60A9">
        <w:rPr>
          <w:b/>
          <w:bCs/>
          <w:color w:val="auto"/>
          <w:sz w:val="22"/>
        </w:rPr>
        <w:t xml:space="preserve"> </w:t>
      </w:r>
      <w:r w:rsidRPr="00C15C25">
        <w:rPr>
          <w:b/>
          <w:bCs/>
          <w:color w:val="auto"/>
          <w:sz w:val="22"/>
        </w:rPr>
        <w:t xml:space="preserve">agricoles mentionnées au RPG. </w:t>
      </w:r>
      <w:r w:rsidR="00AC60A9">
        <w:rPr>
          <w:b/>
          <w:bCs/>
          <w:color w:val="auto"/>
          <w:sz w:val="22"/>
        </w:rPr>
        <w:tab/>
      </w:r>
    </w:p>
    <w:p w:rsidR="00C15C25" w:rsidRDefault="00C15C25" w:rsidP="008669F1">
      <w:pPr>
        <w:tabs>
          <w:tab w:val="left" w:pos="7513"/>
          <w:tab w:val="left" w:pos="7655"/>
        </w:tabs>
        <w:ind w:left="567" w:right="1557" w:firstLine="454"/>
        <w:jc w:val="both"/>
        <w:rPr>
          <w:b/>
          <w:bCs/>
          <w:color w:val="auto"/>
          <w:sz w:val="22"/>
        </w:rPr>
      </w:pPr>
    </w:p>
    <w:p w:rsidR="008669F1" w:rsidRDefault="008669F1" w:rsidP="008669F1">
      <w:pPr>
        <w:tabs>
          <w:tab w:val="left" w:pos="7513"/>
          <w:tab w:val="left" w:pos="7655"/>
        </w:tabs>
        <w:ind w:left="567" w:right="1557" w:firstLine="454"/>
        <w:jc w:val="both"/>
        <w:rPr>
          <w:b/>
          <w:bCs/>
          <w:color w:val="auto"/>
          <w:sz w:val="22"/>
        </w:rPr>
      </w:pPr>
    </w:p>
    <w:p w:rsidR="008669F1" w:rsidRDefault="008669F1" w:rsidP="008669F1">
      <w:pPr>
        <w:tabs>
          <w:tab w:val="left" w:pos="7513"/>
          <w:tab w:val="left" w:pos="7655"/>
        </w:tabs>
        <w:ind w:left="567" w:right="1557" w:firstLine="454"/>
        <w:jc w:val="both"/>
        <w:rPr>
          <w:b/>
          <w:bCs/>
          <w:color w:val="auto"/>
          <w:sz w:val="22"/>
        </w:rPr>
      </w:pPr>
    </w:p>
    <w:p w:rsidR="008669F1" w:rsidRDefault="008669F1" w:rsidP="008669F1">
      <w:pPr>
        <w:tabs>
          <w:tab w:val="left" w:pos="7513"/>
          <w:tab w:val="left" w:pos="7655"/>
        </w:tabs>
        <w:ind w:left="567" w:right="1557" w:firstLine="454"/>
        <w:jc w:val="both"/>
        <w:rPr>
          <w:b/>
          <w:bCs/>
          <w:color w:val="auto"/>
          <w:sz w:val="22"/>
        </w:rPr>
      </w:pPr>
    </w:p>
    <w:p w:rsidR="008669F1" w:rsidRPr="00C15C25" w:rsidRDefault="008669F1" w:rsidP="008669F1">
      <w:pPr>
        <w:tabs>
          <w:tab w:val="left" w:pos="7513"/>
          <w:tab w:val="left" w:pos="7655"/>
        </w:tabs>
        <w:ind w:left="567" w:right="1557" w:firstLine="454"/>
        <w:jc w:val="both"/>
        <w:rPr>
          <w:b/>
          <w:bCs/>
          <w:color w:val="auto"/>
          <w:sz w:val="22"/>
        </w:rPr>
      </w:pPr>
    </w:p>
    <w:p w:rsidR="00C15C25" w:rsidRPr="008669F1" w:rsidRDefault="00C15C25" w:rsidP="008669F1">
      <w:pPr>
        <w:tabs>
          <w:tab w:val="left" w:pos="7513"/>
          <w:tab w:val="left" w:pos="7655"/>
        </w:tabs>
        <w:ind w:left="567" w:right="1557" w:firstLine="454"/>
        <w:jc w:val="both"/>
        <w:rPr>
          <w:b/>
          <w:bCs/>
          <w:color w:val="auto"/>
          <w:sz w:val="22"/>
        </w:rPr>
      </w:pPr>
      <w:r w:rsidRPr="00C15C25">
        <w:rPr>
          <w:b/>
          <w:bCs/>
          <w:color w:val="auto"/>
          <w:sz w:val="22"/>
        </w:rPr>
        <w:t>1.1.1. Accès aux images satellitaires et préparation des données issues</w:t>
      </w:r>
      <w:r w:rsidR="008669F1">
        <w:rPr>
          <w:b/>
          <w:bCs/>
          <w:color w:val="auto"/>
          <w:sz w:val="22"/>
        </w:rPr>
        <w:t xml:space="preserve"> </w:t>
      </w:r>
      <w:r w:rsidRPr="00C15C25">
        <w:rPr>
          <w:b/>
          <w:bCs/>
          <w:color w:val="auto"/>
          <w:sz w:val="22"/>
        </w:rPr>
        <w:t xml:space="preserve">du registre parcellaire graphique </w:t>
      </w:r>
      <w:r w:rsidRPr="00C15C25">
        <w:rPr>
          <w:color w:val="auto"/>
          <w:sz w:val="22"/>
        </w:rPr>
        <w:t xml:space="preserve">: </w:t>
      </w:r>
    </w:p>
    <w:p w:rsidR="008669F1" w:rsidRPr="00C15C25" w:rsidRDefault="008669F1" w:rsidP="008669F1">
      <w:pPr>
        <w:tabs>
          <w:tab w:val="left" w:pos="7513"/>
          <w:tab w:val="left" w:pos="7655"/>
        </w:tabs>
        <w:ind w:left="567" w:right="1557" w:firstLine="454"/>
        <w:jc w:val="both"/>
        <w:rPr>
          <w:color w:val="auto"/>
          <w:sz w:val="22"/>
        </w:rPr>
      </w:pPr>
    </w:p>
    <w:p w:rsidR="00C15C25" w:rsidRPr="00C15C25" w:rsidRDefault="00AC60A9" w:rsidP="008669F1">
      <w:pPr>
        <w:tabs>
          <w:tab w:val="left" w:pos="7513"/>
          <w:tab w:val="left" w:pos="7655"/>
        </w:tabs>
        <w:ind w:left="567" w:right="1557"/>
        <w:jc w:val="both"/>
        <w:rPr>
          <w:i/>
          <w:iCs/>
          <w:color w:val="auto"/>
          <w:sz w:val="22"/>
        </w:rPr>
      </w:pPr>
      <w:r w:rsidRPr="00C15C25">
        <w:rPr>
          <w:color w:val="auto"/>
          <w:sz w:val="22"/>
        </w:rPr>
        <w:t>Correspond</w:t>
      </w:r>
      <w:r w:rsidR="00C15C25" w:rsidRPr="00C15C25">
        <w:rPr>
          <w:color w:val="auto"/>
          <w:sz w:val="22"/>
        </w:rPr>
        <w:t xml:space="preserve"> à la première étape, mais aussi à la préparation des données nécessaires aux étapes suivantes (notamment RPG). Ce sous-objectif poursuit la collecte des données initiée lors de la </w:t>
      </w:r>
      <w:r w:rsidR="00C15C25" w:rsidRPr="00C15C25">
        <w:rPr>
          <w:i/>
          <w:iCs/>
          <w:color w:val="auto"/>
          <w:sz w:val="22"/>
        </w:rPr>
        <w:t>phase 0</w:t>
      </w:r>
      <w:r w:rsidR="00C15C25" w:rsidRPr="00C15C25">
        <w:rPr>
          <w:color w:val="auto"/>
          <w:sz w:val="22"/>
        </w:rPr>
        <w:t xml:space="preserve">. </w:t>
      </w:r>
      <w:r w:rsidR="00C15C25" w:rsidRPr="00C15C25">
        <w:rPr>
          <w:i/>
          <w:iCs/>
          <w:color w:val="auto"/>
          <w:sz w:val="22"/>
        </w:rPr>
        <w:t>Cette phase est d’autant plus importante que les sources d’images satellitaires sont appelées à évoluer, en prenant en compte les améliorations attendues (nouveaux programmes satellitaires) mais aussi la durée de vie (7 ans et 3 mois) attendue des satellites Sentinel.</w:t>
      </w:r>
    </w:p>
    <w:p w:rsidR="00C15C25" w:rsidRPr="00C15C25" w:rsidRDefault="00C15C25" w:rsidP="008669F1">
      <w:pPr>
        <w:tabs>
          <w:tab w:val="left" w:pos="7513"/>
          <w:tab w:val="left" w:pos="7655"/>
        </w:tabs>
        <w:ind w:left="567" w:right="1557"/>
        <w:jc w:val="both"/>
        <w:rPr>
          <w:color w:val="auto"/>
          <w:sz w:val="22"/>
        </w:rPr>
      </w:pPr>
    </w:p>
    <w:p w:rsidR="00C15C25" w:rsidRPr="008669F1" w:rsidRDefault="00C15C25" w:rsidP="008669F1">
      <w:pPr>
        <w:tabs>
          <w:tab w:val="left" w:pos="7513"/>
          <w:tab w:val="left" w:pos="7655"/>
        </w:tabs>
        <w:ind w:left="567" w:right="1557" w:firstLine="454"/>
        <w:jc w:val="both"/>
        <w:rPr>
          <w:b/>
          <w:bCs/>
          <w:color w:val="auto"/>
          <w:sz w:val="22"/>
        </w:rPr>
      </w:pPr>
      <w:r w:rsidRPr="00C15C25">
        <w:rPr>
          <w:b/>
          <w:bCs/>
          <w:color w:val="auto"/>
          <w:sz w:val="22"/>
        </w:rPr>
        <w:t>1.1.2. Consolidation des chaînes de traitement depuis les images</w:t>
      </w:r>
      <w:r w:rsidR="008669F1">
        <w:rPr>
          <w:b/>
          <w:bCs/>
          <w:color w:val="auto"/>
          <w:sz w:val="22"/>
        </w:rPr>
        <w:t xml:space="preserve"> </w:t>
      </w:r>
      <w:r w:rsidRPr="00C15C25">
        <w:rPr>
          <w:b/>
          <w:bCs/>
          <w:color w:val="auto"/>
          <w:sz w:val="22"/>
        </w:rPr>
        <w:t>satellitaires vers des résultats de classification et intégration à</w:t>
      </w:r>
      <w:r w:rsidR="008669F1">
        <w:rPr>
          <w:b/>
          <w:bCs/>
          <w:color w:val="auto"/>
          <w:sz w:val="22"/>
        </w:rPr>
        <w:t xml:space="preserve"> </w:t>
      </w:r>
      <w:r w:rsidRPr="00C15C25">
        <w:rPr>
          <w:b/>
          <w:bCs/>
          <w:color w:val="auto"/>
          <w:sz w:val="22"/>
        </w:rPr>
        <w:t xml:space="preserve">SISPPEO </w:t>
      </w:r>
      <w:r w:rsidRPr="00C15C25">
        <w:rPr>
          <w:color w:val="auto"/>
          <w:sz w:val="22"/>
        </w:rPr>
        <w:t>:</w:t>
      </w:r>
    </w:p>
    <w:p w:rsidR="008669F1" w:rsidRDefault="008669F1" w:rsidP="008669F1">
      <w:pPr>
        <w:widowControl/>
        <w:tabs>
          <w:tab w:val="left" w:pos="7513"/>
          <w:tab w:val="left" w:pos="7655"/>
        </w:tabs>
        <w:autoSpaceDE w:val="0"/>
        <w:autoSpaceDN w:val="0"/>
        <w:adjustRightInd w:val="0"/>
        <w:ind w:left="567" w:right="1557"/>
        <w:jc w:val="both"/>
        <w:rPr>
          <w:color w:val="auto"/>
          <w:sz w:val="22"/>
        </w:rPr>
      </w:pPr>
      <w:r>
        <w:rPr>
          <w:color w:val="auto"/>
          <w:sz w:val="22"/>
        </w:rPr>
        <w:t>C</w:t>
      </w:r>
      <w:r w:rsidR="00C15C25" w:rsidRPr="008669F1">
        <w:rPr>
          <w:color w:val="auto"/>
          <w:sz w:val="22"/>
        </w:rPr>
        <w:t xml:space="preserve">orrespond à l’ensemble des groupes d’étapes </w:t>
      </w:r>
      <w:r>
        <w:rPr>
          <w:color w:val="auto"/>
          <w:sz w:val="22"/>
        </w:rPr>
        <w:t xml:space="preserve">‘ </w:t>
      </w:r>
      <w:r w:rsidR="00C15C25" w:rsidRPr="008669F1">
        <w:rPr>
          <w:color w:val="auto"/>
          <w:sz w:val="22"/>
        </w:rPr>
        <w:t>Préparation des données</w:t>
      </w:r>
      <w:r>
        <w:rPr>
          <w:color w:val="auto"/>
          <w:sz w:val="22"/>
        </w:rPr>
        <w:t xml:space="preserve"> ’</w:t>
      </w:r>
      <w:r w:rsidR="00C15C25" w:rsidRPr="008669F1">
        <w:rPr>
          <w:color w:val="auto"/>
          <w:sz w:val="22"/>
        </w:rPr>
        <w:t xml:space="preserve"> (hors première étape), </w:t>
      </w:r>
      <w:r>
        <w:rPr>
          <w:color w:val="auto"/>
          <w:sz w:val="22"/>
        </w:rPr>
        <w:t>‘ C</w:t>
      </w:r>
      <w:r w:rsidR="00C15C25" w:rsidRPr="008669F1">
        <w:rPr>
          <w:color w:val="auto"/>
          <w:sz w:val="22"/>
        </w:rPr>
        <w:t>omposition des bandes</w:t>
      </w:r>
      <w:r>
        <w:rPr>
          <w:color w:val="auto"/>
          <w:sz w:val="22"/>
        </w:rPr>
        <w:t xml:space="preserve"> ’</w:t>
      </w:r>
      <w:r w:rsidR="00C15C25" w:rsidRPr="008669F1">
        <w:rPr>
          <w:color w:val="auto"/>
          <w:sz w:val="22"/>
        </w:rPr>
        <w:t xml:space="preserve"> et </w:t>
      </w:r>
      <w:r>
        <w:rPr>
          <w:color w:val="auto"/>
          <w:sz w:val="22"/>
        </w:rPr>
        <w:t xml:space="preserve">‘ </w:t>
      </w:r>
      <w:r w:rsidR="00C15C25" w:rsidRPr="008669F1">
        <w:rPr>
          <w:color w:val="auto"/>
          <w:sz w:val="22"/>
        </w:rPr>
        <w:t>Classification et scores</w:t>
      </w:r>
      <w:r>
        <w:rPr>
          <w:color w:val="auto"/>
          <w:sz w:val="22"/>
        </w:rPr>
        <w:t xml:space="preserve"> ’</w:t>
      </w:r>
      <w:r w:rsidR="00C15C25" w:rsidRPr="008669F1">
        <w:rPr>
          <w:color w:val="auto"/>
          <w:sz w:val="22"/>
        </w:rPr>
        <w:t>. Les classes de</w:t>
      </w:r>
      <w:r w:rsidR="006C416E">
        <w:rPr>
          <w:color w:val="auto"/>
          <w:sz w:val="22"/>
        </w:rPr>
        <w:t xml:space="preserve"> qualité de</w:t>
      </w:r>
      <w:r w:rsidR="00C15C25" w:rsidRPr="008669F1">
        <w:rPr>
          <w:color w:val="auto"/>
          <w:sz w:val="22"/>
        </w:rPr>
        <w:t xml:space="preserve"> couverture de sol visées sont : </w:t>
      </w:r>
    </w:p>
    <w:p w:rsidR="008669F1" w:rsidRDefault="00C15C25"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sidRPr="008669F1">
        <w:rPr>
          <w:sz w:val="22"/>
        </w:rPr>
        <w:t>Sol nu</w:t>
      </w:r>
    </w:p>
    <w:p w:rsidR="008669F1" w:rsidRDefault="00C15C25"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sidRPr="008669F1">
        <w:rPr>
          <w:sz w:val="22"/>
        </w:rPr>
        <w:t>Végétation sèche</w:t>
      </w:r>
    </w:p>
    <w:p w:rsidR="008669F1" w:rsidRDefault="00C15C25"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sidRPr="008669F1">
        <w:rPr>
          <w:sz w:val="22"/>
        </w:rPr>
        <w:t>Végétation mixte basse (sol sec / végétation pe</w:t>
      </w:r>
      <w:r w:rsidR="008669F1">
        <w:rPr>
          <w:sz w:val="22"/>
        </w:rPr>
        <w:t>u couvrante)</w:t>
      </w:r>
    </w:p>
    <w:p w:rsidR="008669F1" w:rsidRDefault="00C15C25"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sidRPr="008669F1">
        <w:rPr>
          <w:sz w:val="22"/>
        </w:rPr>
        <w:t>Végétation peu couvrante</w:t>
      </w:r>
    </w:p>
    <w:p w:rsidR="008669F1" w:rsidRDefault="00C15C25"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sidRPr="008669F1">
        <w:rPr>
          <w:sz w:val="22"/>
        </w:rPr>
        <w:t>Végétation mixte couvrante (végétatio</w:t>
      </w:r>
      <w:r w:rsidR="008669F1">
        <w:rPr>
          <w:sz w:val="22"/>
        </w:rPr>
        <w:t>n</w:t>
      </w:r>
      <w:r w:rsidRPr="008669F1">
        <w:rPr>
          <w:sz w:val="22"/>
        </w:rPr>
        <w:t xml:space="preserve"> peu couvrante / végétation couvrante)</w:t>
      </w:r>
    </w:p>
    <w:p w:rsidR="008669F1" w:rsidRDefault="00C15C25"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sidRPr="008669F1">
        <w:rPr>
          <w:sz w:val="22"/>
        </w:rPr>
        <w:t>Végétation couvrante</w:t>
      </w:r>
    </w:p>
    <w:p w:rsidR="008669F1" w:rsidRDefault="008669F1"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Pr>
          <w:sz w:val="22"/>
        </w:rPr>
        <w:t>Végétation hétérogène</w:t>
      </w:r>
    </w:p>
    <w:p w:rsidR="00C15C25" w:rsidRPr="008669F1" w:rsidRDefault="00C15C25" w:rsidP="008669F1">
      <w:pPr>
        <w:pStyle w:val="Paragraphedeliste"/>
        <w:widowControl/>
        <w:numPr>
          <w:ilvl w:val="0"/>
          <w:numId w:val="8"/>
        </w:numPr>
        <w:tabs>
          <w:tab w:val="left" w:pos="7513"/>
          <w:tab w:val="left" w:pos="7655"/>
        </w:tabs>
        <w:autoSpaceDE w:val="0"/>
        <w:autoSpaceDN w:val="0"/>
        <w:adjustRightInd w:val="0"/>
        <w:ind w:right="1557"/>
        <w:jc w:val="both"/>
        <w:rPr>
          <w:sz w:val="22"/>
        </w:rPr>
      </w:pPr>
      <w:r w:rsidRPr="008669F1">
        <w:rPr>
          <w:sz w:val="22"/>
        </w:rPr>
        <w:t>Couverture inconnue</w:t>
      </w:r>
    </w:p>
    <w:p w:rsidR="00C15C25" w:rsidRDefault="00C15C25" w:rsidP="00C15C25">
      <w:pPr>
        <w:tabs>
          <w:tab w:val="left" w:pos="9498"/>
        </w:tabs>
        <w:ind w:right="991"/>
        <w:jc w:val="both"/>
        <w:rPr>
          <w:color w:val="auto"/>
          <w:sz w:val="22"/>
        </w:rPr>
      </w:pPr>
    </w:p>
    <w:p w:rsidR="006C416E" w:rsidRPr="00C15C25" w:rsidRDefault="006C416E" w:rsidP="007519DD">
      <w:pPr>
        <w:tabs>
          <w:tab w:val="left" w:pos="9498"/>
        </w:tabs>
        <w:ind w:right="-2"/>
        <w:jc w:val="both"/>
        <w:rPr>
          <w:color w:val="auto"/>
          <w:sz w:val="22"/>
        </w:rPr>
      </w:pPr>
      <w:r>
        <w:rPr>
          <w:color w:val="auto"/>
          <w:sz w:val="22"/>
        </w:rPr>
        <w:t>En plus de cette légende prévisionnelle, il sera également nécessaire de renseigner une seconde légende qui renvoie au type de couverture du sol observé. Dès lors, et pour des besoins d’inter-comparabilité, il semble pertinent de reprendre tout ou partie de la légende correspondante, implémentée dans le cadre du projet de télédétection via images Sentinel des CIPAN d’hiver, mené par l’</w:t>
      </w:r>
      <w:proofErr w:type="spellStart"/>
      <w:r>
        <w:rPr>
          <w:color w:val="auto"/>
          <w:sz w:val="22"/>
        </w:rPr>
        <w:t>Irstea</w:t>
      </w:r>
      <w:proofErr w:type="spellEnd"/>
      <w:r>
        <w:rPr>
          <w:color w:val="auto"/>
          <w:sz w:val="22"/>
        </w:rPr>
        <w:t xml:space="preserve"> (aujourd’hui INRAE) en 2019, sur la base de relevés de la DRAAF Occitanie et de la DDT du Gers.</w:t>
      </w:r>
    </w:p>
    <w:p w:rsidR="008669F1" w:rsidRDefault="008669F1" w:rsidP="007519DD">
      <w:pPr>
        <w:tabs>
          <w:tab w:val="left" w:pos="9498"/>
        </w:tabs>
        <w:ind w:right="-2"/>
        <w:jc w:val="both"/>
        <w:rPr>
          <w:color w:val="auto"/>
          <w:sz w:val="22"/>
        </w:rPr>
      </w:pPr>
    </w:p>
    <w:p w:rsidR="008669F1" w:rsidRDefault="00C15C25" w:rsidP="007519DD">
      <w:pPr>
        <w:tabs>
          <w:tab w:val="left" w:pos="9498"/>
        </w:tabs>
        <w:ind w:right="-2"/>
        <w:jc w:val="both"/>
        <w:rPr>
          <w:color w:val="auto"/>
          <w:sz w:val="22"/>
        </w:rPr>
      </w:pPr>
      <w:r w:rsidRPr="00C15C25">
        <w:rPr>
          <w:color w:val="auto"/>
          <w:sz w:val="22"/>
        </w:rPr>
        <w:t xml:space="preserve">Il s’agit donc, dans un premier temps, de </w:t>
      </w:r>
      <w:r w:rsidR="008669F1">
        <w:rPr>
          <w:color w:val="auto"/>
          <w:sz w:val="22"/>
        </w:rPr>
        <w:t>renseigner une vérité terrain sur la base de cette typologie. Deux difficultés se présentent alors :</w:t>
      </w:r>
    </w:p>
    <w:p w:rsidR="008669F1" w:rsidRDefault="008669F1" w:rsidP="007519DD">
      <w:pPr>
        <w:tabs>
          <w:tab w:val="left" w:pos="9498"/>
        </w:tabs>
        <w:ind w:right="-2"/>
        <w:jc w:val="both"/>
        <w:rPr>
          <w:color w:val="auto"/>
          <w:sz w:val="22"/>
        </w:rPr>
      </w:pPr>
      <w:r>
        <w:rPr>
          <w:color w:val="auto"/>
          <w:sz w:val="22"/>
        </w:rPr>
        <w:t>D’une part il faut pouvoir atteindre un niveau de représentativité géostatistique correct</w:t>
      </w:r>
      <w:r w:rsidR="00C15C25" w:rsidRPr="00C15C25">
        <w:rPr>
          <w:color w:val="auto"/>
          <w:sz w:val="22"/>
        </w:rPr>
        <w:t>.</w:t>
      </w:r>
      <w:r>
        <w:rPr>
          <w:color w:val="auto"/>
          <w:sz w:val="22"/>
        </w:rPr>
        <w:t xml:space="preserve"> D’autre part il est nécessaire de bien définir en amont les ‘seuils’ discriminant un poste de la légende choisie d’un autre. A ce titre il sera intéressant de se baser sur les expériences </w:t>
      </w:r>
      <w:r w:rsidR="006C416E">
        <w:rPr>
          <w:color w:val="auto"/>
          <w:sz w:val="22"/>
        </w:rPr>
        <w:t>précédentes</w:t>
      </w:r>
      <w:r>
        <w:rPr>
          <w:color w:val="auto"/>
          <w:sz w:val="22"/>
        </w:rPr>
        <w:t>, menées depuis 2014 par différentes équipes sur la thématique de la télédétection des CIPAN d’hiver.</w:t>
      </w:r>
    </w:p>
    <w:p w:rsidR="006C416E" w:rsidRDefault="006C416E" w:rsidP="007519DD">
      <w:pPr>
        <w:tabs>
          <w:tab w:val="left" w:pos="9498"/>
        </w:tabs>
        <w:ind w:right="-2"/>
        <w:jc w:val="both"/>
        <w:rPr>
          <w:color w:val="auto"/>
          <w:sz w:val="22"/>
        </w:rPr>
      </w:pPr>
    </w:p>
    <w:p w:rsidR="00C15C25" w:rsidRPr="00C15C25" w:rsidRDefault="00C15C25" w:rsidP="007519DD">
      <w:pPr>
        <w:tabs>
          <w:tab w:val="left" w:pos="9498"/>
        </w:tabs>
        <w:ind w:right="-2"/>
        <w:jc w:val="both"/>
        <w:rPr>
          <w:color w:val="auto"/>
          <w:sz w:val="22"/>
        </w:rPr>
      </w:pPr>
      <w:r w:rsidRPr="00C15C25">
        <w:rPr>
          <w:color w:val="auto"/>
          <w:sz w:val="22"/>
        </w:rPr>
        <w:t>C’est sur la base de cette donnée que seront ensuite développées les chaînes de traitement en télédétection. En outre, l’avantage des données vectorielles RPG</w:t>
      </w:r>
      <w:r w:rsidR="007519DD">
        <w:rPr>
          <w:color w:val="auto"/>
          <w:sz w:val="22"/>
        </w:rPr>
        <w:t xml:space="preserve"> liées</w:t>
      </w:r>
      <w:r w:rsidRPr="00C15C25">
        <w:rPr>
          <w:color w:val="auto"/>
          <w:sz w:val="22"/>
        </w:rPr>
        <w:t xml:space="preserve"> consiste en la mise à disposition d’un profil de culture, pour l’année du millésime et pour chaque parcelle (entité). La table attributaire correspondante est la suivante :</w:t>
      </w:r>
    </w:p>
    <w:p w:rsidR="00C15C25" w:rsidRPr="00C15C25" w:rsidRDefault="00C15C25" w:rsidP="007519DD">
      <w:pPr>
        <w:tabs>
          <w:tab w:val="left" w:pos="9498"/>
        </w:tabs>
        <w:ind w:right="991"/>
        <w:jc w:val="both"/>
        <w:rPr>
          <w:color w:val="auto"/>
        </w:rPr>
      </w:pPr>
    </w:p>
    <w:p w:rsidR="00C15C25" w:rsidRPr="00C15C25" w:rsidRDefault="00C15C25" w:rsidP="007519DD">
      <w:pPr>
        <w:keepNext/>
        <w:tabs>
          <w:tab w:val="left" w:pos="9498"/>
        </w:tabs>
        <w:ind w:right="991"/>
        <w:jc w:val="both"/>
        <w:rPr>
          <w:color w:val="auto"/>
        </w:rPr>
      </w:pPr>
      <w:r w:rsidRPr="00C15C25">
        <w:rPr>
          <w:noProof/>
          <w:color w:val="auto"/>
          <w:lang w:eastAsia="fr-FR" w:bidi="ar-SA"/>
        </w:rPr>
        <w:lastRenderedPageBreak/>
        <w:drawing>
          <wp:inline distT="0" distB="0" distL="0" distR="0" wp14:anchorId="70022D0B" wp14:editId="1E86FCF4">
            <wp:extent cx="5657385" cy="1182029"/>
            <wp:effectExtent l="0" t="0" r="635" b="0"/>
            <wp:docPr id="6" name="Image 9" descr="cid:89e04c83-816e-4ca7-9525-8cb04fb2cdb0"/>
            <wp:cNvGraphicFramePr/>
            <a:graphic xmlns:a="http://schemas.openxmlformats.org/drawingml/2006/main">
              <a:graphicData uri="http://schemas.openxmlformats.org/drawingml/2006/picture">
                <pic:pic xmlns:pic="http://schemas.openxmlformats.org/drawingml/2006/picture">
                  <pic:nvPicPr>
                    <pic:cNvPr id="10" name="Image 9" descr="cid:89e04c83-816e-4ca7-9525-8cb04fb2cdb0"/>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5684258" cy="1187644"/>
                    </a:xfrm>
                    <a:prstGeom prst="rect">
                      <a:avLst/>
                    </a:prstGeom>
                    <a:noFill/>
                    <a:ln>
                      <a:noFill/>
                    </a:ln>
                  </pic:spPr>
                </pic:pic>
              </a:graphicData>
            </a:graphic>
          </wp:inline>
        </w:drawing>
      </w:r>
    </w:p>
    <w:p w:rsidR="00C15C25" w:rsidRPr="00C15C25" w:rsidRDefault="00C15C25" w:rsidP="007519DD">
      <w:pPr>
        <w:pStyle w:val="Lgende"/>
        <w:ind w:right="991"/>
        <w:jc w:val="both"/>
        <w:rPr>
          <w:color w:val="auto"/>
        </w:rPr>
      </w:pPr>
      <w:r w:rsidRPr="00C15C25">
        <w:rPr>
          <w:color w:val="auto"/>
        </w:rPr>
        <w:t xml:space="preserve">Figure </w:t>
      </w:r>
      <w:r w:rsidRPr="00C15C25">
        <w:rPr>
          <w:color w:val="auto"/>
        </w:rPr>
        <w:fldChar w:fldCharType="begin"/>
      </w:r>
      <w:r w:rsidRPr="00C15C25">
        <w:rPr>
          <w:color w:val="auto"/>
        </w:rPr>
        <w:instrText xml:space="preserve"> SEQ Figure \* ARABIC </w:instrText>
      </w:r>
      <w:r w:rsidRPr="00C15C25">
        <w:rPr>
          <w:color w:val="auto"/>
        </w:rPr>
        <w:fldChar w:fldCharType="separate"/>
      </w:r>
      <w:r w:rsidR="00260662">
        <w:rPr>
          <w:noProof/>
          <w:color w:val="auto"/>
        </w:rPr>
        <w:t>1</w:t>
      </w:r>
      <w:r w:rsidRPr="00C15C25">
        <w:rPr>
          <w:color w:val="auto"/>
        </w:rPr>
        <w:fldChar w:fldCharType="end"/>
      </w:r>
      <w:r w:rsidRPr="00C15C25">
        <w:rPr>
          <w:color w:val="auto"/>
        </w:rPr>
        <w:t>: table attributaire d'un jeu de données RPG 2.0</w:t>
      </w:r>
    </w:p>
    <w:p w:rsidR="00C15C25" w:rsidRDefault="00C15C25" w:rsidP="007519DD">
      <w:pPr>
        <w:tabs>
          <w:tab w:val="left" w:pos="9498"/>
        </w:tabs>
        <w:ind w:right="991"/>
        <w:jc w:val="both"/>
        <w:rPr>
          <w:color w:val="auto"/>
        </w:rPr>
      </w:pPr>
    </w:p>
    <w:p w:rsidR="00C15C25" w:rsidRPr="00C15C25" w:rsidRDefault="00C15C25" w:rsidP="007519DD">
      <w:pPr>
        <w:tabs>
          <w:tab w:val="left" w:pos="9498"/>
        </w:tabs>
        <w:ind w:right="-2"/>
        <w:jc w:val="both"/>
        <w:rPr>
          <w:color w:val="auto"/>
          <w:sz w:val="22"/>
        </w:rPr>
      </w:pPr>
      <w:r w:rsidRPr="00C15C25">
        <w:rPr>
          <w:color w:val="auto"/>
          <w:sz w:val="22"/>
        </w:rPr>
        <w:t xml:space="preserve">Le code culture ainsi disponible permet de constituer une ressource de variables auxiliaires. Celles-ci ne peuvent se substituer à l’acquisition d’une  « vérité-terrain » en bonne et due forme. Mais, dans une optique d’entraînement d’un programme de télédétection des CIPAN, elles fournissent des informations (sur une base déclarative) qui peuvent être confrontées dans un second temps avec les prévisions du modèle de classification des surfaces. De plus, la manipulation de données vectorielles ainsi renseignées permet une appréhension facilité des zones de cultures (possibilité de filtrer, trier, masquer les zones d’intérêt). </w:t>
      </w:r>
    </w:p>
    <w:p w:rsidR="007519DD" w:rsidRPr="007519DD" w:rsidRDefault="007519DD" w:rsidP="007519DD">
      <w:pPr>
        <w:tabs>
          <w:tab w:val="left" w:pos="9498"/>
        </w:tabs>
        <w:ind w:right="991"/>
        <w:rPr>
          <w:color w:val="auto"/>
          <w:sz w:val="22"/>
        </w:rPr>
      </w:pPr>
    </w:p>
    <w:p w:rsidR="007519DD" w:rsidRPr="009B6ED3" w:rsidRDefault="007519DD" w:rsidP="009B6ED3">
      <w:pPr>
        <w:pStyle w:val="Paragraphedeliste"/>
        <w:widowControl/>
        <w:numPr>
          <w:ilvl w:val="0"/>
          <w:numId w:val="2"/>
        </w:numPr>
        <w:rPr>
          <w:b/>
          <w:color w:val="3B854B"/>
          <w:sz w:val="26"/>
          <w:szCs w:val="36"/>
        </w:rPr>
      </w:pPr>
      <w:r w:rsidRPr="009B6ED3">
        <w:rPr>
          <w:b/>
          <w:color w:val="3B854B"/>
          <w:sz w:val="26"/>
          <w:szCs w:val="36"/>
        </w:rPr>
        <w:t>Environnement de développement :</w:t>
      </w:r>
    </w:p>
    <w:p w:rsidR="007519DD" w:rsidRDefault="007519DD" w:rsidP="007519DD">
      <w:pPr>
        <w:widowControl/>
        <w:rPr>
          <w:color w:val="auto"/>
          <w:sz w:val="22"/>
        </w:rPr>
      </w:pPr>
    </w:p>
    <w:p w:rsidR="009B6ED3" w:rsidRDefault="009B6ED3" w:rsidP="009844A8">
      <w:pPr>
        <w:widowControl/>
        <w:ind w:firstLine="709"/>
        <w:jc w:val="both"/>
        <w:rPr>
          <w:color w:val="auto"/>
          <w:sz w:val="22"/>
        </w:rPr>
      </w:pPr>
      <w:r>
        <w:rPr>
          <w:color w:val="auto"/>
          <w:sz w:val="22"/>
        </w:rPr>
        <w:t xml:space="preserve">Le développement des chaînes algorithmiques en télédétection devant se faire par enrichissement du package python dédié SISSPEO (développé par Arthur Coqué de l’INRAE en 2020), le format des données en entrée, ainsi que certains traitement prévisionnels doivent être réfléchis en amont, au regard des incompatibilités potentielles. </w:t>
      </w:r>
    </w:p>
    <w:p w:rsidR="009B6ED3" w:rsidRDefault="009B6ED3" w:rsidP="003C21D3">
      <w:pPr>
        <w:widowControl/>
        <w:jc w:val="both"/>
        <w:rPr>
          <w:color w:val="auto"/>
          <w:sz w:val="22"/>
        </w:rPr>
      </w:pPr>
      <w:r>
        <w:rPr>
          <w:color w:val="auto"/>
          <w:sz w:val="22"/>
        </w:rPr>
        <w:t xml:space="preserve">Le package se présente sous la forme d’un </w:t>
      </w:r>
      <w:proofErr w:type="spellStart"/>
      <w:r>
        <w:rPr>
          <w:color w:val="auto"/>
          <w:sz w:val="22"/>
        </w:rPr>
        <w:t>repository</w:t>
      </w:r>
      <w:proofErr w:type="spellEnd"/>
      <w:r>
        <w:rPr>
          <w:color w:val="auto"/>
          <w:sz w:val="22"/>
        </w:rPr>
        <w:t xml:space="preserve"> </w:t>
      </w:r>
      <w:proofErr w:type="spellStart"/>
      <w:r>
        <w:rPr>
          <w:color w:val="auto"/>
          <w:sz w:val="22"/>
        </w:rPr>
        <w:t>gitHub</w:t>
      </w:r>
      <w:proofErr w:type="spellEnd"/>
      <w:r>
        <w:rPr>
          <w:color w:val="auto"/>
          <w:sz w:val="22"/>
        </w:rPr>
        <w:t xml:space="preserve"> accessible en téléchargement et en écriture</w:t>
      </w:r>
      <w:r>
        <w:rPr>
          <w:rStyle w:val="Appelnotedebasdep"/>
          <w:color w:val="auto"/>
          <w:sz w:val="22"/>
        </w:rPr>
        <w:footnoteReference w:id="3"/>
      </w:r>
      <w:r>
        <w:rPr>
          <w:color w:val="auto"/>
          <w:sz w:val="22"/>
        </w:rPr>
        <w:t>. Développé en « orienté-objet », il se compose de plusieurs classes, une par algorithme dédié qui comporte elle-même deux méthodes obligatoires (__</w:t>
      </w:r>
      <w:proofErr w:type="spellStart"/>
      <w:r>
        <w:rPr>
          <w:color w:val="auto"/>
          <w:sz w:val="22"/>
        </w:rPr>
        <w:t>init</w:t>
      </w:r>
      <w:proofErr w:type="spellEnd"/>
      <w:r>
        <w:rPr>
          <w:color w:val="auto"/>
          <w:sz w:val="22"/>
        </w:rPr>
        <w:t>__ et __call__). On retrouve également des classes dédiées à une tâche transversale particulière (‘</w:t>
      </w:r>
      <w:proofErr w:type="spellStart"/>
      <w:r>
        <w:rPr>
          <w:color w:val="auto"/>
          <w:sz w:val="22"/>
        </w:rPr>
        <w:t>reader</w:t>
      </w:r>
      <w:proofErr w:type="spellEnd"/>
      <w:r>
        <w:rPr>
          <w:color w:val="auto"/>
          <w:sz w:val="22"/>
        </w:rPr>
        <w:t xml:space="preserve">’ pour la lecture des ressources satellites ; </w:t>
      </w:r>
      <w:r w:rsidR="003C21D3">
        <w:rPr>
          <w:color w:val="auto"/>
          <w:sz w:val="22"/>
        </w:rPr>
        <w:t>‘L3AlgoProduct’ pour la composition d’images optiques, ‘</w:t>
      </w:r>
      <w:proofErr w:type="spellStart"/>
      <w:r w:rsidR="003C21D3">
        <w:rPr>
          <w:color w:val="auto"/>
          <w:sz w:val="22"/>
        </w:rPr>
        <w:t>Mask</w:t>
      </w:r>
      <w:proofErr w:type="spellEnd"/>
      <w:r w:rsidR="003C21D3">
        <w:rPr>
          <w:color w:val="auto"/>
          <w:sz w:val="22"/>
        </w:rPr>
        <w:t>’ pour le masquage sélectif et dynamique des ressources…</w:t>
      </w:r>
      <w:r>
        <w:rPr>
          <w:color w:val="auto"/>
          <w:sz w:val="22"/>
        </w:rPr>
        <w:t>)</w:t>
      </w:r>
      <w:r w:rsidR="003C21D3">
        <w:rPr>
          <w:color w:val="auto"/>
          <w:sz w:val="22"/>
        </w:rPr>
        <w:t>. Ainsi, l’ensemble de la chaîne d’acquisition-calibration-extraction-composition des ressources satellites est pris en charge au sein du package.</w:t>
      </w:r>
    </w:p>
    <w:p w:rsidR="009B6ED3" w:rsidRDefault="009B6ED3" w:rsidP="003C21D3">
      <w:pPr>
        <w:widowControl/>
        <w:jc w:val="both"/>
        <w:rPr>
          <w:color w:val="auto"/>
          <w:sz w:val="22"/>
        </w:rPr>
      </w:pPr>
      <w:r>
        <w:rPr>
          <w:color w:val="auto"/>
          <w:sz w:val="22"/>
        </w:rPr>
        <w:t>L’un des intérêts de ce package est la possibilité de recourir à une analyse inter-temporelle (très utile pour les cultures annuelles) via les</w:t>
      </w:r>
      <w:r w:rsidR="003C21D3">
        <w:rPr>
          <w:color w:val="auto"/>
          <w:sz w:val="22"/>
        </w:rPr>
        <w:t xml:space="preserve"> objets</w:t>
      </w:r>
      <w:r>
        <w:rPr>
          <w:color w:val="auto"/>
          <w:sz w:val="22"/>
        </w:rPr>
        <w:t xml:space="preserve"> </w:t>
      </w:r>
      <w:r w:rsidR="003C21D3">
        <w:rPr>
          <w:color w:val="auto"/>
          <w:sz w:val="22"/>
        </w:rPr>
        <w:t>‘</w:t>
      </w:r>
      <w:proofErr w:type="spellStart"/>
      <w:r w:rsidR="003C21D3">
        <w:rPr>
          <w:color w:val="auto"/>
          <w:sz w:val="22"/>
        </w:rPr>
        <w:t>timeseries</w:t>
      </w:r>
      <w:proofErr w:type="spellEnd"/>
      <w:r w:rsidR="003C21D3">
        <w:rPr>
          <w:color w:val="auto"/>
          <w:sz w:val="22"/>
        </w:rPr>
        <w:t xml:space="preserve">’ qui structurent des données satellites de dates différentes sur une même emprise. </w:t>
      </w:r>
    </w:p>
    <w:p w:rsidR="003C21D3" w:rsidRDefault="003C21D3" w:rsidP="003C21D3">
      <w:pPr>
        <w:widowControl/>
        <w:jc w:val="both"/>
        <w:rPr>
          <w:color w:val="auto"/>
          <w:sz w:val="22"/>
        </w:rPr>
      </w:pPr>
      <w:r>
        <w:rPr>
          <w:color w:val="auto"/>
          <w:sz w:val="22"/>
        </w:rPr>
        <w:t xml:space="preserve">Un bémol concerne l’absence (à tout le moins dans la documentation)  de traitements dédiés aux ressources radar,  notamment Sentinel-1, dans les fonctions de calibration et composition des rasters </w:t>
      </w:r>
      <w:r w:rsidR="009844A8">
        <w:rPr>
          <w:color w:val="auto"/>
          <w:sz w:val="22"/>
        </w:rPr>
        <w:t xml:space="preserve">d’entraînement. </w:t>
      </w:r>
      <w:r>
        <w:rPr>
          <w:color w:val="auto"/>
          <w:sz w:val="22"/>
        </w:rPr>
        <w:t>Le développement de fonctionnalités dédiées pourrait alors varier fortement suivant les étapes considérées. Concrètement, l’</w:t>
      </w:r>
      <w:proofErr w:type="spellStart"/>
      <w:r w:rsidR="009844A8">
        <w:rPr>
          <w:color w:val="auto"/>
          <w:sz w:val="22"/>
        </w:rPr>
        <w:t>algorithmie</w:t>
      </w:r>
      <w:proofErr w:type="spellEnd"/>
      <w:r>
        <w:rPr>
          <w:color w:val="auto"/>
          <w:sz w:val="22"/>
        </w:rPr>
        <w:t xml:space="preserve"> de télédétection proprement dite (entraînement et expansion d’un modèle de classification sur base de données (entre autres) radar) ne pose </w:t>
      </w:r>
      <w:proofErr w:type="spellStart"/>
      <w:r>
        <w:rPr>
          <w:color w:val="auto"/>
          <w:sz w:val="22"/>
        </w:rPr>
        <w:t>aps</w:t>
      </w:r>
      <w:proofErr w:type="spellEnd"/>
      <w:r>
        <w:rPr>
          <w:color w:val="auto"/>
          <w:sz w:val="22"/>
        </w:rPr>
        <w:t xml:space="preserve"> de difficultés particulières. En </w:t>
      </w:r>
      <w:r w:rsidR="009844A8">
        <w:rPr>
          <w:color w:val="auto"/>
          <w:sz w:val="22"/>
        </w:rPr>
        <w:t xml:space="preserve">revanche cela  demande d’intégrer de nouveaux outils (via des bibliothèques déjà existantes) pour la calibration et le </w:t>
      </w:r>
      <w:r w:rsidR="009844A8">
        <w:rPr>
          <w:i/>
          <w:color w:val="auto"/>
          <w:sz w:val="22"/>
        </w:rPr>
        <w:t>de-</w:t>
      </w:r>
      <w:proofErr w:type="spellStart"/>
      <w:r w:rsidR="009844A8">
        <w:rPr>
          <w:i/>
          <w:color w:val="auto"/>
          <w:sz w:val="22"/>
        </w:rPr>
        <w:t>speckle</w:t>
      </w:r>
      <w:proofErr w:type="spellEnd"/>
      <w:r w:rsidR="009844A8">
        <w:rPr>
          <w:color w:val="auto"/>
          <w:sz w:val="22"/>
        </w:rPr>
        <w:t xml:space="preserve"> des données natives. </w:t>
      </w:r>
    </w:p>
    <w:p w:rsidR="009844A8" w:rsidRDefault="009844A8" w:rsidP="003C21D3">
      <w:pPr>
        <w:widowControl/>
        <w:jc w:val="both"/>
        <w:rPr>
          <w:color w:val="auto"/>
          <w:sz w:val="22"/>
        </w:rPr>
      </w:pPr>
    </w:p>
    <w:p w:rsidR="009B6ED3" w:rsidRDefault="009844A8" w:rsidP="00913FB4">
      <w:pPr>
        <w:widowControl/>
        <w:jc w:val="both"/>
        <w:rPr>
          <w:color w:val="auto"/>
          <w:sz w:val="22"/>
        </w:rPr>
      </w:pPr>
      <w:r>
        <w:rPr>
          <w:color w:val="auto"/>
          <w:sz w:val="22"/>
        </w:rPr>
        <w:t>En somme, on peut envisager les traitements à venir sur la base d’une analyse préférentiellement optique et intégrant une forte dimension d’inter-temporalité à l’échelle du mois (temps de revisite des Sentinel 2 de 5 jours et de 12 jours pour les Sentinel 1). L’ajout de la ressource Radar, pourrait se faire dans un second temps, suite à la classification des types de couverts. Etant donné l’apport majeur de cette donnée sur la texture des surface, cela pourrait permettre d’accroître la précision du modèle de classification après disjonction des surfaces monitorées sur la base de leur ‘famille’ de type de couvert. Une telle analyse en deux temps et en disjonction des cas est présente dans la démarche de l’</w:t>
      </w:r>
      <w:r w:rsidRPr="009844A8">
        <w:rPr>
          <w:color w:val="auto"/>
          <w:sz w:val="22"/>
        </w:rPr>
        <w:t>expérimentation TETIS/ONEMA (GOEURY &amp; BARRY) menée sur l’hiver 2014-2015</w:t>
      </w:r>
      <w:r>
        <w:rPr>
          <w:color w:val="auto"/>
          <w:sz w:val="22"/>
        </w:rPr>
        <w:t>.</w:t>
      </w:r>
      <w:r>
        <w:rPr>
          <w:color w:val="auto"/>
          <w:sz w:val="22"/>
        </w:rPr>
        <w:tab/>
      </w:r>
      <w:r w:rsidRPr="007519DD">
        <w:rPr>
          <w:sz w:val="22"/>
        </w:rPr>
        <w:br/>
      </w:r>
    </w:p>
    <w:p w:rsidR="009844A8" w:rsidRPr="009B6ED3" w:rsidRDefault="009844A8" w:rsidP="009844A8">
      <w:pPr>
        <w:pStyle w:val="Paragraphedeliste"/>
        <w:widowControl/>
        <w:numPr>
          <w:ilvl w:val="0"/>
          <w:numId w:val="2"/>
        </w:numPr>
        <w:rPr>
          <w:b/>
          <w:color w:val="3B854B"/>
          <w:sz w:val="26"/>
          <w:szCs w:val="36"/>
        </w:rPr>
      </w:pPr>
      <w:r>
        <w:rPr>
          <w:b/>
          <w:color w:val="3B854B"/>
          <w:sz w:val="26"/>
          <w:szCs w:val="36"/>
        </w:rPr>
        <w:lastRenderedPageBreak/>
        <w:t>Expériences précédentes</w:t>
      </w:r>
      <w:r w:rsidRPr="009B6ED3">
        <w:rPr>
          <w:b/>
          <w:color w:val="3B854B"/>
          <w:sz w:val="26"/>
          <w:szCs w:val="36"/>
        </w:rPr>
        <w:t> :</w:t>
      </w:r>
    </w:p>
    <w:p w:rsidR="009844A8" w:rsidRDefault="009844A8" w:rsidP="007519DD">
      <w:pPr>
        <w:widowControl/>
        <w:rPr>
          <w:color w:val="auto"/>
          <w:sz w:val="22"/>
        </w:rPr>
      </w:pPr>
    </w:p>
    <w:p w:rsidR="007519DD" w:rsidRPr="007519DD" w:rsidRDefault="00365405" w:rsidP="007519DD">
      <w:pPr>
        <w:pStyle w:val="Default"/>
        <w:rPr>
          <w:rFonts w:ascii="Arial" w:hAnsi="Arial" w:cs="Mangal"/>
          <w:color w:val="auto"/>
          <w:kern w:val="2"/>
          <w:sz w:val="22"/>
          <w:lang w:bidi="hi-IN"/>
        </w:rPr>
      </w:pPr>
      <w:r>
        <w:rPr>
          <w:rFonts w:ascii="Arial" w:hAnsi="Arial" w:cs="Mangal"/>
          <w:color w:val="auto"/>
          <w:kern w:val="2"/>
          <w:sz w:val="22"/>
          <w:lang w:bidi="hi-IN"/>
        </w:rPr>
        <w:t xml:space="preserve">L’on peut se fonder dans notre développement sur les approches similaires précédentes qui commence à constituer, sur la thématique de la télédétection des CIPAN, un corpus robuste : </w:t>
      </w:r>
    </w:p>
    <w:p w:rsidR="00365405" w:rsidRDefault="00365405" w:rsidP="007519DD">
      <w:pPr>
        <w:pStyle w:val="Default"/>
        <w:rPr>
          <w:rFonts w:ascii="Arial" w:hAnsi="Arial" w:cs="Mangal"/>
          <w:color w:val="auto"/>
          <w:kern w:val="2"/>
          <w:sz w:val="22"/>
          <w:lang w:bidi="hi-IN"/>
        </w:rPr>
      </w:pPr>
    </w:p>
    <w:p w:rsidR="007519DD" w:rsidRDefault="00365405" w:rsidP="005224D2">
      <w:pPr>
        <w:pStyle w:val="Default"/>
        <w:jc w:val="both"/>
        <w:rPr>
          <w:rFonts w:ascii="Arial" w:hAnsi="Arial" w:cs="Mangal"/>
          <w:color w:val="auto"/>
          <w:kern w:val="2"/>
          <w:sz w:val="22"/>
          <w:lang w:bidi="hi-IN"/>
        </w:rPr>
      </w:pPr>
      <w:r>
        <w:rPr>
          <w:rFonts w:ascii="Arial" w:hAnsi="Arial" w:cs="Mangal"/>
          <w:color w:val="auto"/>
          <w:kern w:val="2"/>
          <w:sz w:val="22"/>
          <w:lang w:bidi="hi-IN"/>
        </w:rPr>
        <w:t>En 2012  ont lieux les premiers</w:t>
      </w:r>
      <w:r w:rsidR="007519DD" w:rsidRPr="007519DD">
        <w:rPr>
          <w:rFonts w:ascii="Arial" w:hAnsi="Arial" w:cs="Mangal"/>
          <w:color w:val="auto"/>
          <w:kern w:val="2"/>
          <w:sz w:val="22"/>
          <w:lang w:bidi="hi-IN"/>
        </w:rPr>
        <w:t xml:space="preserve"> travaux </w:t>
      </w:r>
      <w:r>
        <w:rPr>
          <w:rFonts w:ascii="Arial" w:hAnsi="Arial" w:cs="Mangal"/>
          <w:color w:val="auto"/>
          <w:kern w:val="2"/>
          <w:sz w:val="22"/>
          <w:lang w:bidi="hi-IN"/>
        </w:rPr>
        <w:t>de</w:t>
      </w:r>
      <w:r w:rsidR="005224D2">
        <w:rPr>
          <w:rFonts w:ascii="Arial" w:hAnsi="Arial" w:cs="Mangal"/>
          <w:color w:val="auto"/>
          <w:kern w:val="2"/>
          <w:sz w:val="22"/>
          <w:lang w:bidi="hi-IN"/>
        </w:rPr>
        <w:t xml:space="preserve"> l’UMR</w:t>
      </w:r>
      <w:r>
        <w:rPr>
          <w:rFonts w:ascii="Arial" w:hAnsi="Arial" w:cs="Mangal"/>
          <w:color w:val="auto"/>
          <w:kern w:val="2"/>
          <w:sz w:val="22"/>
          <w:lang w:bidi="hi-IN"/>
        </w:rPr>
        <w:t xml:space="preserve"> </w:t>
      </w:r>
      <w:r w:rsidR="007519DD" w:rsidRPr="007519DD">
        <w:rPr>
          <w:rFonts w:ascii="Arial" w:hAnsi="Arial" w:cs="Mangal"/>
          <w:color w:val="auto"/>
          <w:kern w:val="2"/>
          <w:sz w:val="22"/>
          <w:lang w:bidi="hi-IN"/>
        </w:rPr>
        <w:t xml:space="preserve">TETIS sur </w:t>
      </w:r>
      <w:r w:rsidR="005224D2">
        <w:rPr>
          <w:rFonts w:ascii="Arial" w:hAnsi="Arial" w:cs="Mangal"/>
          <w:color w:val="auto"/>
          <w:kern w:val="2"/>
          <w:sz w:val="22"/>
          <w:lang w:bidi="hi-IN"/>
        </w:rPr>
        <w:t>le projet </w:t>
      </w:r>
      <w:r>
        <w:rPr>
          <w:rFonts w:ascii="Arial" w:hAnsi="Arial" w:cs="Mangal"/>
          <w:color w:val="auto"/>
          <w:kern w:val="2"/>
          <w:sz w:val="22"/>
          <w:lang w:bidi="hi-IN"/>
        </w:rPr>
        <w:t xml:space="preserve"> </w:t>
      </w:r>
      <w:r w:rsidR="005224D2">
        <w:rPr>
          <w:rFonts w:ascii="Arial" w:hAnsi="Arial" w:cs="Mangal"/>
          <w:color w:val="auto"/>
          <w:kern w:val="2"/>
          <w:sz w:val="22"/>
          <w:lang w:bidi="hi-IN"/>
        </w:rPr>
        <w:t>‘</w:t>
      </w:r>
      <w:r w:rsidR="007519DD" w:rsidRPr="007519DD">
        <w:rPr>
          <w:rFonts w:ascii="Arial" w:hAnsi="Arial" w:cs="Mangal"/>
          <w:color w:val="auto"/>
          <w:kern w:val="2"/>
          <w:sz w:val="22"/>
          <w:lang w:bidi="hi-IN"/>
        </w:rPr>
        <w:t>CIPAN / Télédétection</w:t>
      </w:r>
      <w:r w:rsidR="005224D2">
        <w:rPr>
          <w:rFonts w:ascii="Arial" w:hAnsi="Arial" w:cs="Mangal"/>
          <w:color w:val="auto"/>
          <w:kern w:val="2"/>
          <w:sz w:val="22"/>
          <w:lang w:bidi="hi-IN"/>
        </w:rPr>
        <w:t xml:space="preserve">’, </w:t>
      </w:r>
      <w:r w:rsidR="007519DD" w:rsidRPr="007519DD">
        <w:rPr>
          <w:rFonts w:ascii="Arial" w:hAnsi="Arial" w:cs="Mangal"/>
          <w:color w:val="auto"/>
          <w:kern w:val="2"/>
          <w:sz w:val="22"/>
          <w:lang w:bidi="hi-IN"/>
        </w:rPr>
        <w:t xml:space="preserve"> à la demande de services de l’Etat</w:t>
      </w:r>
      <w:r w:rsidR="005224D2">
        <w:rPr>
          <w:rFonts w:ascii="Arial" w:hAnsi="Arial" w:cs="Mangal"/>
          <w:color w:val="auto"/>
          <w:kern w:val="2"/>
          <w:sz w:val="22"/>
          <w:lang w:bidi="hi-IN"/>
        </w:rPr>
        <w:t xml:space="preserve"> (DDT des Deux-Sèvres) </w:t>
      </w:r>
      <w:r w:rsidR="007519DD" w:rsidRPr="007519DD">
        <w:rPr>
          <w:rFonts w:ascii="Arial" w:hAnsi="Arial" w:cs="Mangal"/>
          <w:color w:val="auto"/>
          <w:kern w:val="2"/>
          <w:sz w:val="22"/>
          <w:lang w:bidi="hi-IN"/>
        </w:rPr>
        <w:t xml:space="preserve"> à des fins de contrôle liés à la Directive Nitrate</w:t>
      </w:r>
      <w:r w:rsidR="005224D2">
        <w:rPr>
          <w:rFonts w:ascii="Arial" w:hAnsi="Arial" w:cs="Mangal"/>
          <w:color w:val="auto"/>
          <w:kern w:val="2"/>
          <w:sz w:val="22"/>
          <w:lang w:bidi="hi-IN"/>
        </w:rPr>
        <w:t xml:space="preserve">. </w:t>
      </w:r>
    </w:p>
    <w:p w:rsidR="005224D2" w:rsidRDefault="005224D2" w:rsidP="005224D2">
      <w:pPr>
        <w:pStyle w:val="Default"/>
        <w:jc w:val="both"/>
        <w:rPr>
          <w:rFonts w:ascii="Arial" w:hAnsi="Arial" w:cs="Mangal"/>
          <w:color w:val="auto"/>
          <w:kern w:val="2"/>
          <w:sz w:val="22"/>
          <w:lang w:bidi="hi-IN"/>
        </w:rPr>
      </w:pPr>
    </w:p>
    <w:p w:rsidR="005224D2" w:rsidRDefault="005224D2" w:rsidP="005224D2">
      <w:pPr>
        <w:pStyle w:val="Default"/>
        <w:jc w:val="both"/>
        <w:rPr>
          <w:rFonts w:ascii="Arial" w:hAnsi="Arial" w:cs="Mangal"/>
          <w:color w:val="auto"/>
          <w:kern w:val="2"/>
          <w:sz w:val="22"/>
          <w:lang w:bidi="hi-IN"/>
        </w:rPr>
      </w:pPr>
      <w:r>
        <w:rPr>
          <w:rFonts w:ascii="Arial" w:hAnsi="Arial" w:cs="Mangal"/>
          <w:color w:val="auto"/>
          <w:kern w:val="2"/>
          <w:sz w:val="22"/>
          <w:lang w:bidi="hi-IN"/>
        </w:rPr>
        <w:t>Une nouvelle e</w:t>
      </w:r>
      <w:r w:rsidRPr="005224D2">
        <w:rPr>
          <w:rFonts w:ascii="Arial" w:hAnsi="Arial" w:cs="Mangal"/>
          <w:color w:val="auto"/>
          <w:kern w:val="2"/>
          <w:sz w:val="22"/>
          <w:lang w:bidi="hi-IN"/>
        </w:rPr>
        <w:t>xpérimentation</w:t>
      </w:r>
      <w:r>
        <w:rPr>
          <w:rFonts w:ascii="Arial" w:hAnsi="Arial" w:cs="Mangal"/>
          <w:color w:val="auto"/>
          <w:kern w:val="2"/>
          <w:sz w:val="22"/>
          <w:lang w:bidi="hi-IN"/>
        </w:rPr>
        <w:t xml:space="preserve"> réunissant  TETIS et </w:t>
      </w:r>
      <w:r w:rsidRPr="005224D2">
        <w:rPr>
          <w:rFonts w:ascii="Arial" w:hAnsi="Arial" w:cs="Mangal"/>
          <w:color w:val="auto"/>
          <w:kern w:val="2"/>
          <w:sz w:val="22"/>
          <w:lang w:bidi="hi-IN"/>
        </w:rPr>
        <w:t xml:space="preserve">ONEMA (GOEURY &amp; BARRY) </w:t>
      </w:r>
      <w:r>
        <w:rPr>
          <w:rFonts w:ascii="Arial" w:hAnsi="Arial" w:cs="Mangal"/>
          <w:color w:val="auto"/>
          <w:kern w:val="2"/>
          <w:sz w:val="22"/>
          <w:lang w:bidi="hi-IN"/>
        </w:rPr>
        <w:t xml:space="preserve"> est </w:t>
      </w:r>
      <w:r w:rsidRPr="005224D2">
        <w:rPr>
          <w:rFonts w:ascii="Arial" w:hAnsi="Arial" w:cs="Mangal"/>
          <w:color w:val="auto"/>
          <w:kern w:val="2"/>
          <w:sz w:val="22"/>
          <w:lang w:bidi="hi-IN"/>
        </w:rPr>
        <w:t>menée sur l’hiver 2014-2015</w:t>
      </w:r>
      <w:r>
        <w:rPr>
          <w:rFonts w:ascii="Arial" w:hAnsi="Arial" w:cs="Mangal"/>
          <w:color w:val="auto"/>
          <w:kern w:val="2"/>
          <w:sz w:val="22"/>
          <w:lang w:bidi="hi-IN"/>
        </w:rPr>
        <w:t>.</w:t>
      </w:r>
      <w:r>
        <w:rPr>
          <w:rFonts w:ascii="Arial" w:hAnsi="Arial" w:cs="Mangal"/>
          <w:color w:val="auto"/>
          <w:kern w:val="2"/>
          <w:sz w:val="22"/>
          <w:lang w:bidi="hi-IN"/>
        </w:rPr>
        <w:tab/>
      </w:r>
      <w:r>
        <w:rPr>
          <w:rFonts w:ascii="Arial" w:hAnsi="Arial" w:cs="Mangal"/>
          <w:color w:val="auto"/>
          <w:kern w:val="2"/>
          <w:sz w:val="22"/>
          <w:lang w:bidi="hi-IN"/>
        </w:rPr>
        <w:br/>
        <w:t>Le cadre conceptuel est en grande partie transposable, bien que les données actuelles permettent de meilleures précisions qu’à l’époque, avec d</w:t>
      </w:r>
      <w:r w:rsidRPr="005224D2">
        <w:rPr>
          <w:rFonts w:ascii="Arial" w:hAnsi="Arial" w:cs="Mangal"/>
          <w:color w:val="auto"/>
          <w:kern w:val="2"/>
          <w:sz w:val="22"/>
          <w:lang w:bidi="hi-IN"/>
        </w:rPr>
        <w:t xml:space="preserve">es données </w:t>
      </w:r>
      <w:proofErr w:type="spellStart"/>
      <w:r w:rsidRPr="005224D2">
        <w:rPr>
          <w:rFonts w:ascii="Arial" w:hAnsi="Arial" w:cs="Mangal"/>
          <w:color w:val="auto"/>
          <w:kern w:val="2"/>
          <w:sz w:val="22"/>
          <w:lang w:bidi="hi-IN"/>
        </w:rPr>
        <w:t>Landsat</w:t>
      </w:r>
      <w:proofErr w:type="spellEnd"/>
      <w:r w:rsidRPr="005224D2">
        <w:rPr>
          <w:rFonts w:ascii="Arial" w:hAnsi="Arial" w:cs="Mangal"/>
          <w:color w:val="auto"/>
          <w:kern w:val="2"/>
          <w:sz w:val="22"/>
          <w:lang w:bidi="hi-IN"/>
        </w:rPr>
        <w:t xml:space="preserve"> 8 (30m d’emprise) et des données RPG 1.0</w:t>
      </w:r>
      <w:r>
        <w:rPr>
          <w:rStyle w:val="Appelnotedebasdep"/>
          <w:rFonts w:ascii="Arial" w:hAnsi="Arial" w:cs="Mangal"/>
          <w:color w:val="auto"/>
          <w:kern w:val="2"/>
          <w:sz w:val="22"/>
          <w:lang w:bidi="hi-IN"/>
        </w:rPr>
        <w:footnoteReference w:id="4"/>
      </w:r>
      <w:r w:rsidRPr="005224D2">
        <w:rPr>
          <w:rFonts w:ascii="Arial" w:hAnsi="Arial" w:cs="Mangal"/>
          <w:color w:val="auto"/>
          <w:kern w:val="2"/>
          <w:sz w:val="22"/>
          <w:lang w:bidi="hi-IN"/>
        </w:rPr>
        <w:t xml:space="preserve">. </w:t>
      </w:r>
      <w:r>
        <w:rPr>
          <w:rFonts w:ascii="Arial" w:hAnsi="Arial" w:cs="Mangal"/>
          <w:color w:val="auto"/>
          <w:kern w:val="2"/>
          <w:sz w:val="22"/>
          <w:lang w:bidi="hi-IN"/>
        </w:rPr>
        <w:t>Comme cela est nécessaire aujourd’hui, les vérités-terrain avaient été</w:t>
      </w:r>
      <w:r w:rsidRPr="005224D2">
        <w:rPr>
          <w:rFonts w:ascii="Arial" w:hAnsi="Arial" w:cs="Mangal"/>
          <w:color w:val="auto"/>
          <w:kern w:val="2"/>
          <w:sz w:val="22"/>
          <w:lang w:bidi="hi-IN"/>
        </w:rPr>
        <w:t xml:space="preserve"> acquise sur le moment.</w:t>
      </w:r>
      <w:r>
        <w:rPr>
          <w:rFonts w:ascii="Arial" w:hAnsi="Arial" w:cs="Mangal"/>
          <w:color w:val="auto"/>
          <w:kern w:val="2"/>
          <w:sz w:val="22"/>
          <w:lang w:bidi="hi-IN"/>
        </w:rPr>
        <w:tab/>
      </w:r>
      <w:r w:rsidRPr="005224D2">
        <w:rPr>
          <w:rFonts w:ascii="Arial" w:hAnsi="Arial" w:cs="Mangal"/>
          <w:color w:val="auto"/>
          <w:kern w:val="2"/>
          <w:sz w:val="22"/>
          <w:lang w:bidi="hi-IN"/>
        </w:rPr>
        <w:t xml:space="preserve"> </w:t>
      </w:r>
      <w:r w:rsidRPr="005224D2">
        <w:rPr>
          <w:rFonts w:ascii="Arial" w:hAnsi="Arial" w:cs="Mangal"/>
          <w:color w:val="auto"/>
          <w:kern w:val="2"/>
          <w:sz w:val="22"/>
          <w:lang w:bidi="hi-IN"/>
        </w:rPr>
        <w:br/>
      </w:r>
      <w:r>
        <w:rPr>
          <w:rFonts w:ascii="Arial" w:hAnsi="Arial" w:cs="Mangal"/>
          <w:color w:val="auto"/>
          <w:kern w:val="2"/>
          <w:sz w:val="22"/>
          <w:lang w:bidi="hi-IN"/>
        </w:rPr>
        <w:t>Le projet devait répondre à un besoin d’</w:t>
      </w:r>
      <w:r w:rsidRPr="005224D2">
        <w:rPr>
          <w:rFonts w:ascii="Arial" w:hAnsi="Arial" w:cs="Mangal"/>
          <w:color w:val="auto"/>
          <w:kern w:val="2"/>
          <w:sz w:val="22"/>
          <w:lang w:bidi="hi-IN"/>
        </w:rPr>
        <w:t xml:space="preserve">aide aux contrôles sur la directive nitrates, </w:t>
      </w:r>
      <w:r>
        <w:rPr>
          <w:rFonts w:ascii="Arial" w:hAnsi="Arial" w:cs="Mangal"/>
          <w:color w:val="auto"/>
          <w:kern w:val="2"/>
          <w:sz w:val="22"/>
          <w:lang w:bidi="hi-IN"/>
        </w:rPr>
        <w:t>et il proposait une approche</w:t>
      </w:r>
      <w:r w:rsidRPr="005224D2">
        <w:rPr>
          <w:rFonts w:ascii="Arial" w:hAnsi="Arial" w:cs="Mangal"/>
          <w:color w:val="auto"/>
          <w:kern w:val="2"/>
          <w:sz w:val="22"/>
          <w:lang w:bidi="hi-IN"/>
        </w:rPr>
        <w:t xml:space="preserve"> par facteurs de risques (renseigné sur le type de culture en T et en T-1, la surface de la parcelle, reliquats d’azotes liés aux pratiques culturales, proximité aux masses d’eau sensibles…). </w:t>
      </w:r>
      <w:r>
        <w:rPr>
          <w:rFonts w:ascii="Arial" w:hAnsi="Arial" w:cs="Mangal"/>
          <w:color w:val="auto"/>
          <w:kern w:val="2"/>
          <w:sz w:val="22"/>
          <w:lang w:bidi="hi-IN"/>
        </w:rPr>
        <w:t>L’é</w:t>
      </w:r>
      <w:r w:rsidRPr="005224D2">
        <w:rPr>
          <w:rFonts w:ascii="Arial" w:hAnsi="Arial" w:cs="Mangal"/>
          <w:color w:val="auto"/>
          <w:kern w:val="2"/>
          <w:sz w:val="22"/>
          <w:lang w:bidi="hi-IN"/>
        </w:rPr>
        <w:t>tude de la corrélation de cet indicateur avec le type de couvert d’une part et l’homogénéité de celui-ci d’autre part (5 classes ‘type’ et 7 classes d’homogénéité)</w:t>
      </w:r>
      <w:r>
        <w:rPr>
          <w:rFonts w:ascii="Arial" w:hAnsi="Arial" w:cs="Mangal"/>
          <w:color w:val="auto"/>
          <w:kern w:val="2"/>
          <w:sz w:val="22"/>
          <w:lang w:bidi="hi-IN"/>
        </w:rPr>
        <w:t xml:space="preserve"> offrait la perspective d’une dimension prédictive (ou probabiliste) dont il n’est pas encore question dans le projet actuel</w:t>
      </w:r>
      <w:r w:rsidRPr="005224D2">
        <w:rPr>
          <w:rFonts w:ascii="Arial" w:hAnsi="Arial" w:cs="Mangal"/>
          <w:color w:val="auto"/>
          <w:kern w:val="2"/>
          <w:sz w:val="22"/>
          <w:lang w:bidi="hi-IN"/>
        </w:rPr>
        <w:t xml:space="preserve">. L’objectif étant de discriminer les seuils de risques par type de couvert </w:t>
      </w:r>
      <w:proofErr w:type="gramStart"/>
      <w:r w:rsidRPr="005224D2">
        <w:rPr>
          <w:rFonts w:ascii="Arial" w:hAnsi="Arial" w:cs="Mangal"/>
          <w:color w:val="auto"/>
          <w:kern w:val="2"/>
          <w:sz w:val="22"/>
          <w:lang w:bidi="hi-IN"/>
        </w:rPr>
        <w:t xml:space="preserve">détecté </w:t>
      </w:r>
      <w:r>
        <w:rPr>
          <w:rFonts w:ascii="Arial" w:hAnsi="Arial" w:cs="Mangal"/>
          <w:color w:val="auto"/>
          <w:kern w:val="2"/>
          <w:sz w:val="22"/>
          <w:lang w:bidi="hi-IN"/>
        </w:rPr>
        <w:t>,</w:t>
      </w:r>
      <w:proofErr w:type="gramEnd"/>
      <w:r>
        <w:rPr>
          <w:rFonts w:ascii="Arial" w:hAnsi="Arial" w:cs="Mangal"/>
          <w:color w:val="auto"/>
          <w:kern w:val="2"/>
          <w:sz w:val="22"/>
          <w:lang w:bidi="hi-IN"/>
        </w:rPr>
        <w:t xml:space="preserve"> cela permettait </w:t>
      </w:r>
      <w:r w:rsidRPr="005224D2">
        <w:rPr>
          <w:rFonts w:ascii="Arial" w:hAnsi="Arial" w:cs="Mangal"/>
          <w:color w:val="auto"/>
          <w:kern w:val="2"/>
          <w:sz w:val="22"/>
          <w:lang w:bidi="hi-IN"/>
        </w:rPr>
        <w:t>d’optimiser l’efficacité du ciblage pour les contrôles.</w:t>
      </w:r>
    </w:p>
    <w:p w:rsidR="005224D2" w:rsidRPr="007519DD" w:rsidRDefault="005224D2" w:rsidP="005224D2">
      <w:pPr>
        <w:pStyle w:val="Default"/>
        <w:jc w:val="both"/>
        <w:rPr>
          <w:rFonts w:ascii="Arial" w:hAnsi="Arial" w:cs="Mangal"/>
          <w:color w:val="auto"/>
          <w:kern w:val="2"/>
          <w:sz w:val="22"/>
          <w:lang w:bidi="hi-IN"/>
        </w:rPr>
      </w:pPr>
    </w:p>
    <w:p w:rsidR="007519DD" w:rsidRPr="007519DD" w:rsidRDefault="005224D2" w:rsidP="005224D2">
      <w:pPr>
        <w:pStyle w:val="Default"/>
        <w:jc w:val="both"/>
        <w:rPr>
          <w:rFonts w:ascii="Arial" w:hAnsi="Arial" w:cs="Mangal"/>
          <w:color w:val="auto"/>
          <w:kern w:val="2"/>
          <w:sz w:val="22"/>
          <w:lang w:bidi="hi-IN"/>
        </w:rPr>
      </w:pPr>
      <w:r>
        <w:rPr>
          <w:rFonts w:ascii="Arial" w:hAnsi="Arial" w:cs="Mangal"/>
          <w:color w:val="auto"/>
          <w:kern w:val="2"/>
          <w:sz w:val="22"/>
          <w:lang w:bidi="hi-IN"/>
        </w:rPr>
        <w:t xml:space="preserve">En 2017, suite à la </w:t>
      </w:r>
      <w:r w:rsidR="007519DD" w:rsidRPr="007519DD">
        <w:rPr>
          <w:rFonts w:ascii="Arial" w:hAnsi="Arial" w:cs="Mangal"/>
          <w:color w:val="auto"/>
          <w:kern w:val="2"/>
          <w:sz w:val="22"/>
          <w:lang w:bidi="hi-IN"/>
        </w:rPr>
        <w:t>sollicitation d’</w:t>
      </w:r>
      <w:proofErr w:type="spellStart"/>
      <w:r w:rsidR="007519DD" w:rsidRPr="007519DD">
        <w:rPr>
          <w:rFonts w:ascii="Arial" w:hAnsi="Arial" w:cs="Mangal"/>
          <w:color w:val="auto"/>
          <w:kern w:val="2"/>
          <w:sz w:val="22"/>
          <w:lang w:bidi="hi-IN"/>
        </w:rPr>
        <w:t>Envylis</w:t>
      </w:r>
      <w:proofErr w:type="spellEnd"/>
      <w:r w:rsidR="007519DD" w:rsidRPr="007519DD">
        <w:rPr>
          <w:rFonts w:ascii="Arial" w:hAnsi="Arial" w:cs="Mangal"/>
          <w:color w:val="auto"/>
          <w:kern w:val="2"/>
          <w:sz w:val="22"/>
          <w:lang w:bidi="hi-IN"/>
        </w:rPr>
        <w:t xml:space="preserve"> pour un projet de recherche collaborative et pluridisciplinaire (</w:t>
      </w:r>
      <w:proofErr w:type="spellStart"/>
      <w:r w:rsidR="007519DD" w:rsidRPr="007519DD">
        <w:rPr>
          <w:rFonts w:ascii="Arial" w:hAnsi="Arial" w:cs="Mangal"/>
          <w:color w:val="auto"/>
          <w:kern w:val="2"/>
          <w:sz w:val="22"/>
          <w:lang w:bidi="hi-IN"/>
        </w:rPr>
        <w:t>PollDiff</w:t>
      </w:r>
      <w:proofErr w:type="spellEnd"/>
      <w:r w:rsidR="007519DD" w:rsidRPr="007519DD">
        <w:rPr>
          <w:rFonts w:ascii="Arial" w:hAnsi="Arial" w:cs="Mangal"/>
          <w:color w:val="auto"/>
          <w:kern w:val="2"/>
          <w:sz w:val="22"/>
          <w:lang w:bidi="hi-IN"/>
        </w:rPr>
        <w:t xml:space="preserve"> Captage) centré sur l’appui aux acteurs locaux engagés dans la préservation des eaux souterraines dans les périmètres de captage</w:t>
      </w:r>
      <w:r>
        <w:rPr>
          <w:rFonts w:ascii="Arial" w:hAnsi="Arial" w:cs="Mangal"/>
          <w:color w:val="auto"/>
          <w:kern w:val="2"/>
          <w:sz w:val="22"/>
          <w:lang w:bidi="hi-IN"/>
        </w:rPr>
        <w:t xml:space="preserve">, </w:t>
      </w:r>
      <w:r w:rsidR="007519DD" w:rsidRPr="007519DD">
        <w:rPr>
          <w:rFonts w:ascii="Arial" w:hAnsi="Arial" w:cs="Mangal"/>
          <w:color w:val="auto"/>
          <w:kern w:val="2"/>
          <w:sz w:val="22"/>
          <w:lang w:bidi="hi-IN"/>
        </w:rPr>
        <w:t>TETIS</w:t>
      </w:r>
      <w:r>
        <w:rPr>
          <w:rFonts w:ascii="Arial" w:hAnsi="Arial" w:cs="Mangal"/>
          <w:color w:val="auto"/>
          <w:kern w:val="2"/>
          <w:sz w:val="22"/>
          <w:lang w:bidi="hi-IN"/>
        </w:rPr>
        <w:t xml:space="preserve"> est</w:t>
      </w:r>
      <w:r w:rsidR="007519DD" w:rsidRPr="007519DD">
        <w:rPr>
          <w:rFonts w:ascii="Arial" w:hAnsi="Arial" w:cs="Mangal"/>
          <w:color w:val="auto"/>
          <w:kern w:val="2"/>
          <w:sz w:val="22"/>
          <w:lang w:bidi="hi-IN"/>
        </w:rPr>
        <w:t xml:space="preserve"> chargé du volet cartographie des couverts hivernaux par télédétection </w:t>
      </w:r>
    </w:p>
    <w:p w:rsidR="007519DD" w:rsidRPr="007519DD" w:rsidRDefault="005224D2" w:rsidP="005224D2">
      <w:pPr>
        <w:pStyle w:val="Default"/>
        <w:jc w:val="both"/>
        <w:rPr>
          <w:rFonts w:ascii="Arial" w:hAnsi="Arial" w:cs="Mangal"/>
          <w:color w:val="auto"/>
          <w:kern w:val="2"/>
          <w:sz w:val="22"/>
          <w:lang w:bidi="hi-IN"/>
        </w:rPr>
      </w:pPr>
      <w:r>
        <w:rPr>
          <w:rFonts w:ascii="Arial" w:hAnsi="Arial" w:cs="Mangal"/>
          <w:color w:val="auto"/>
          <w:kern w:val="2"/>
          <w:sz w:val="22"/>
          <w:lang w:bidi="hi-IN"/>
        </w:rPr>
        <w:t xml:space="preserve">De ce projet on peut retenir la proposition qui y est faite d’indicateurs dérivés des données optiques, à composer dans la ressource de classification : </w:t>
      </w:r>
    </w:p>
    <w:p w:rsidR="005224D2" w:rsidRDefault="005224D2" w:rsidP="005224D2">
      <w:pPr>
        <w:pStyle w:val="Paragraphedeliste"/>
        <w:widowControl/>
        <w:ind w:left="1854"/>
        <w:rPr>
          <w:sz w:val="22"/>
        </w:rPr>
      </w:pPr>
    </w:p>
    <w:p w:rsidR="007519DD" w:rsidRPr="005224D2" w:rsidRDefault="007519DD" w:rsidP="005224D2">
      <w:pPr>
        <w:pStyle w:val="Paragraphedeliste"/>
        <w:widowControl/>
        <w:ind w:left="1854"/>
        <w:rPr>
          <w:sz w:val="22"/>
        </w:rPr>
      </w:pPr>
      <w:r w:rsidRPr="005224D2">
        <w:rPr>
          <w:sz w:val="22"/>
        </w:rPr>
        <w:t xml:space="preserve">Bandes et indices à concaténer dans l’image : </w:t>
      </w:r>
    </w:p>
    <w:p w:rsidR="007519DD" w:rsidRPr="007519DD" w:rsidRDefault="007519DD" w:rsidP="005224D2">
      <w:pPr>
        <w:pStyle w:val="Default"/>
        <w:ind w:left="1134" w:firstLine="285"/>
        <w:rPr>
          <w:rFonts w:ascii="Arial" w:hAnsi="Arial" w:cs="Mangal"/>
          <w:color w:val="auto"/>
          <w:kern w:val="2"/>
          <w:sz w:val="22"/>
          <w:lang w:bidi="hi-IN"/>
        </w:rPr>
      </w:pPr>
    </w:p>
    <w:p w:rsidR="007519DD" w:rsidRPr="005224D2" w:rsidRDefault="007519DD" w:rsidP="005224D2">
      <w:pPr>
        <w:pStyle w:val="Paragraphedeliste"/>
        <w:widowControl/>
        <w:numPr>
          <w:ilvl w:val="0"/>
          <w:numId w:val="11"/>
        </w:numPr>
        <w:autoSpaceDE w:val="0"/>
        <w:autoSpaceDN w:val="0"/>
        <w:adjustRightInd w:val="0"/>
        <w:rPr>
          <w:sz w:val="22"/>
        </w:rPr>
      </w:pPr>
      <w:r w:rsidRPr="005224D2">
        <w:rPr>
          <w:sz w:val="22"/>
        </w:rPr>
        <w:t>NDVI</w:t>
      </w:r>
      <w:r w:rsidRPr="005224D2">
        <w:rPr>
          <w:sz w:val="22"/>
        </w:rPr>
        <w:tab/>
        <w:t>(B08 -B04) / (B08 + B04)</w:t>
      </w:r>
    </w:p>
    <w:p w:rsidR="007519DD" w:rsidRPr="005224D2" w:rsidRDefault="007519DD" w:rsidP="005224D2">
      <w:pPr>
        <w:pStyle w:val="Paragraphedeliste"/>
        <w:widowControl/>
        <w:numPr>
          <w:ilvl w:val="0"/>
          <w:numId w:val="11"/>
        </w:numPr>
        <w:autoSpaceDE w:val="0"/>
        <w:autoSpaceDN w:val="0"/>
        <w:adjustRightInd w:val="0"/>
        <w:rPr>
          <w:sz w:val="22"/>
        </w:rPr>
      </w:pPr>
      <w:r w:rsidRPr="005224D2">
        <w:rPr>
          <w:sz w:val="22"/>
        </w:rPr>
        <w:t>NDWI</w:t>
      </w:r>
      <w:r w:rsidRPr="005224D2">
        <w:rPr>
          <w:sz w:val="22"/>
        </w:rPr>
        <w:tab/>
        <w:t>(B08 -B11) / (B08 + B11)</w:t>
      </w:r>
    </w:p>
    <w:p w:rsidR="007519DD" w:rsidRPr="005224D2" w:rsidRDefault="007519DD" w:rsidP="005224D2">
      <w:pPr>
        <w:pStyle w:val="Paragraphedeliste"/>
        <w:widowControl/>
        <w:numPr>
          <w:ilvl w:val="0"/>
          <w:numId w:val="11"/>
        </w:numPr>
        <w:autoSpaceDE w:val="0"/>
        <w:autoSpaceDN w:val="0"/>
        <w:adjustRightInd w:val="0"/>
        <w:rPr>
          <w:sz w:val="22"/>
        </w:rPr>
      </w:pPr>
      <w:r w:rsidRPr="005224D2">
        <w:rPr>
          <w:sz w:val="22"/>
        </w:rPr>
        <w:t>EVI</w:t>
      </w:r>
      <w:r w:rsidRPr="005224D2">
        <w:rPr>
          <w:sz w:val="22"/>
        </w:rPr>
        <w:tab/>
        <w:t>(2.5 * (B08 -B04) / ((B08 + 6.0 * B04 -7.5 * B02) + 1.0)</w:t>
      </w:r>
    </w:p>
    <w:p w:rsidR="007519DD" w:rsidRPr="005224D2" w:rsidRDefault="007519DD" w:rsidP="005224D2">
      <w:pPr>
        <w:pStyle w:val="Paragraphedeliste"/>
        <w:widowControl/>
        <w:numPr>
          <w:ilvl w:val="0"/>
          <w:numId w:val="11"/>
        </w:numPr>
        <w:autoSpaceDE w:val="0"/>
        <w:autoSpaceDN w:val="0"/>
        <w:adjustRightInd w:val="0"/>
        <w:rPr>
          <w:sz w:val="22"/>
        </w:rPr>
      </w:pPr>
      <w:r w:rsidRPr="005224D2">
        <w:rPr>
          <w:sz w:val="22"/>
        </w:rPr>
        <w:t>NDTI</w:t>
      </w:r>
      <w:r w:rsidRPr="005224D2">
        <w:rPr>
          <w:sz w:val="22"/>
        </w:rPr>
        <w:tab/>
        <w:t>(B11 -B12) / (B11 + B12)</w:t>
      </w:r>
    </w:p>
    <w:p w:rsidR="007519DD" w:rsidRPr="007519DD" w:rsidRDefault="007519DD" w:rsidP="005224D2">
      <w:pPr>
        <w:widowControl/>
        <w:ind w:left="1134"/>
        <w:rPr>
          <w:color w:val="auto"/>
          <w:sz w:val="22"/>
        </w:rPr>
      </w:pPr>
    </w:p>
    <w:p w:rsidR="007519DD" w:rsidRDefault="005224D2" w:rsidP="007519DD">
      <w:pPr>
        <w:widowControl/>
        <w:rPr>
          <w:color w:val="auto"/>
          <w:sz w:val="22"/>
        </w:rPr>
      </w:pPr>
      <w:r>
        <w:rPr>
          <w:color w:val="auto"/>
          <w:sz w:val="22"/>
        </w:rPr>
        <w:t>Il serait à ce titre intéressant de t</w:t>
      </w:r>
      <w:r w:rsidR="007519DD" w:rsidRPr="007519DD">
        <w:rPr>
          <w:color w:val="auto"/>
          <w:sz w:val="22"/>
        </w:rPr>
        <w:t>ester</w:t>
      </w:r>
      <w:r>
        <w:rPr>
          <w:color w:val="auto"/>
          <w:sz w:val="22"/>
        </w:rPr>
        <w:t xml:space="preserve"> la</w:t>
      </w:r>
      <w:r w:rsidR="007519DD" w:rsidRPr="007519DD">
        <w:rPr>
          <w:color w:val="auto"/>
          <w:sz w:val="22"/>
        </w:rPr>
        <w:t xml:space="preserve"> </w:t>
      </w:r>
      <w:proofErr w:type="spellStart"/>
      <w:r>
        <w:rPr>
          <w:color w:val="auto"/>
          <w:sz w:val="22"/>
        </w:rPr>
        <w:t>transposabilité</w:t>
      </w:r>
      <w:proofErr w:type="spellEnd"/>
      <w:r>
        <w:rPr>
          <w:color w:val="auto"/>
          <w:sz w:val="22"/>
        </w:rPr>
        <w:t xml:space="preserve"> de cette</w:t>
      </w:r>
      <w:r w:rsidR="007519DD" w:rsidRPr="007519DD">
        <w:rPr>
          <w:color w:val="auto"/>
          <w:sz w:val="22"/>
        </w:rPr>
        <w:t xml:space="preserve"> méthode "couverts hivernaux par télédétection"</w:t>
      </w:r>
      <w:r>
        <w:rPr>
          <w:color w:val="auto"/>
          <w:sz w:val="22"/>
        </w:rPr>
        <w:t>.</w:t>
      </w:r>
    </w:p>
    <w:p w:rsidR="007519DD" w:rsidRPr="007519DD" w:rsidRDefault="007519DD" w:rsidP="007519DD">
      <w:pPr>
        <w:widowControl/>
        <w:rPr>
          <w:color w:val="auto"/>
          <w:sz w:val="22"/>
        </w:rPr>
      </w:pPr>
    </w:p>
    <w:p w:rsidR="007519DD" w:rsidRPr="005224D2" w:rsidRDefault="005224D2" w:rsidP="005224D2">
      <w:pPr>
        <w:widowControl/>
        <w:jc w:val="both"/>
        <w:rPr>
          <w:color w:val="auto"/>
          <w:sz w:val="22"/>
        </w:rPr>
      </w:pPr>
      <w:r>
        <w:rPr>
          <w:color w:val="auto"/>
          <w:sz w:val="22"/>
        </w:rPr>
        <w:t>Enfin, l’</w:t>
      </w:r>
      <w:proofErr w:type="spellStart"/>
      <w:r w:rsidR="007519DD" w:rsidRPr="005224D2">
        <w:rPr>
          <w:color w:val="auto"/>
          <w:sz w:val="22"/>
        </w:rPr>
        <w:t>Irstea</w:t>
      </w:r>
      <w:proofErr w:type="spellEnd"/>
      <w:r w:rsidR="007519DD" w:rsidRPr="005224D2">
        <w:rPr>
          <w:color w:val="auto"/>
          <w:sz w:val="22"/>
        </w:rPr>
        <w:t xml:space="preserve"> (aujourd’hui INRAE)</w:t>
      </w:r>
      <w:r w:rsidR="00913FB4">
        <w:rPr>
          <w:color w:val="auto"/>
          <w:sz w:val="22"/>
        </w:rPr>
        <w:t xml:space="preserve"> a mené en 2020 un projet de</w:t>
      </w:r>
      <w:r w:rsidR="007519DD" w:rsidRPr="005224D2">
        <w:rPr>
          <w:color w:val="auto"/>
          <w:sz w:val="22"/>
        </w:rPr>
        <w:t xml:space="preserve"> classification des séries temporelles Sentinel S1 (radar) et S2 (optique) en utilisation les relevés terrain pour calibrer les algorithmes et éval</w:t>
      </w:r>
      <w:r w:rsidR="00913FB4">
        <w:rPr>
          <w:color w:val="auto"/>
          <w:sz w:val="22"/>
        </w:rPr>
        <w:t>uer la précision des résultats.</w:t>
      </w:r>
    </w:p>
    <w:p w:rsidR="007519DD" w:rsidRPr="005224D2" w:rsidRDefault="00913FB4" w:rsidP="005224D2">
      <w:pPr>
        <w:widowControl/>
        <w:jc w:val="both"/>
        <w:rPr>
          <w:color w:val="auto"/>
          <w:sz w:val="22"/>
        </w:rPr>
      </w:pPr>
      <w:r>
        <w:rPr>
          <w:color w:val="auto"/>
          <w:sz w:val="22"/>
        </w:rPr>
        <w:t>Réalisé grâce à des</w:t>
      </w:r>
      <w:r w:rsidR="007519DD" w:rsidRPr="005224D2">
        <w:rPr>
          <w:color w:val="auto"/>
          <w:sz w:val="22"/>
        </w:rPr>
        <w:t xml:space="preserve"> d</w:t>
      </w:r>
      <w:r>
        <w:rPr>
          <w:color w:val="auto"/>
          <w:sz w:val="22"/>
        </w:rPr>
        <w:t>onnées vérité-terrain</w:t>
      </w:r>
      <w:r w:rsidR="007519DD" w:rsidRPr="005224D2">
        <w:rPr>
          <w:color w:val="auto"/>
          <w:sz w:val="22"/>
        </w:rPr>
        <w:t xml:space="preserve"> de la  DDT (Gers) et de la DRAAF (Occitanie</w:t>
      </w:r>
      <w:r>
        <w:rPr>
          <w:color w:val="auto"/>
          <w:sz w:val="22"/>
        </w:rPr>
        <w:t>), auxquelles nous avons accès, ces résultats sont donc reproductibles. Le projet se proposait la</w:t>
      </w:r>
      <w:r w:rsidR="007519DD" w:rsidRPr="005224D2">
        <w:rPr>
          <w:color w:val="auto"/>
          <w:sz w:val="22"/>
        </w:rPr>
        <w:t xml:space="preserve"> détection de type de couvert (sol nu, maïs, CIPAN, colza, prairie, cultures permanentes, repousse, tournesol) et de la qualité du couvert (terre, couvert faible, moyen, fort, très fort), elle–même distinguée selon le type de couverture précédente (sols nus / autres couverts). </w:t>
      </w:r>
    </w:p>
    <w:p w:rsidR="007519DD" w:rsidRPr="005224D2" w:rsidRDefault="00913FB4" w:rsidP="005224D2">
      <w:pPr>
        <w:widowControl/>
        <w:jc w:val="both"/>
        <w:rPr>
          <w:color w:val="auto"/>
          <w:sz w:val="22"/>
        </w:rPr>
      </w:pPr>
      <w:r>
        <w:rPr>
          <w:color w:val="auto"/>
          <w:sz w:val="22"/>
        </w:rPr>
        <w:t>L’e</w:t>
      </w:r>
      <w:r w:rsidR="007519DD" w:rsidRPr="005224D2">
        <w:rPr>
          <w:color w:val="auto"/>
          <w:sz w:val="22"/>
        </w:rPr>
        <w:t>nvironnement technique </w:t>
      </w:r>
      <w:r>
        <w:rPr>
          <w:color w:val="auto"/>
          <w:sz w:val="22"/>
        </w:rPr>
        <w:t>était le suivant</w:t>
      </w:r>
      <w:r w:rsidR="007519DD" w:rsidRPr="005224D2">
        <w:rPr>
          <w:color w:val="auto"/>
          <w:sz w:val="22"/>
        </w:rPr>
        <w:t xml:space="preserve">: Apprentissage supervisé (Algorithme </w:t>
      </w:r>
      <w:proofErr w:type="spellStart"/>
      <w:r w:rsidR="007519DD" w:rsidRPr="005224D2">
        <w:rPr>
          <w:color w:val="auto"/>
          <w:sz w:val="22"/>
        </w:rPr>
        <w:t>Random</w:t>
      </w:r>
      <w:proofErr w:type="spellEnd"/>
      <w:r w:rsidR="007519DD" w:rsidRPr="005224D2">
        <w:rPr>
          <w:color w:val="auto"/>
          <w:sz w:val="22"/>
        </w:rPr>
        <w:t xml:space="preserve"> Forest) pour classification au niveau </w:t>
      </w:r>
      <w:proofErr w:type="spellStart"/>
      <w:r w:rsidR="007519DD" w:rsidRPr="005224D2">
        <w:rPr>
          <w:color w:val="auto"/>
          <w:sz w:val="22"/>
        </w:rPr>
        <w:t>pixellaire</w:t>
      </w:r>
      <w:proofErr w:type="spellEnd"/>
      <w:r w:rsidR="007519DD" w:rsidRPr="005224D2">
        <w:rPr>
          <w:color w:val="auto"/>
          <w:sz w:val="22"/>
        </w:rPr>
        <w:t xml:space="preserve"> et vectoriel (basé sur le parcellaire), via le package </w:t>
      </w:r>
      <w:proofErr w:type="spellStart"/>
      <w:r w:rsidR="007519DD" w:rsidRPr="005224D2">
        <w:rPr>
          <w:color w:val="auto"/>
          <w:sz w:val="22"/>
        </w:rPr>
        <w:t>Orfeo</w:t>
      </w:r>
      <w:proofErr w:type="spellEnd"/>
      <w:r w:rsidR="007519DD" w:rsidRPr="005224D2">
        <w:rPr>
          <w:color w:val="auto"/>
          <w:sz w:val="22"/>
        </w:rPr>
        <w:t xml:space="preserve"> </w:t>
      </w:r>
      <w:proofErr w:type="spellStart"/>
      <w:r w:rsidR="007519DD" w:rsidRPr="005224D2">
        <w:rPr>
          <w:color w:val="auto"/>
          <w:sz w:val="22"/>
        </w:rPr>
        <w:t>ToolBox</w:t>
      </w:r>
      <w:proofErr w:type="spellEnd"/>
      <w:r>
        <w:rPr>
          <w:color w:val="auto"/>
          <w:sz w:val="22"/>
        </w:rPr>
        <w:t xml:space="preserve">. </w:t>
      </w:r>
    </w:p>
    <w:p w:rsidR="007519DD" w:rsidRPr="007519DD" w:rsidRDefault="007519DD" w:rsidP="007519DD">
      <w:pPr>
        <w:widowControl/>
        <w:ind w:left="709"/>
        <w:jc w:val="both"/>
        <w:rPr>
          <w:color w:val="auto"/>
          <w:sz w:val="22"/>
        </w:rPr>
      </w:pPr>
    </w:p>
    <w:p w:rsidR="007519DD" w:rsidRPr="007519DD" w:rsidRDefault="007519DD" w:rsidP="007519DD">
      <w:pPr>
        <w:widowControl/>
        <w:ind w:left="709"/>
        <w:jc w:val="both"/>
        <w:rPr>
          <w:color w:val="auto"/>
          <w:sz w:val="22"/>
        </w:rPr>
      </w:pPr>
    </w:p>
    <w:p w:rsidR="007519DD" w:rsidRPr="00913FB4" w:rsidRDefault="007519DD" w:rsidP="00913FB4">
      <w:pPr>
        <w:pStyle w:val="Paragraphedeliste"/>
        <w:widowControl/>
        <w:numPr>
          <w:ilvl w:val="0"/>
          <w:numId w:val="2"/>
        </w:numPr>
        <w:rPr>
          <w:b/>
          <w:color w:val="3B854B"/>
          <w:sz w:val="26"/>
          <w:szCs w:val="36"/>
        </w:rPr>
      </w:pPr>
      <w:r w:rsidRPr="00913FB4">
        <w:rPr>
          <w:b/>
          <w:color w:val="3B854B"/>
          <w:sz w:val="26"/>
          <w:szCs w:val="36"/>
        </w:rPr>
        <w:t>Pistes </w:t>
      </w:r>
      <w:r w:rsidR="00913FB4">
        <w:rPr>
          <w:b/>
          <w:color w:val="3B854B"/>
          <w:sz w:val="26"/>
          <w:szCs w:val="36"/>
        </w:rPr>
        <w:t>de réflexion</w:t>
      </w:r>
      <w:r w:rsidRPr="00913FB4">
        <w:rPr>
          <w:b/>
          <w:color w:val="3B854B"/>
          <w:sz w:val="26"/>
          <w:szCs w:val="36"/>
        </w:rPr>
        <w:t xml:space="preserve">: </w:t>
      </w:r>
    </w:p>
    <w:p w:rsidR="00913FB4" w:rsidRDefault="00913FB4" w:rsidP="00913FB4">
      <w:pPr>
        <w:widowControl/>
        <w:jc w:val="both"/>
        <w:rPr>
          <w:color w:val="auto"/>
          <w:sz w:val="22"/>
        </w:rPr>
      </w:pPr>
    </w:p>
    <w:p w:rsidR="007519DD" w:rsidRPr="00913FB4" w:rsidRDefault="007519DD" w:rsidP="00913FB4">
      <w:pPr>
        <w:pStyle w:val="Paragraphedeliste"/>
        <w:widowControl/>
        <w:numPr>
          <w:ilvl w:val="0"/>
          <w:numId w:val="12"/>
        </w:numPr>
        <w:jc w:val="both"/>
        <w:rPr>
          <w:sz w:val="22"/>
        </w:rPr>
      </w:pPr>
      <w:r w:rsidRPr="00913FB4">
        <w:rPr>
          <w:sz w:val="22"/>
        </w:rPr>
        <w:t>Application de la méthode à des années antérieures pour évaluer la progression des couverts hivernaux dans les pratiques agricoles, travail sur l’évolution du NDVI (indice de végétation) en lien avec l’activité photosynthétique de la végétation (suivi sécheresse)</w:t>
      </w:r>
      <w:r w:rsidR="00913FB4">
        <w:rPr>
          <w:sz w:val="22"/>
        </w:rPr>
        <w:t>.</w:t>
      </w:r>
    </w:p>
    <w:p w:rsidR="005224D2" w:rsidRDefault="005224D2" w:rsidP="007519DD">
      <w:pPr>
        <w:widowControl/>
        <w:ind w:left="709"/>
        <w:jc w:val="both"/>
        <w:rPr>
          <w:color w:val="auto"/>
          <w:sz w:val="22"/>
        </w:rPr>
      </w:pPr>
    </w:p>
    <w:p w:rsidR="005224D2" w:rsidRPr="00913FB4" w:rsidRDefault="00913FB4" w:rsidP="00913FB4">
      <w:pPr>
        <w:pStyle w:val="Paragraphedeliste"/>
        <w:widowControl/>
        <w:numPr>
          <w:ilvl w:val="0"/>
          <w:numId w:val="12"/>
        </w:numPr>
        <w:jc w:val="both"/>
        <w:rPr>
          <w:sz w:val="22"/>
        </w:rPr>
      </w:pPr>
      <w:r>
        <w:rPr>
          <w:sz w:val="22"/>
        </w:rPr>
        <w:t xml:space="preserve">Récolte de la vérité-terrain via </w:t>
      </w:r>
      <w:proofErr w:type="spellStart"/>
      <w:r w:rsidR="005224D2" w:rsidRPr="00913FB4">
        <w:rPr>
          <w:sz w:val="22"/>
        </w:rPr>
        <w:t>Qfield</w:t>
      </w:r>
      <w:proofErr w:type="spellEnd"/>
      <w:r w:rsidR="005224D2" w:rsidRPr="00913FB4">
        <w:rPr>
          <w:sz w:val="22"/>
        </w:rPr>
        <w:t xml:space="preserve"> (basés sur le RPG et des images SENTINEL- 2 de 2021) : à 2 périodes (</w:t>
      </w:r>
      <w:proofErr w:type="gramStart"/>
      <w:r w:rsidR="005224D2" w:rsidRPr="00913FB4">
        <w:rPr>
          <w:sz w:val="22"/>
        </w:rPr>
        <w:t>de la</w:t>
      </w:r>
      <w:proofErr w:type="gramEnd"/>
      <w:r w:rsidR="005224D2" w:rsidRPr="00913FB4">
        <w:rPr>
          <w:sz w:val="22"/>
        </w:rPr>
        <w:t xml:space="preserve"> mi à la fin octobre et de la mi-décembre à fin décembre ou début janvier)</w:t>
      </w:r>
      <w:r>
        <w:rPr>
          <w:sz w:val="22"/>
        </w:rPr>
        <w:t>.</w:t>
      </w:r>
    </w:p>
    <w:p w:rsidR="00913FB4" w:rsidRDefault="00913FB4" w:rsidP="00913FB4">
      <w:pPr>
        <w:pStyle w:val="Paragraphedeliste"/>
        <w:widowControl/>
        <w:numPr>
          <w:ilvl w:val="1"/>
          <w:numId w:val="12"/>
        </w:numPr>
        <w:autoSpaceDE w:val="0"/>
        <w:autoSpaceDN w:val="0"/>
        <w:adjustRightInd w:val="0"/>
        <w:jc w:val="both"/>
        <w:rPr>
          <w:sz w:val="22"/>
        </w:rPr>
      </w:pPr>
      <w:r>
        <w:rPr>
          <w:sz w:val="22"/>
        </w:rPr>
        <w:t>Récolte de</w:t>
      </w:r>
      <w:r w:rsidR="005224D2" w:rsidRPr="00913FB4">
        <w:rPr>
          <w:sz w:val="22"/>
        </w:rPr>
        <w:t xml:space="preserve"> données de terrain ponctuelles dont on se sert pour enrichir la table attributaire des parcelles RPG par jointure spatiale. </w:t>
      </w:r>
    </w:p>
    <w:p w:rsidR="00913FB4" w:rsidRPr="00913FB4" w:rsidRDefault="00913FB4" w:rsidP="00913FB4">
      <w:pPr>
        <w:pStyle w:val="Paragraphedeliste"/>
        <w:widowControl/>
        <w:autoSpaceDE w:val="0"/>
        <w:autoSpaceDN w:val="0"/>
        <w:adjustRightInd w:val="0"/>
        <w:jc w:val="both"/>
        <w:rPr>
          <w:sz w:val="22"/>
        </w:rPr>
      </w:pPr>
    </w:p>
    <w:p w:rsidR="00913FB4" w:rsidRPr="00913FB4" w:rsidRDefault="00913FB4" w:rsidP="00913FB4">
      <w:pPr>
        <w:pStyle w:val="Paragraphedeliste"/>
        <w:widowControl/>
        <w:numPr>
          <w:ilvl w:val="0"/>
          <w:numId w:val="12"/>
        </w:numPr>
        <w:autoSpaceDE w:val="0"/>
        <w:autoSpaceDN w:val="0"/>
        <w:adjustRightInd w:val="0"/>
        <w:jc w:val="both"/>
        <w:rPr>
          <w:sz w:val="22"/>
        </w:rPr>
      </w:pPr>
      <w:r w:rsidRPr="00913FB4">
        <w:rPr>
          <w:sz w:val="22"/>
        </w:rPr>
        <w:t xml:space="preserve">On procède ensuite, sur les parcelles renseignées, à une érosion des parcelles sur 10m (pour supprimer les effets de bords). </w:t>
      </w:r>
      <w:r w:rsidRPr="00913FB4">
        <w:rPr>
          <w:sz w:val="22"/>
        </w:rPr>
        <w:tab/>
      </w:r>
    </w:p>
    <w:p w:rsidR="00913FB4" w:rsidRPr="00913FB4" w:rsidRDefault="00913FB4" w:rsidP="00913FB4">
      <w:pPr>
        <w:widowControl/>
        <w:autoSpaceDE w:val="0"/>
        <w:autoSpaceDN w:val="0"/>
        <w:adjustRightInd w:val="0"/>
        <w:ind w:left="360"/>
        <w:jc w:val="both"/>
        <w:rPr>
          <w:sz w:val="22"/>
        </w:rPr>
      </w:pPr>
    </w:p>
    <w:p w:rsidR="00913FB4" w:rsidRDefault="00913FB4" w:rsidP="00913FB4">
      <w:pPr>
        <w:pStyle w:val="Paragraphedeliste"/>
        <w:widowControl/>
        <w:numPr>
          <w:ilvl w:val="0"/>
          <w:numId w:val="12"/>
        </w:numPr>
        <w:autoSpaceDE w:val="0"/>
        <w:autoSpaceDN w:val="0"/>
        <w:adjustRightInd w:val="0"/>
        <w:jc w:val="both"/>
        <w:rPr>
          <w:sz w:val="22"/>
        </w:rPr>
      </w:pPr>
      <w:r w:rsidRPr="00913FB4">
        <w:rPr>
          <w:sz w:val="22"/>
        </w:rPr>
        <w:t>Puis on partitionne les polygones de vérités terrains en différents jeux, dédiés à l’entraînement et à l’expansion (de façon mutuellement exclusive). On proposera ici une répartition des polygones a priori : jeux d’entrainement (70%), jeux d’expansion (30%)</w:t>
      </w:r>
    </w:p>
    <w:p w:rsidR="00913FB4" w:rsidRPr="00913FB4" w:rsidRDefault="00913FB4" w:rsidP="00913FB4">
      <w:pPr>
        <w:widowControl/>
        <w:autoSpaceDE w:val="0"/>
        <w:autoSpaceDN w:val="0"/>
        <w:adjustRightInd w:val="0"/>
        <w:jc w:val="both"/>
        <w:rPr>
          <w:sz w:val="22"/>
        </w:rPr>
      </w:pPr>
    </w:p>
    <w:p w:rsidR="005224D2" w:rsidRPr="00913FB4" w:rsidRDefault="005224D2" w:rsidP="00913FB4">
      <w:pPr>
        <w:pStyle w:val="Paragraphedeliste"/>
        <w:widowControl/>
        <w:numPr>
          <w:ilvl w:val="0"/>
          <w:numId w:val="12"/>
        </w:numPr>
        <w:autoSpaceDE w:val="0"/>
        <w:autoSpaceDN w:val="0"/>
        <w:adjustRightInd w:val="0"/>
        <w:jc w:val="both"/>
        <w:rPr>
          <w:sz w:val="22"/>
        </w:rPr>
      </w:pPr>
      <w:r w:rsidRPr="00913FB4">
        <w:rPr>
          <w:sz w:val="22"/>
        </w:rPr>
        <w:t xml:space="preserve">Pour les besoins de l’allègement du temps de calcul, on peut envisager une démarche exploratoire, visant à limiter le transfert des informations </w:t>
      </w:r>
      <w:proofErr w:type="spellStart"/>
      <w:r w:rsidRPr="00913FB4">
        <w:rPr>
          <w:sz w:val="22"/>
        </w:rPr>
        <w:t>pixellaires</w:t>
      </w:r>
      <w:proofErr w:type="spellEnd"/>
      <w:r w:rsidRPr="00913FB4">
        <w:rPr>
          <w:sz w:val="22"/>
        </w:rPr>
        <w:t xml:space="preserve"> au segment selon une sélection aléatoire stratifiée de 10000 pixels max. Si les temps de calculs ne sont pas prohibitifs, l’on peut penser à effectuer l’entraînement sur la totalité des pixels contenus dans les segments test. </w:t>
      </w:r>
    </w:p>
    <w:p w:rsidR="005224D2" w:rsidRPr="007519DD" w:rsidRDefault="005224D2" w:rsidP="00913FB4">
      <w:pPr>
        <w:pStyle w:val="Default"/>
        <w:jc w:val="both"/>
        <w:rPr>
          <w:rFonts w:ascii="Arial" w:hAnsi="Arial" w:cs="Mangal"/>
          <w:color w:val="auto"/>
          <w:kern w:val="2"/>
          <w:sz w:val="22"/>
          <w:lang w:bidi="hi-IN"/>
        </w:rPr>
      </w:pPr>
    </w:p>
    <w:p w:rsidR="005224D2" w:rsidRPr="007519DD" w:rsidRDefault="005224D2" w:rsidP="00913FB4">
      <w:pPr>
        <w:pStyle w:val="Default"/>
        <w:numPr>
          <w:ilvl w:val="0"/>
          <w:numId w:val="12"/>
        </w:numPr>
        <w:jc w:val="both"/>
        <w:rPr>
          <w:rFonts w:ascii="Arial" w:hAnsi="Arial" w:cs="Mangal"/>
          <w:color w:val="auto"/>
          <w:kern w:val="2"/>
          <w:sz w:val="22"/>
          <w:lang w:bidi="hi-IN"/>
        </w:rPr>
      </w:pPr>
      <w:r w:rsidRPr="007519DD">
        <w:rPr>
          <w:rFonts w:ascii="Arial" w:hAnsi="Arial" w:cs="Mangal"/>
          <w:color w:val="auto"/>
          <w:kern w:val="2"/>
          <w:sz w:val="22"/>
          <w:lang w:bidi="hi-IN"/>
        </w:rPr>
        <w:t>L’appariement de la classe prédite aux pixels au parcellaire RPG par vote majoritaire permet la régularisation des prédictions du modèle, mais induit une perte d’information potentielle intra-parcellaire.</w:t>
      </w:r>
    </w:p>
    <w:p w:rsidR="005224D2" w:rsidRPr="007519DD" w:rsidRDefault="005224D2" w:rsidP="005224D2">
      <w:pPr>
        <w:widowControl/>
        <w:rPr>
          <w:color w:val="auto"/>
          <w:sz w:val="22"/>
        </w:rPr>
      </w:pPr>
    </w:p>
    <w:p w:rsidR="005224D2" w:rsidRDefault="005224D2" w:rsidP="00913FB4">
      <w:pPr>
        <w:pStyle w:val="Paragraphedeliste"/>
        <w:widowControl/>
        <w:numPr>
          <w:ilvl w:val="0"/>
          <w:numId w:val="12"/>
        </w:numPr>
        <w:jc w:val="both"/>
        <w:rPr>
          <w:sz w:val="22"/>
        </w:rPr>
      </w:pPr>
      <w:r w:rsidRPr="00913FB4">
        <w:rPr>
          <w:sz w:val="22"/>
        </w:rPr>
        <w:t xml:space="preserve">Production des indices de qualification (confusion matrix, </w:t>
      </w:r>
      <w:proofErr w:type="spellStart"/>
      <w:r w:rsidRPr="00913FB4">
        <w:rPr>
          <w:sz w:val="22"/>
        </w:rPr>
        <w:t>precision</w:t>
      </w:r>
      <w:proofErr w:type="spellEnd"/>
      <w:r w:rsidRPr="00913FB4">
        <w:rPr>
          <w:sz w:val="22"/>
        </w:rPr>
        <w:t>,</w:t>
      </w:r>
      <w:r w:rsidR="00913FB4">
        <w:rPr>
          <w:sz w:val="22"/>
        </w:rPr>
        <w:t xml:space="preserve"> </w:t>
      </w:r>
      <w:proofErr w:type="spellStart"/>
      <w:r w:rsidRPr="00913FB4">
        <w:rPr>
          <w:sz w:val="22"/>
        </w:rPr>
        <w:t>recall</w:t>
      </w:r>
      <w:proofErr w:type="spellEnd"/>
      <w:r w:rsidRPr="00913FB4">
        <w:rPr>
          <w:sz w:val="22"/>
        </w:rPr>
        <w:t xml:space="preserve">, f-score et </w:t>
      </w:r>
      <w:proofErr w:type="spellStart"/>
      <w:r w:rsidRPr="00913FB4">
        <w:rPr>
          <w:sz w:val="22"/>
        </w:rPr>
        <w:t>overall</w:t>
      </w:r>
      <w:proofErr w:type="spellEnd"/>
      <w:r w:rsidRPr="00913FB4">
        <w:rPr>
          <w:sz w:val="22"/>
        </w:rPr>
        <w:t xml:space="preserve"> </w:t>
      </w:r>
      <w:proofErr w:type="spellStart"/>
      <w:r w:rsidRPr="00913FB4">
        <w:rPr>
          <w:sz w:val="22"/>
        </w:rPr>
        <w:t>accuracy</w:t>
      </w:r>
      <w:proofErr w:type="spellEnd"/>
      <w:r w:rsidRPr="00913FB4">
        <w:rPr>
          <w:sz w:val="22"/>
        </w:rPr>
        <w:t xml:space="preserve">) et comparaison avec les résultats obtenus par les projets précédents. En moyenne une OA comprise entre 0.7 et 0.8 est attendue pour les types de couvertures, et une OA supérieur à 0.8 est attendue pour la qualité des couverts. </w:t>
      </w:r>
    </w:p>
    <w:p w:rsidR="00913FB4" w:rsidRPr="00913FB4" w:rsidRDefault="00913FB4" w:rsidP="00913FB4">
      <w:pPr>
        <w:widowControl/>
        <w:rPr>
          <w:sz w:val="22"/>
        </w:rPr>
      </w:pPr>
    </w:p>
    <w:p w:rsidR="005224D2" w:rsidRPr="00913FB4" w:rsidRDefault="005224D2" w:rsidP="00913FB4">
      <w:pPr>
        <w:pStyle w:val="Default"/>
        <w:numPr>
          <w:ilvl w:val="0"/>
          <w:numId w:val="12"/>
        </w:numPr>
        <w:rPr>
          <w:rFonts w:ascii="Arial" w:hAnsi="Arial" w:cs="Mangal"/>
          <w:color w:val="auto"/>
          <w:kern w:val="2"/>
          <w:sz w:val="22"/>
          <w:lang w:bidi="hi-IN"/>
        </w:rPr>
      </w:pPr>
      <w:r w:rsidRPr="007519DD">
        <w:rPr>
          <w:rFonts w:ascii="Arial" w:hAnsi="Arial" w:cs="Mangal"/>
          <w:color w:val="auto"/>
          <w:kern w:val="2"/>
          <w:sz w:val="22"/>
          <w:lang w:bidi="hi-IN"/>
        </w:rPr>
        <w:t xml:space="preserve">Il faudra également procéder à l’examen des successions de couverture entre les 2 classifications, notamment au vu de la faible amplitude entre les deux dates estimées de récolte de la vérité-terrain, via l’appréciation des répartitions de transition maximales de classes entre les deux dates. Soit un tableau à double entrée donnant pour type de couvert détecté en T1 le type de couvert le plus détecté sur les mêmes polygones en T2, et leur proportion dans cette population.  </w:t>
      </w:r>
      <w:r w:rsidR="00913FB4">
        <w:rPr>
          <w:rFonts w:ascii="Arial" w:hAnsi="Arial" w:cs="Mangal"/>
          <w:color w:val="auto"/>
          <w:kern w:val="2"/>
          <w:sz w:val="22"/>
          <w:lang w:bidi="hi-IN"/>
        </w:rPr>
        <w:br/>
      </w:r>
    </w:p>
    <w:p w:rsidR="005224D2" w:rsidRPr="007519DD" w:rsidRDefault="00913FB4" w:rsidP="00913FB4">
      <w:pPr>
        <w:pStyle w:val="Paragraphedeliste"/>
        <w:widowControl/>
        <w:numPr>
          <w:ilvl w:val="0"/>
          <w:numId w:val="7"/>
        </w:numPr>
        <w:ind w:left="709"/>
        <w:jc w:val="both"/>
        <w:rPr>
          <w:sz w:val="22"/>
          <w:szCs w:val="24"/>
        </w:rPr>
      </w:pPr>
      <w:r>
        <w:rPr>
          <w:sz w:val="22"/>
          <w:szCs w:val="24"/>
        </w:rPr>
        <w:t>On pourra enfin croiser avec les données de contrôle de la directive nitrates effectués par la p</w:t>
      </w:r>
      <w:r w:rsidR="005224D2" w:rsidRPr="007519DD">
        <w:rPr>
          <w:sz w:val="22"/>
          <w:szCs w:val="24"/>
        </w:rPr>
        <w:t xml:space="preserve">olice de </w:t>
      </w:r>
      <w:r>
        <w:rPr>
          <w:sz w:val="22"/>
          <w:szCs w:val="24"/>
        </w:rPr>
        <w:t>l’environnement  (</w:t>
      </w:r>
      <w:r w:rsidR="005224D2" w:rsidRPr="007519DD">
        <w:rPr>
          <w:sz w:val="22"/>
          <w:szCs w:val="24"/>
        </w:rPr>
        <w:t>contrôle</w:t>
      </w:r>
      <w:r>
        <w:rPr>
          <w:sz w:val="22"/>
          <w:szCs w:val="24"/>
        </w:rPr>
        <w:t>s</w:t>
      </w:r>
      <w:r w:rsidR="005224D2" w:rsidRPr="007519DD">
        <w:rPr>
          <w:sz w:val="22"/>
          <w:szCs w:val="24"/>
        </w:rPr>
        <w:t xml:space="preserve"> OSCEAN et OPALE</w:t>
      </w:r>
      <w:r>
        <w:rPr>
          <w:sz w:val="22"/>
          <w:szCs w:val="24"/>
        </w:rPr>
        <w:t xml:space="preserve">) </w:t>
      </w:r>
    </w:p>
    <w:p w:rsidR="007519DD" w:rsidRDefault="007519DD" w:rsidP="007519DD">
      <w:pPr>
        <w:widowControl/>
        <w:jc w:val="both"/>
        <w:rPr>
          <w:sz w:val="22"/>
        </w:rPr>
      </w:pPr>
    </w:p>
    <w:p w:rsidR="007519DD" w:rsidRDefault="00DD095A" w:rsidP="00913FB4">
      <w:pPr>
        <w:pStyle w:val="Paragraphedeliste"/>
        <w:widowControl/>
        <w:numPr>
          <w:ilvl w:val="0"/>
          <w:numId w:val="2"/>
        </w:numPr>
        <w:rPr>
          <w:sz w:val="22"/>
          <w:u w:val="single"/>
        </w:rPr>
      </w:pPr>
      <w:r>
        <w:rPr>
          <w:sz w:val="22"/>
        </w:rPr>
        <w:br w:type="page"/>
      </w:r>
      <w:r w:rsidR="007519DD" w:rsidRPr="00913FB4">
        <w:rPr>
          <w:b/>
          <w:color w:val="3B854B"/>
          <w:sz w:val="26"/>
          <w:szCs w:val="36"/>
        </w:rPr>
        <w:lastRenderedPageBreak/>
        <w:t>Axes de travail :</w:t>
      </w:r>
      <w:r w:rsidR="007519DD">
        <w:rPr>
          <w:sz w:val="22"/>
          <w:u w:val="single"/>
        </w:rPr>
        <w:t xml:space="preserve"> </w:t>
      </w:r>
    </w:p>
    <w:p w:rsidR="00913FB4" w:rsidRDefault="00913FB4" w:rsidP="007519DD">
      <w:pPr>
        <w:tabs>
          <w:tab w:val="left" w:pos="9498"/>
        </w:tabs>
        <w:ind w:right="991"/>
        <w:rPr>
          <w:color w:val="auto"/>
          <w:sz w:val="22"/>
        </w:rPr>
      </w:pPr>
    </w:p>
    <w:p w:rsidR="007519DD" w:rsidRDefault="007519DD" w:rsidP="007519DD">
      <w:pPr>
        <w:tabs>
          <w:tab w:val="left" w:pos="9498"/>
        </w:tabs>
        <w:ind w:right="991"/>
        <w:rPr>
          <w:color w:val="auto"/>
          <w:sz w:val="22"/>
        </w:rPr>
      </w:pPr>
      <w:r>
        <w:rPr>
          <w:color w:val="auto"/>
          <w:sz w:val="22"/>
        </w:rPr>
        <w:t xml:space="preserve">On peut donc se proposer comme ordre du jour, pour la réunion du 28 Novembre 2021, l’évaluation des aspects suivants : </w:t>
      </w:r>
    </w:p>
    <w:p w:rsidR="007519DD" w:rsidRDefault="007519DD" w:rsidP="007519DD">
      <w:pPr>
        <w:pStyle w:val="Paragraphedeliste"/>
        <w:numPr>
          <w:ilvl w:val="0"/>
          <w:numId w:val="9"/>
        </w:numPr>
        <w:tabs>
          <w:tab w:val="left" w:pos="9498"/>
        </w:tabs>
        <w:ind w:right="991"/>
        <w:rPr>
          <w:sz w:val="22"/>
        </w:rPr>
      </w:pPr>
      <w:r>
        <w:rPr>
          <w:sz w:val="22"/>
        </w:rPr>
        <w:t>Critères de représentativité géostatistique de la vérité-terrain, et méthodologie à implémentée en ce sens</w:t>
      </w:r>
    </w:p>
    <w:p w:rsidR="007519DD" w:rsidRDefault="007519DD" w:rsidP="007519DD">
      <w:pPr>
        <w:pStyle w:val="Paragraphedeliste"/>
        <w:numPr>
          <w:ilvl w:val="0"/>
          <w:numId w:val="9"/>
        </w:numPr>
        <w:tabs>
          <w:tab w:val="left" w:pos="9498"/>
        </w:tabs>
        <w:ind w:right="991"/>
        <w:rPr>
          <w:sz w:val="22"/>
        </w:rPr>
      </w:pPr>
      <w:r>
        <w:rPr>
          <w:sz w:val="22"/>
        </w:rPr>
        <w:t>Définition des seuils entre les postes de qualité de couverture du sol</w:t>
      </w:r>
    </w:p>
    <w:p w:rsidR="007519DD" w:rsidRDefault="007519DD" w:rsidP="007519DD">
      <w:pPr>
        <w:pStyle w:val="Paragraphedeliste"/>
        <w:numPr>
          <w:ilvl w:val="0"/>
          <w:numId w:val="9"/>
        </w:numPr>
        <w:tabs>
          <w:tab w:val="left" w:pos="9498"/>
        </w:tabs>
        <w:ind w:right="991"/>
        <w:rPr>
          <w:sz w:val="22"/>
        </w:rPr>
      </w:pPr>
      <w:r>
        <w:rPr>
          <w:sz w:val="22"/>
        </w:rPr>
        <w:t>Préparation logistique d’une mission de collecte de la vérité-terrain entre Novembre et Décembre de l’année 2021, sur les départements cibles (Morbihan et Ille-et-Vilaine)</w:t>
      </w:r>
    </w:p>
    <w:p w:rsidR="00913FB4" w:rsidRDefault="00913FB4" w:rsidP="007519DD">
      <w:pPr>
        <w:pStyle w:val="Paragraphedeliste"/>
        <w:numPr>
          <w:ilvl w:val="0"/>
          <w:numId w:val="9"/>
        </w:numPr>
        <w:tabs>
          <w:tab w:val="left" w:pos="9498"/>
        </w:tabs>
        <w:ind w:right="991"/>
        <w:rPr>
          <w:sz w:val="22"/>
        </w:rPr>
      </w:pPr>
      <w:r>
        <w:rPr>
          <w:sz w:val="22"/>
        </w:rPr>
        <w:t>Réflexion sur la façon d’intégrer les données auxiliaires de vérités terrains (contrôles police de l’environnement) dans la démarche. A priori plutôt comme variable auxiliaire que comme substitut de la vérité-terrain.</w:t>
      </w:r>
    </w:p>
    <w:p w:rsidR="00913FB4" w:rsidRDefault="00913FB4" w:rsidP="007519DD">
      <w:pPr>
        <w:pStyle w:val="Paragraphedeliste"/>
        <w:numPr>
          <w:ilvl w:val="0"/>
          <w:numId w:val="9"/>
        </w:numPr>
        <w:tabs>
          <w:tab w:val="left" w:pos="9498"/>
        </w:tabs>
        <w:ind w:right="991"/>
        <w:rPr>
          <w:sz w:val="22"/>
        </w:rPr>
      </w:pPr>
      <w:r>
        <w:rPr>
          <w:sz w:val="22"/>
        </w:rPr>
        <w:t>Discuter de l’opportunité de d’intégrer des données radar dans la démarche, au vu des apports, des contraintes de développement et de l’inter comparabilité induite d’avec les précédentes vérités-terrains (tel que représenté sur le schéma suivant)</w:t>
      </w:r>
    </w:p>
    <w:p w:rsidR="00DD095A" w:rsidRDefault="00DD095A">
      <w:pPr>
        <w:widowControl/>
        <w:rPr>
          <w:sz w:val="22"/>
        </w:rPr>
      </w:pPr>
    </w:p>
    <w:p w:rsidR="00DD095A" w:rsidRDefault="00DD095A" w:rsidP="00C15C25">
      <w:pPr>
        <w:widowControl/>
        <w:rPr>
          <w:sz w:val="22"/>
        </w:rPr>
      </w:pPr>
      <w:r>
        <w:rPr>
          <w:noProof/>
          <w:lang w:eastAsia="fr-FR" w:bidi="ar-SA"/>
        </w:rPr>
        <w:drawing>
          <wp:inline distT="0" distB="0" distL="0" distR="0" wp14:anchorId="3E359D3D" wp14:editId="29DDFDDC">
            <wp:extent cx="5759450" cy="423478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59450" cy="4234782"/>
                    </a:xfrm>
                    <a:prstGeom prst="rect">
                      <a:avLst/>
                    </a:prstGeom>
                  </pic:spPr>
                </pic:pic>
              </a:graphicData>
            </a:graphic>
          </wp:inline>
        </w:drawing>
      </w:r>
    </w:p>
    <w:p w:rsidR="00DD095A" w:rsidRDefault="00DD095A">
      <w:pPr>
        <w:widowControl/>
        <w:rPr>
          <w:sz w:val="22"/>
        </w:rPr>
      </w:pPr>
    </w:p>
    <w:p w:rsidR="00DD095A" w:rsidRPr="00AC60A9" w:rsidRDefault="00DD095A" w:rsidP="00C15C25">
      <w:pPr>
        <w:widowControl/>
        <w:rPr>
          <w:sz w:val="22"/>
        </w:rPr>
      </w:pPr>
    </w:p>
    <w:p w:rsidR="00C15C25" w:rsidRDefault="00C15C25" w:rsidP="00C15C25">
      <w:pPr>
        <w:widowControl/>
      </w:pPr>
    </w:p>
    <w:p w:rsidR="00EA6C22" w:rsidRDefault="00EA6C22">
      <w:pPr>
        <w:widowControl/>
      </w:pPr>
    </w:p>
    <w:p w:rsidR="00D86EA2" w:rsidRDefault="00D86EA2">
      <w:pPr>
        <w:widowControl/>
      </w:pPr>
      <w:r>
        <w:br w:type="page"/>
      </w:r>
    </w:p>
    <w:p w:rsidR="00D86EA2" w:rsidRPr="001274FA" w:rsidRDefault="00D86EA2" w:rsidP="001274FA">
      <w:pPr>
        <w:pStyle w:val="Paragraphedeliste"/>
        <w:widowControl/>
        <w:numPr>
          <w:ilvl w:val="0"/>
          <w:numId w:val="2"/>
        </w:numPr>
      </w:pPr>
      <w:r>
        <w:rPr>
          <w:b/>
          <w:color w:val="3B854B"/>
          <w:sz w:val="26"/>
          <w:szCs w:val="36"/>
        </w:rPr>
        <w:lastRenderedPageBreak/>
        <w:t>Protocole de récolte de vérité-terrain</w:t>
      </w:r>
      <w:r w:rsidRPr="00D86EA2">
        <w:rPr>
          <w:b/>
          <w:color w:val="3B854B"/>
          <w:sz w:val="26"/>
          <w:szCs w:val="36"/>
        </w:rPr>
        <w:t> :</w:t>
      </w:r>
    </w:p>
    <w:p w:rsidR="00D86EA2" w:rsidRPr="00D86EA2" w:rsidRDefault="00D86EA2" w:rsidP="00D86EA2">
      <w:pPr>
        <w:pStyle w:val="Paragraphedeliste"/>
        <w:widowControl/>
        <w:ind w:left="1174"/>
      </w:pPr>
    </w:p>
    <w:p w:rsidR="00D86EA2" w:rsidRPr="00D86EA2" w:rsidRDefault="00D86EA2" w:rsidP="00D86EA2">
      <w:pPr>
        <w:pStyle w:val="Paragraphedeliste"/>
        <w:widowControl/>
        <w:numPr>
          <w:ilvl w:val="1"/>
          <w:numId w:val="2"/>
        </w:numPr>
      </w:pPr>
      <w:r>
        <w:rPr>
          <w:b/>
          <w:color w:val="3B854B"/>
          <w:sz w:val="26"/>
          <w:szCs w:val="36"/>
        </w:rPr>
        <w:t>Calendrier et Zonage</w:t>
      </w:r>
    </w:p>
    <w:p w:rsidR="00D86EA2" w:rsidRDefault="00D86EA2" w:rsidP="00D86EA2">
      <w:pPr>
        <w:widowControl/>
      </w:pPr>
    </w:p>
    <w:p w:rsidR="00D86EA2" w:rsidRDefault="005334A1" w:rsidP="005334A1">
      <w:pPr>
        <w:widowControl/>
        <w:jc w:val="both"/>
      </w:pPr>
      <w:r>
        <w:t>La récolte d’un premier jeu de vérité-terrain est prévu</w:t>
      </w:r>
      <w:r w:rsidR="00AA610B">
        <w:t>e</w:t>
      </w:r>
      <w:r>
        <w:t xml:space="preserve"> pour la semaine 48, du 29 Novembre au 3 Décembre 2021. Elle sera assurée par Josselin Barry et Hugo </w:t>
      </w:r>
      <w:proofErr w:type="spellStart"/>
      <w:r>
        <w:t>Senges</w:t>
      </w:r>
      <w:proofErr w:type="spellEnd"/>
      <w:r>
        <w:t xml:space="preserve">. </w:t>
      </w:r>
    </w:p>
    <w:p w:rsidR="005334A1" w:rsidRDefault="005334A1" w:rsidP="005334A1">
      <w:pPr>
        <w:widowControl/>
        <w:jc w:val="both"/>
      </w:pPr>
      <w:r>
        <w:t xml:space="preserve">Dans une perspective d’analyse diachronique, il serait très utile de pouvoir ensuite retourner sur les parcelles renseignées en premier lieu à la fin du mois de Décembre, ou bien début Janvier. Toutefois, en fonction de l’opportunité d’un tel protocole, et de la disponibilité des agents (notamment, Hugo </w:t>
      </w:r>
      <w:proofErr w:type="spellStart"/>
      <w:r>
        <w:t>Senges</w:t>
      </w:r>
      <w:proofErr w:type="spellEnd"/>
      <w:r>
        <w:t xml:space="preserve"> dont le contrat s’achève à la fin de l’année), une adaptation de cette démarche demandera une concertation ultérieure. </w:t>
      </w:r>
    </w:p>
    <w:p w:rsidR="005334A1" w:rsidRDefault="00AA610B" w:rsidP="005334A1">
      <w:pPr>
        <w:widowControl/>
        <w:jc w:val="both"/>
      </w:pPr>
      <w:r>
        <w:t>Concernant le zonage, cela dépendra de la localité choisie pour le logement des agents. Toutefois une fois cette information connue, l’extraction des parcelles RPG dans un rayon de 100km autour de ce point sera aisée. Au sein de ce nouvel ensemble on peut également filtrer en fonction d’un itinéraire choisi. Il est même possible de maximiser un indicateur comme le nombre de parcelles « </w:t>
      </w:r>
      <w:proofErr w:type="spellStart"/>
      <w:r>
        <w:t>renseignables</w:t>
      </w:r>
      <w:proofErr w:type="spellEnd"/>
      <w:r>
        <w:t> » par km parcouru afin de déterminer rationnellement cet itinéraire.</w:t>
      </w:r>
    </w:p>
    <w:p w:rsidR="00AA610B" w:rsidRDefault="00AA610B" w:rsidP="005334A1">
      <w:pPr>
        <w:widowControl/>
        <w:jc w:val="both"/>
      </w:pPr>
      <w:r>
        <w:t xml:space="preserve">Visuellement on peut s’appuyer sur les éléments de références ci-dessous pour appréhender la façon avec laquelle les agents se repèreront sur le terrain. </w:t>
      </w:r>
    </w:p>
    <w:p w:rsidR="00AA610B" w:rsidRDefault="00260662" w:rsidP="005334A1">
      <w:pPr>
        <w:widowControl/>
        <w:jc w:val="both"/>
      </w:pPr>
      <w:r>
        <w:rPr>
          <w:noProof/>
        </w:rPr>
        <mc:AlternateContent>
          <mc:Choice Requires="wps">
            <w:drawing>
              <wp:anchor distT="0" distB="0" distL="114300" distR="114300" simplePos="0" relativeHeight="251666432" behindDoc="0" locked="0" layoutInCell="1" allowOverlap="1" wp14:anchorId="2A75D87B" wp14:editId="05FEA3D4">
                <wp:simplePos x="0" y="0"/>
                <wp:positionH relativeFrom="column">
                  <wp:posOffset>2647950</wp:posOffset>
                </wp:positionH>
                <wp:positionV relativeFrom="paragraph">
                  <wp:posOffset>142240</wp:posOffset>
                </wp:positionV>
                <wp:extent cx="3880485" cy="378460"/>
                <wp:effectExtent l="0" t="0" r="5715" b="2540"/>
                <wp:wrapSquare wrapText="bothSides"/>
                <wp:docPr id="2" name="Zone de texte 2"/>
                <wp:cNvGraphicFramePr/>
                <a:graphic xmlns:a="http://schemas.openxmlformats.org/drawingml/2006/main">
                  <a:graphicData uri="http://schemas.microsoft.com/office/word/2010/wordprocessingShape">
                    <wps:wsp>
                      <wps:cNvSpPr txBox="1"/>
                      <wps:spPr>
                        <a:xfrm>
                          <a:off x="0" y="0"/>
                          <a:ext cx="3880485" cy="378460"/>
                        </a:xfrm>
                        <a:prstGeom prst="rect">
                          <a:avLst/>
                        </a:prstGeom>
                        <a:solidFill>
                          <a:prstClr val="white"/>
                        </a:solidFill>
                        <a:ln>
                          <a:noFill/>
                        </a:ln>
                        <a:effectLst/>
                      </wps:spPr>
                      <wps:txbx>
                        <w:txbxContent>
                          <w:p w:rsidR="00260662" w:rsidRPr="00426E95" w:rsidRDefault="00260662" w:rsidP="00260662">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Représentation du RPG superposé à une </w:t>
                            </w:r>
                            <w:proofErr w:type="spellStart"/>
                            <w:r>
                              <w:t>orthoimage</w:t>
                            </w:r>
                            <w:proofErr w:type="spellEnd"/>
                            <w:r>
                              <w:t xml:space="preserve">. Ressource type sur laquelle visualiser la </w:t>
                            </w:r>
                            <w:proofErr w:type="spellStart"/>
                            <w:r>
                              <w:t>saise</w:t>
                            </w:r>
                            <w:proofErr w:type="spellEnd"/>
                            <w:r>
                              <w:t xml:space="preserve"> des observations terrains sur </w:t>
                            </w:r>
                            <w:proofErr w:type="spellStart"/>
                            <w:r>
                              <w:t>Qfield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 o:spid="_x0000_s1029" type="#_x0000_t202" style="position:absolute;left:0;text-align:left;margin-left:208.5pt;margin-top:11.2pt;width:305.55pt;height:29.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" stroked="f">
                <v:textbox inset="0,0,0,0">
                  <w:txbxContent>
                    <w:p w:rsidR="00260662" w:rsidRPr="00426E95" w:rsidRDefault="00260662" w:rsidP="00260662">
                      <w:pPr>
                        <w:pStyle w:val="Lgende"/>
                        <w:rPr>
                          <w:noProof/>
                        </w:rPr>
                      </w:pPr>
                      <w:r>
                        <w:t xml:space="preserve">Figure </w:t>
                      </w:r>
                      <w:r>
                        <w:fldChar w:fldCharType="begin"/>
                      </w:r>
                      <w:r>
                        <w:instrText xml:space="preserve"> SEQ Figure \* ARABIC </w:instrText>
                      </w:r>
                      <w:r>
                        <w:fldChar w:fldCharType="separate"/>
                      </w:r>
                      <w:r>
                        <w:rPr>
                          <w:noProof/>
                        </w:rPr>
                        <w:t>2</w:t>
                      </w:r>
                      <w:r>
                        <w:fldChar w:fldCharType="end"/>
                      </w:r>
                      <w:r>
                        <w:t xml:space="preserve"> : Représentation du RPG superposé à une </w:t>
                      </w:r>
                      <w:proofErr w:type="spellStart"/>
                      <w:r>
                        <w:t>orthoimage</w:t>
                      </w:r>
                      <w:proofErr w:type="spellEnd"/>
                      <w:r>
                        <w:t xml:space="preserve">. Ressource type sur laquelle visualiser la </w:t>
                      </w:r>
                      <w:proofErr w:type="spellStart"/>
                      <w:r>
                        <w:t>saise</w:t>
                      </w:r>
                      <w:proofErr w:type="spellEnd"/>
                      <w:r>
                        <w:t xml:space="preserve"> des observations terrains sur </w:t>
                      </w:r>
                      <w:proofErr w:type="spellStart"/>
                      <w:r>
                        <w:t>Qfield</w:t>
                      </w:r>
                      <w:proofErr w:type="spellEnd"/>
                    </w:p>
                  </w:txbxContent>
                </v:textbox>
                <w10:wrap type="square"/>
              </v:shape>
            </w:pict>
          </mc:Fallback>
        </mc:AlternateContent>
      </w:r>
      <w:r w:rsidR="00AA610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1.35pt;margin-top:222.3pt;width:219.3pt;height:309.8pt;z-index:251662336;mso-position-horizontal-relative:margin;mso-position-vertical-relative:margin">
            <v:imagedata r:id="rId12" o:title="CARTE_z2"/>
            <w10:wrap type="square" anchorx="margin" anchory="margin"/>
          </v:shape>
        </w:pict>
      </w:r>
    </w:p>
    <w:p w:rsidR="00260662" w:rsidRDefault="00260662" w:rsidP="00AA610B">
      <w:pPr>
        <w:keepNext/>
        <w:widowControl/>
        <w:jc w:val="both"/>
      </w:pPr>
    </w:p>
    <w:p w:rsidR="00AA610B" w:rsidRDefault="00260662" w:rsidP="00AA610B">
      <w:pPr>
        <w:keepNext/>
        <w:widowControl/>
        <w:jc w:val="both"/>
      </w:pPr>
      <w:r>
        <w:rPr>
          <w:noProof/>
        </w:rPr>
        <w:pict>
          <v:shape id="_x0000_s1027" type="#_x0000_t75" style="position:absolute;left:0;text-align:left;margin-left:197.95pt;margin-top:265.3pt;width:305.55pt;height:185.85pt;z-index:251664384;mso-position-horizontal-relative:margin;mso-position-vertical-relative:margin">
            <v:imagedata r:id="rId13" o:title="erreur_inf_5m"/>
            <w10:wrap type="square" anchorx="margin" anchory="margin"/>
          </v:shape>
        </w:pict>
      </w:r>
    </w:p>
    <w:p w:rsidR="00AA610B" w:rsidRDefault="00AA610B" w:rsidP="00260662">
      <w:pPr>
        <w:pStyle w:val="Lgende"/>
        <w:ind w:right="565"/>
        <w:jc w:val="both"/>
      </w:pPr>
      <w:r>
        <w:t xml:space="preserve">Figure </w:t>
      </w:r>
      <w:r>
        <w:fldChar w:fldCharType="begin"/>
      </w:r>
      <w:r>
        <w:instrText xml:space="preserve"> SEQ Figure \* ARABIC </w:instrText>
      </w:r>
      <w:r>
        <w:fldChar w:fldCharType="separate"/>
      </w:r>
      <w:r w:rsidR="00260662">
        <w:rPr>
          <w:noProof/>
        </w:rPr>
        <w:t>3</w:t>
      </w:r>
      <w:r>
        <w:fldChar w:fldCharType="end"/>
      </w:r>
      <w:r>
        <w:t xml:space="preserve"> : Cartographie d'un itinéraire de collecte de vérité-terrain, issu du projet DRAAF Occitanie 2019</w:t>
      </w:r>
    </w:p>
    <w:p w:rsidR="00D86EA2" w:rsidRPr="00D86EA2" w:rsidRDefault="00D86EA2" w:rsidP="00D86EA2">
      <w:pPr>
        <w:widowControl/>
      </w:pPr>
    </w:p>
    <w:p w:rsidR="00D86EA2" w:rsidRPr="005334A1" w:rsidRDefault="00D86EA2" w:rsidP="00D86EA2">
      <w:pPr>
        <w:pStyle w:val="Paragraphedeliste"/>
        <w:widowControl/>
        <w:numPr>
          <w:ilvl w:val="1"/>
          <w:numId w:val="2"/>
        </w:numPr>
      </w:pPr>
      <w:r>
        <w:rPr>
          <w:b/>
          <w:color w:val="3B854B"/>
          <w:sz w:val="26"/>
          <w:szCs w:val="36"/>
        </w:rPr>
        <w:t>Logistique</w:t>
      </w:r>
    </w:p>
    <w:p w:rsidR="005334A1" w:rsidRPr="00260662" w:rsidRDefault="005334A1" w:rsidP="005334A1">
      <w:pPr>
        <w:widowControl/>
        <w:rPr>
          <w:sz w:val="6"/>
        </w:rPr>
      </w:pPr>
    </w:p>
    <w:p w:rsidR="005334A1" w:rsidRDefault="005334A1" w:rsidP="00DA1E5E">
      <w:pPr>
        <w:widowControl/>
        <w:jc w:val="both"/>
      </w:pPr>
      <w:r>
        <w:t>A bord d’un véhicule les agents se rendront sur dans différentes communes de la zone investiguées et, sur la base d’un plan représentant les différentes parcelles RPG renseignées dans la zone, enregistreront leur</w:t>
      </w:r>
      <w:r w:rsidR="00DA1E5E">
        <w:t>s</w:t>
      </w:r>
      <w:r>
        <w:t xml:space="preserve"> observations directement sur portable ou tablette, via l’application </w:t>
      </w:r>
      <w:proofErr w:type="spellStart"/>
      <w:r>
        <w:t>Qfield</w:t>
      </w:r>
      <w:proofErr w:type="spellEnd"/>
      <w:r>
        <w:t>. Y sera chargé un projet</w:t>
      </w:r>
      <w:r w:rsidR="00DA1E5E">
        <w:t xml:space="preserve"> superposant un fond de carte (OSM par exemple) et la donnée vectorielle du RPG de l’année 2019 (le 2020 n’étant toujours pas </w:t>
      </w:r>
      <w:proofErr w:type="gramStart"/>
      <w:r w:rsidR="00DA1E5E">
        <w:t>publié</w:t>
      </w:r>
      <w:proofErr w:type="gramEnd"/>
      <w:r w:rsidR="00DA1E5E">
        <w:t xml:space="preserve">). Cette donnée vectorielle sera issue d’un sous-échantillonnage de la donnée départementale, et comportera des champs textes vides, dont le remplissage se fera selon les observations terrains et en accord avec la nomenclature choisie. </w:t>
      </w:r>
    </w:p>
    <w:p w:rsidR="00DA1E5E" w:rsidRDefault="00DA1E5E" w:rsidP="00DA1E5E">
      <w:pPr>
        <w:widowControl/>
        <w:jc w:val="both"/>
      </w:pPr>
      <w:r>
        <w:t xml:space="preserve">En fonction de la densité des champs dans les communes traversées, des conditions de </w:t>
      </w:r>
      <w:r w:rsidR="001274FA">
        <w:t>trafic</w:t>
      </w:r>
      <w:r>
        <w:t xml:space="preserve"> et de temps d’acquisition, deux ou trois jours d’observations devraient permettre d’acquérir un nombre suffisant de renseignements. Un critère devra être gardé à l’esprit qui touche à la diversité des couverts observés en vérité-terrain. A ce titre, la lecture régulière par les agents sur le terrain des statistiques d’effectifs de champs renseignés par poste de la nomenclature est importante. </w:t>
      </w:r>
    </w:p>
    <w:p w:rsidR="00DA1E5E" w:rsidRDefault="00DA1E5E" w:rsidP="00DA1E5E">
      <w:pPr>
        <w:widowControl/>
        <w:jc w:val="both"/>
      </w:pPr>
      <w:r>
        <w:lastRenderedPageBreak/>
        <w:t xml:space="preserve">L’acquisition proprement dite, se fera préférentiellement hors du véhicule, le plu </w:t>
      </w:r>
      <w:r w:rsidR="00226897">
        <w:t>près possible du champ</w:t>
      </w:r>
      <w:r>
        <w:t xml:space="preserve"> investigué. Cela </w:t>
      </w:r>
      <w:r w:rsidR="00226897">
        <w:t>permettra</w:t>
      </w:r>
      <w:r>
        <w:t xml:space="preserve"> de réduire au maximum les incertitudes liées à la faible levée des couverts végétaux et de réduire les indécisions relatives au classement d’une surface entre deux postes distincts de la nomenclature (par exemple « végétation peu couvrante » et « végétation sèche »)</w:t>
      </w:r>
      <w:r w:rsidR="00226897">
        <w:t>.</w:t>
      </w:r>
    </w:p>
    <w:p w:rsidR="005334A1" w:rsidRPr="00D86EA2" w:rsidRDefault="005334A1" w:rsidP="005334A1">
      <w:pPr>
        <w:widowControl/>
      </w:pPr>
    </w:p>
    <w:p w:rsidR="00226897" w:rsidRPr="00226897" w:rsidRDefault="00D86EA2" w:rsidP="00226897">
      <w:pPr>
        <w:pStyle w:val="Paragraphedeliste"/>
        <w:widowControl/>
        <w:numPr>
          <w:ilvl w:val="1"/>
          <w:numId w:val="2"/>
        </w:numPr>
      </w:pPr>
      <w:r>
        <w:rPr>
          <w:b/>
          <w:color w:val="3B854B"/>
          <w:sz w:val="26"/>
          <w:szCs w:val="36"/>
        </w:rPr>
        <w:t>Nomenclature(s)</w:t>
      </w:r>
    </w:p>
    <w:p w:rsidR="00226897" w:rsidRDefault="00226897" w:rsidP="00226897">
      <w:pPr>
        <w:widowControl/>
      </w:pPr>
    </w:p>
    <w:p w:rsidR="00226897" w:rsidRDefault="00226897" w:rsidP="001274FA">
      <w:pPr>
        <w:widowControl/>
        <w:jc w:val="both"/>
      </w:pPr>
      <w:r>
        <w:t>Dans une perspective de comparabilité de nos résultats av</w:t>
      </w:r>
      <w:r w:rsidR="001274FA">
        <w:t>e</w:t>
      </w:r>
      <w:r>
        <w:t>c les études déjà implémentées sur la question, l’adoption d’une nomenclature compatible avec ces résultats préexistants semble être un point important de notre méthode. Toutefois il ne sera pas possible de répondre exactement aux mêmes distinctions que présentées dans les méthodes de 2015 (TETIS-ONEMA) et de 2019 (IRSTEA-</w:t>
      </w:r>
      <w:proofErr w:type="spellStart"/>
      <w:r>
        <w:t>Envilys</w:t>
      </w:r>
      <w:proofErr w:type="spellEnd"/>
      <w:r>
        <w:t xml:space="preserve">). La cause en est la trop grande </w:t>
      </w:r>
      <w:r w:rsidR="001274FA">
        <w:t>ambiguïté</w:t>
      </w:r>
      <w:r>
        <w:t xml:space="preserve"> introduite par le croisement de leurs nomenclatures respectives (impossible de distinguer ainsi la « végétation peu couvrante » de la méthode de 2015 et les couverts « autres » que « sols-nus » de qualité « faible » dans la </w:t>
      </w:r>
      <w:r w:rsidR="001274FA">
        <w:t>méthode</w:t>
      </w:r>
      <w:r>
        <w:t xml:space="preserve"> de 2019).</w:t>
      </w:r>
    </w:p>
    <w:p w:rsidR="00226897" w:rsidRDefault="00226897" w:rsidP="001274FA">
      <w:pPr>
        <w:widowControl/>
        <w:jc w:val="both"/>
      </w:pPr>
      <w:r>
        <w:t xml:space="preserve">Ainsi c’est une approche proche mais propre qui sera adoptée ici, en reprenant le principe de la double qualification des surfaces. D’une part une nomenclature de couverture du sol </w:t>
      </w:r>
      <w:r w:rsidR="001274FA">
        <w:t>traditionnelle</w:t>
      </w:r>
      <w:r>
        <w:t xml:space="preserve">. EN fonction des couverts rencontrés en vérité-terrain certains postes peuvent être amenés à évoluer mais l’on peut partir à cet endroit de la nomenclature </w:t>
      </w:r>
      <w:r w:rsidR="001274FA">
        <w:t>proposée</w:t>
      </w:r>
      <w:r>
        <w:t xml:space="preserve"> pour la couverture du sol dans la méthodologie de 2015 : </w:t>
      </w:r>
    </w:p>
    <w:p w:rsidR="001274FA" w:rsidRDefault="001274FA" w:rsidP="00226897">
      <w:pPr>
        <w:widowControl/>
      </w:pPr>
    </w:p>
    <w:tbl>
      <w:tblPr>
        <w:tblStyle w:val="Grilledutableau"/>
        <w:tblW w:w="0" w:type="auto"/>
        <w:tblInd w:w="537" w:type="dxa"/>
        <w:tblLook w:val="04A0" w:firstRow="1" w:lastRow="0" w:firstColumn="1" w:lastColumn="0" w:noHBand="0" w:noVBand="1"/>
      </w:tblPr>
      <w:tblGrid>
        <w:gridCol w:w="1833"/>
        <w:gridCol w:w="6200"/>
        <w:gridCol w:w="716"/>
      </w:tblGrid>
      <w:tr w:rsidR="001274FA" w:rsidTr="00375E69">
        <w:tc>
          <w:tcPr>
            <w:tcW w:w="8749" w:type="dxa"/>
            <w:gridSpan w:val="3"/>
          </w:tcPr>
          <w:p w:rsidR="001274FA" w:rsidRPr="001274FA" w:rsidRDefault="001274FA" w:rsidP="001274FA">
            <w:pPr>
              <w:widowControl/>
              <w:jc w:val="center"/>
              <w:rPr>
                <w:b/>
              </w:rPr>
            </w:pPr>
            <w:r>
              <w:rPr>
                <w:b/>
              </w:rPr>
              <w:t>Couverture du sol</w:t>
            </w:r>
          </w:p>
        </w:tc>
      </w:tr>
      <w:tr w:rsidR="001274FA" w:rsidTr="001274FA">
        <w:tc>
          <w:tcPr>
            <w:tcW w:w="1833" w:type="dxa"/>
          </w:tcPr>
          <w:p w:rsidR="001274FA" w:rsidRPr="001274FA" w:rsidRDefault="001274FA" w:rsidP="00226897">
            <w:pPr>
              <w:widowControl/>
              <w:rPr>
                <w:b/>
              </w:rPr>
            </w:pPr>
            <w:r w:rsidRPr="001274FA">
              <w:rPr>
                <w:b/>
              </w:rPr>
              <w:t xml:space="preserve">Poste </w:t>
            </w:r>
          </w:p>
        </w:tc>
        <w:tc>
          <w:tcPr>
            <w:tcW w:w="6200" w:type="dxa"/>
          </w:tcPr>
          <w:p w:rsidR="001274FA" w:rsidRPr="001274FA" w:rsidRDefault="001274FA" w:rsidP="00226897">
            <w:pPr>
              <w:widowControl/>
              <w:rPr>
                <w:b/>
              </w:rPr>
            </w:pPr>
            <w:r w:rsidRPr="001274FA">
              <w:rPr>
                <w:b/>
              </w:rPr>
              <w:t>Observation</w:t>
            </w:r>
          </w:p>
        </w:tc>
        <w:tc>
          <w:tcPr>
            <w:tcW w:w="716" w:type="dxa"/>
          </w:tcPr>
          <w:p w:rsidR="001274FA" w:rsidRPr="001274FA" w:rsidRDefault="001274FA" w:rsidP="00226897">
            <w:pPr>
              <w:widowControl/>
              <w:rPr>
                <w:b/>
              </w:rPr>
            </w:pPr>
            <w:r w:rsidRPr="001274FA">
              <w:rPr>
                <w:b/>
              </w:rPr>
              <w:t>Code</w:t>
            </w:r>
          </w:p>
        </w:tc>
      </w:tr>
      <w:tr w:rsidR="001274FA" w:rsidTr="001274FA">
        <w:tc>
          <w:tcPr>
            <w:tcW w:w="1833" w:type="dxa"/>
          </w:tcPr>
          <w:p w:rsidR="001274FA" w:rsidRDefault="001274FA" w:rsidP="00226897">
            <w:pPr>
              <w:widowControl/>
            </w:pPr>
            <w:r>
              <w:t>Maïs</w:t>
            </w:r>
          </w:p>
        </w:tc>
        <w:tc>
          <w:tcPr>
            <w:tcW w:w="6200" w:type="dxa"/>
          </w:tcPr>
          <w:p w:rsidR="001274FA" w:rsidRDefault="001274FA" w:rsidP="00226897">
            <w:pPr>
              <w:widowControl/>
            </w:pPr>
            <w:r>
              <w:t>Probablement sous forme de végétation sèche issue de la fauche</w:t>
            </w:r>
          </w:p>
        </w:tc>
        <w:tc>
          <w:tcPr>
            <w:tcW w:w="716" w:type="dxa"/>
          </w:tcPr>
          <w:p w:rsidR="001274FA" w:rsidRDefault="001274FA" w:rsidP="00226897">
            <w:pPr>
              <w:widowControl/>
            </w:pPr>
            <w:r>
              <w:t>Mai</w:t>
            </w:r>
          </w:p>
        </w:tc>
      </w:tr>
      <w:tr w:rsidR="001274FA" w:rsidTr="001274FA">
        <w:tc>
          <w:tcPr>
            <w:tcW w:w="1833" w:type="dxa"/>
          </w:tcPr>
          <w:p w:rsidR="001274FA" w:rsidRDefault="001274FA" w:rsidP="00226897">
            <w:pPr>
              <w:widowControl/>
            </w:pPr>
            <w:r>
              <w:t>Céréales</w:t>
            </w:r>
          </w:p>
        </w:tc>
        <w:tc>
          <w:tcPr>
            <w:tcW w:w="6200" w:type="dxa"/>
          </w:tcPr>
          <w:p w:rsidR="001274FA" w:rsidRDefault="001274FA" w:rsidP="001274FA">
            <w:pPr>
              <w:widowControl/>
            </w:pPr>
            <w:r>
              <w:t>Céréales d’hiver t faiblement couvrante dans la période</w:t>
            </w:r>
          </w:p>
        </w:tc>
        <w:tc>
          <w:tcPr>
            <w:tcW w:w="716" w:type="dxa"/>
          </w:tcPr>
          <w:p w:rsidR="001274FA" w:rsidRDefault="001274FA" w:rsidP="00226897">
            <w:pPr>
              <w:widowControl/>
            </w:pPr>
            <w:proofErr w:type="spellStart"/>
            <w:r>
              <w:t>Cer</w:t>
            </w:r>
            <w:proofErr w:type="spellEnd"/>
          </w:p>
        </w:tc>
      </w:tr>
      <w:tr w:rsidR="001274FA" w:rsidTr="001274FA">
        <w:tc>
          <w:tcPr>
            <w:tcW w:w="1833" w:type="dxa"/>
          </w:tcPr>
          <w:p w:rsidR="001274FA" w:rsidRDefault="001274FA" w:rsidP="00226897">
            <w:pPr>
              <w:widowControl/>
            </w:pPr>
            <w:r>
              <w:t>Tournesol</w:t>
            </w:r>
          </w:p>
        </w:tc>
        <w:tc>
          <w:tcPr>
            <w:tcW w:w="6200" w:type="dxa"/>
          </w:tcPr>
          <w:p w:rsidR="001274FA" w:rsidRDefault="001274FA" w:rsidP="00226897">
            <w:pPr>
              <w:widowControl/>
            </w:pPr>
            <w:r>
              <w:t>Probablement relativement proche du Maïs</w:t>
            </w:r>
          </w:p>
        </w:tc>
        <w:tc>
          <w:tcPr>
            <w:tcW w:w="716" w:type="dxa"/>
          </w:tcPr>
          <w:p w:rsidR="001274FA" w:rsidRDefault="001274FA" w:rsidP="00226897">
            <w:pPr>
              <w:widowControl/>
            </w:pPr>
            <w:proofErr w:type="spellStart"/>
            <w:r>
              <w:t>Tou</w:t>
            </w:r>
            <w:proofErr w:type="spellEnd"/>
          </w:p>
        </w:tc>
      </w:tr>
      <w:tr w:rsidR="001274FA" w:rsidTr="001274FA">
        <w:tc>
          <w:tcPr>
            <w:tcW w:w="1833" w:type="dxa"/>
          </w:tcPr>
          <w:p w:rsidR="001274FA" w:rsidRDefault="001274FA" w:rsidP="00226897">
            <w:pPr>
              <w:widowControl/>
            </w:pPr>
            <w:r>
              <w:t>Colza</w:t>
            </w:r>
          </w:p>
        </w:tc>
        <w:tc>
          <w:tcPr>
            <w:tcW w:w="6200" w:type="dxa"/>
          </w:tcPr>
          <w:p w:rsidR="001274FA" w:rsidRDefault="001274FA" w:rsidP="00226897">
            <w:pPr>
              <w:widowControl/>
            </w:pPr>
            <w:r>
              <w:t xml:space="preserve">A distinguer des pois </w:t>
            </w:r>
          </w:p>
        </w:tc>
        <w:tc>
          <w:tcPr>
            <w:tcW w:w="716" w:type="dxa"/>
          </w:tcPr>
          <w:p w:rsidR="001274FA" w:rsidRDefault="001274FA" w:rsidP="00226897">
            <w:pPr>
              <w:widowControl/>
            </w:pPr>
            <w:r>
              <w:t>Col</w:t>
            </w:r>
          </w:p>
        </w:tc>
      </w:tr>
      <w:tr w:rsidR="001274FA" w:rsidTr="001274FA">
        <w:tc>
          <w:tcPr>
            <w:tcW w:w="1833" w:type="dxa"/>
          </w:tcPr>
          <w:p w:rsidR="001274FA" w:rsidRDefault="001274FA" w:rsidP="00226897">
            <w:pPr>
              <w:widowControl/>
            </w:pPr>
            <w:r>
              <w:t>Pois de printemps</w:t>
            </w:r>
          </w:p>
        </w:tc>
        <w:tc>
          <w:tcPr>
            <w:tcW w:w="6200" w:type="dxa"/>
          </w:tcPr>
          <w:p w:rsidR="001274FA" w:rsidRDefault="001274FA" w:rsidP="00226897">
            <w:pPr>
              <w:widowControl/>
            </w:pPr>
            <w:r>
              <w:t>A distinguer du colza</w:t>
            </w:r>
          </w:p>
        </w:tc>
        <w:tc>
          <w:tcPr>
            <w:tcW w:w="716" w:type="dxa"/>
          </w:tcPr>
          <w:p w:rsidR="001274FA" w:rsidRDefault="001274FA" w:rsidP="00226897">
            <w:pPr>
              <w:widowControl/>
            </w:pPr>
            <w:proofErr w:type="spellStart"/>
            <w:r>
              <w:t>Poi</w:t>
            </w:r>
            <w:proofErr w:type="spellEnd"/>
          </w:p>
        </w:tc>
      </w:tr>
      <w:tr w:rsidR="001274FA" w:rsidTr="001274FA">
        <w:tc>
          <w:tcPr>
            <w:tcW w:w="1833" w:type="dxa"/>
          </w:tcPr>
          <w:p w:rsidR="001274FA" w:rsidRDefault="001274FA" w:rsidP="00226897">
            <w:pPr>
              <w:widowControl/>
            </w:pPr>
            <w:r>
              <w:t>Prairies</w:t>
            </w:r>
          </w:p>
        </w:tc>
        <w:tc>
          <w:tcPr>
            <w:tcW w:w="6200" w:type="dxa"/>
          </w:tcPr>
          <w:p w:rsidR="001274FA" w:rsidRDefault="001274FA" w:rsidP="00226897">
            <w:pPr>
              <w:widowControl/>
            </w:pPr>
            <w:r>
              <w:t>Poste le plus simple</w:t>
            </w:r>
          </w:p>
        </w:tc>
        <w:tc>
          <w:tcPr>
            <w:tcW w:w="716" w:type="dxa"/>
          </w:tcPr>
          <w:p w:rsidR="001274FA" w:rsidRDefault="001274FA" w:rsidP="00226897">
            <w:pPr>
              <w:widowControl/>
            </w:pPr>
            <w:r>
              <w:t>Pra</w:t>
            </w:r>
          </w:p>
        </w:tc>
      </w:tr>
      <w:tr w:rsidR="001274FA" w:rsidTr="001274FA">
        <w:tc>
          <w:tcPr>
            <w:tcW w:w="1833" w:type="dxa"/>
          </w:tcPr>
          <w:p w:rsidR="001274FA" w:rsidRDefault="001274FA" w:rsidP="00226897">
            <w:pPr>
              <w:widowControl/>
            </w:pPr>
            <w:r>
              <w:t>Sol nu</w:t>
            </w:r>
          </w:p>
        </w:tc>
        <w:tc>
          <w:tcPr>
            <w:tcW w:w="6200" w:type="dxa"/>
          </w:tcPr>
          <w:p w:rsidR="001274FA" w:rsidRDefault="001274FA" w:rsidP="00226897">
            <w:pPr>
              <w:widowControl/>
            </w:pPr>
            <w:r>
              <w:t>Ambiguïtés à lever par approche diachronique</w:t>
            </w:r>
          </w:p>
        </w:tc>
        <w:tc>
          <w:tcPr>
            <w:tcW w:w="716" w:type="dxa"/>
          </w:tcPr>
          <w:p w:rsidR="001274FA" w:rsidRDefault="001274FA" w:rsidP="00226897">
            <w:pPr>
              <w:widowControl/>
            </w:pPr>
            <w:r>
              <w:t>Sol</w:t>
            </w:r>
          </w:p>
        </w:tc>
      </w:tr>
      <w:tr w:rsidR="001274FA" w:rsidTr="001274FA">
        <w:tc>
          <w:tcPr>
            <w:tcW w:w="1833" w:type="dxa"/>
          </w:tcPr>
          <w:p w:rsidR="001274FA" w:rsidRDefault="001274FA" w:rsidP="00226897">
            <w:pPr>
              <w:widowControl/>
            </w:pPr>
            <w:r>
              <w:t>Autres</w:t>
            </w:r>
          </w:p>
        </w:tc>
        <w:tc>
          <w:tcPr>
            <w:tcW w:w="6200" w:type="dxa"/>
          </w:tcPr>
          <w:p w:rsidR="001274FA" w:rsidRDefault="001274FA" w:rsidP="00226897">
            <w:pPr>
              <w:widowControl/>
            </w:pPr>
            <w:r>
              <w:t>A détailler ultérieurement</w:t>
            </w:r>
          </w:p>
        </w:tc>
        <w:tc>
          <w:tcPr>
            <w:tcW w:w="716" w:type="dxa"/>
          </w:tcPr>
          <w:p w:rsidR="001274FA" w:rsidRDefault="001274FA" w:rsidP="00226897">
            <w:pPr>
              <w:widowControl/>
            </w:pPr>
            <w:proofErr w:type="spellStart"/>
            <w:r>
              <w:t>Aut</w:t>
            </w:r>
            <w:proofErr w:type="spellEnd"/>
          </w:p>
        </w:tc>
      </w:tr>
    </w:tbl>
    <w:p w:rsidR="001274FA" w:rsidRDefault="00226897" w:rsidP="00226897">
      <w:pPr>
        <w:widowControl/>
      </w:pPr>
      <w:r>
        <w:t xml:space="preserve"> </w:t>
      </w:r>
      <w:bookmarkStart w:id="0" w:name="_GoBack"/>
      <w:bookmarkEnd w:id="0"/>
    </w:p>
    <w:p w:rsidR="001274FA" w:rsidRDefault="001274FA" w:rsidP="00226897">
      <w:pPr>
        <w:widowControl/>
      </w:pPr>
    </w:p>
    <w:p w:rsidR="001274FA" w:rsidRDefault="001274FA" w:rsidP="00661E09">
      <w:pPr>
        <w:widowControl/>
        <w:jc w:val="both"/>
      </w:pPr>
      <w:r>
        <w:t xml:space="preserve">Dans un second temps, un autre attribut sera donné à la surface en fonction de sa qualité de couvert. Cette seconde nomenclature s’appuiera plutôt sur la méthodologie de 2019, et sera donc elle-même différenciée en fonction de la couverture préalablement identifiée. La qualification du couvert se fera donc de la façon suivante : </w:t>
      </w:r>
    </w:p>
    <w:tbl>
      <w:tblPr>
        <w:tblStyle w:val="Grilledutableau"/>
        <w:tblW w:w="0" w:type="auto"/>
        <w:tblLook w:val="04A0" w:firstRow="1" w:lastRow="0" w:firstColumn="1" w:lastColumn="0" w:noHBand="0" w:noVBand="1"/>
      </w:tblPr>
      <w:tblGrid>
        <w:gridCol w:w="2093"/>
        <w:gridCol w:w="6379"/>
        <w:gridCol w:w="738"/>
      </w:tblGrid>
      <w:tr w:rsidR="001274FA" w:rsidTr="00E50A88">
        <w:tc>
          <w:tcPr>
            <w:tcW w:w="9210" w:type="dxa"/>
            <w:gridSpan w:val="3"/>
          </w:tcPr>
          <w:p w:rsidR="001274FA" w:rsidRPr="001274FA" w:rsidRDefault="001274FA" w:rsidP="001274FA">
            <w:pPr>
              <w:widowControl/>
              <w:jc w:val="center"/>
              <w:rPr>
                <w:b/>
              </w:rPr>
            </w:pPr>
            <w:r w:rsidRPr="001274FA">
              <w:rPr>
                <w:b/>
              </w:rPr>
              <w:t>Qualité du couvert – Sol Nu</w:t>
            </w:r>
          </w:p>
        </w:tc>
      </w:tr>
      <w:tr w:rsidR="001274FA" w:rsidTr="008A1074">
        <w:tc>
          <w:tcPr>
            <w:tcW w:w="2093" w:type="dxa"/>
          </w:tcPr>
          <w:p w:rsidR="001274FA" w:rsidRPr="001274FA" w:rsidRDefault="001274FA" w:rsidP="00226897">
            <w:pPr>
              <w:widowControl/>
              <w:rPr>
                <w:b/>
              </w:rPr>
            </w:pPr>
            <w:r w:rsidRPr="001274FA">
              <w:rPr>
                <w:b/>
              </w:rPr>
              <w:t>Poste</w:t>
            </w:r>
          </w:p>
        </w:tc>
        <w:tc>
          <w:tcPr>
            <w:tcW w:w="6379" w:type="dxa"/>
          </w:tcPr>
          <w:p w:rsidR="001274FA" w:rsidRPr="001274FA" w:rsidRDefault="001274FA" w:rsidP="00226897">
            <w:pPr>
              <w:widowControl/>
              <w:rPr>
                <w:b/>
              </w:rPr>
            </w:pPr>
            <w:r w:rsidRPr="001274FA">
              <w:rPr>
                <w:b/>
              </w:rPr>
              <w:t>Commentaire</w:t>
            </w:r>
          </w:p>
        </w:tc>
        <w:tc>
          <w:tcPr>
            <w:tcW w:w="738" w:type="dxa"/>
          </w:tcPr>
          <w:p w:rsidR="001274FA" w:rsidRPr="001274FA" w:rsidRDefault="001274FA" w:rsidP="00226897">
            <w:pPr>
              <w:widowControl/>
              <w:rPr>
                <w:b/>
              </w:rPr>
            </w:pPr>
            <w:r w:rsidRPr="001274FA">
              <w:rPr>
                <w:b/>
              </w:rPr>
              <w:t>Code</w:t>
            </w:r>
          </w:p>
        </w:tc>
      </w:tr>
      <w:tr w:rsidR="001274FA" w:rsidTr="008A1074">
        <w:tc>
          <w:tcPr>
            <w:tcW w:w="2093" w:type="dxa"/>
          </w:tcPr>
          <w:p w:rsidR="001274FA" w:rsidRDefault="001274FA" w:rsidP="001274FA">
            <w:pPr>
              <w:widowControl/>
            </w:pPr>
            <w:r>
              <w:t>Faible</w:t>
            </w:r>
          </w:p>
        </w:tc>
        <w:tc>
          <w:tcPr>
            <w:tcW w:w="6379" w:type="dxa"/>
          </w:tcPr>
          <w:p w:rsidR="001274FA" w:rsidRDefault="008A1074" w:rsidP="00226897">
            <w:pPr>
              <w:widowControl/>
            </w:pPr>
            <w:r>
              <w:t xml:space="preserve">Presque aucune végétation active. </w:t>
            </w:r>
          </w:p>
          <w:p w:rsidR="008A1074" w:rsidRDefault="008A1074" w:rsidP="00226897">
            <w:pPr>
              <w:widowControl/>
            </w:pPr>
            <w:r>
              <w:t>Ambiguïté vis-à-vis du SN_6</w:t>
            </w:r>
          </w:p>
        </w:tc>
        <w:tc>
          <w:tcPr>
            <w:tcW w:w="738" w:type="dxa"/>
          </w:tcPr>
          <w:p w:rsidR="001274FA" w:rsidRDefault="001274FA" w:rsidP="00226897">
            <w:pPr>
              <w:widowControl/>
            </w:pPr>
            <w:r>
              <w:t>SN_</w:t>
            </w:r>
            <w:r w:rsidR="008A1074">
              <w:t>1</w:t>
            </w:r>
          </w:p>
        </w:tc>
      </w:tr>
      <w:tr w:rsidR="001274FA" w:rsidTr="008A1074">
        <w:tc>
          <w:tcPr>
            <w:tcW w:w="2093" w:type="dxa"/>
          </w:tcPr>
          <w:p w:rsidR="001274FA" w:rsidRDefault="001274FA" w:rsidP="00226897">
            <w:pPr>
              <w:widowControl/>
            </w:pPr>
            <w:r>
              <w:t xml:space="preserve">Moyen </w:t>
            </w:r>
          </w:p>
        </w:tc>
        <w:tc>
          <w:tcPr>
            <w:tcW w:w="6379" w:type="dxa"/>
          </w:tcPr>
          <w:p w:rsidR="001274FA" w:rsidRDefault="008A1074" w:rsidP="00226897">
            <w:pPr>
              <w:widowControl/>
            </w:pPr>
            <w:r>
              <w:t>Repousses spontanées éparses</w:t>
            </w:r>
          </w:p>
        </w:tc>
        <w:tc>
          <w:tcPr>
            <w:tcW w:w="738" w:type="dxa"/>
          </w:tcPr>
          <w:p w:rsidR="001274FA" w:rsidRDefault="008A1074" w:rsidP="00226897">
            <w:pPr>
              <w:widowControl/>
            </w:pPr>
            <w:r>
              <w:t>SN_</w:t>
            </w:r>
            <w:r>
              <w:t>2</w:t>
            </w:r>
          </w:p>
        </w:tc>
      </w:tr>
      <w:tr w:rsidR="001274FA" w:rsidTr="008A1074">
        <w:tc>
          <w:tcPr>
            <w:tcW w:w="2093" w:type="dxa"/>
          </w:tcPr>
          <w:p w:rsidR="001274FA" w:rsidRDefault="001274FA" w:rsidP="00226897">
            <w:pPr>
              <w:widowControl/>
            </w:pPr>
            <w:r>
              <w:t>Fort</w:t>
            </w:r>
          </w:p>
        </w:tc>
        <w:tc>
          <w:tcPr>
            <w:tcW w:w="6379" w:type="dxa"/>
          </w:tcPr>
          <w:p w:rsidR="001274FA" w:rsidRDefault="008A1074" w:rsidP="00226897">
            <w:pPr>
              <w:widowControl/>
            </w:pPr>
            <w:r>
              <w:t>Repousses spontanées couvrantes. Poste très ambigu.</w:t>
            </w:r>
          </w:p>
        </w:tc>
        <w:tc>
          <w:tcPr>
            <w:tcW w:w="738" w:type="dxa"/>
          </w:tcPr>
          <w:p w:rsidR="001274FA" w:rsidRDefault="008A1074" w:rsidP="00226897">
            <w:pPr>
              <w:widowControl/>
            </w:pPr>
            <w:r>
              <w:t>SN_</w:t>
            </w:r>
            <w:r>
              <w:t>3</w:t>
            </w:r>
          </w:p>
        </w:tc>
      </w:tr>
      <w:tr w:rsidR="001274FA" w:rsidTr="008A1074">
        <w:tc>
          <w:tcPr>
            <w:tcW w:w="2093" w:type="dxa"/>
          </w:tcPr>
          <w:p w:rsidR="001274FA" w:rsidRDefault="001274FA" w:rsidP="00226897">
            <w:pPr>
              <w:widowControl/>
            </w:pPr>
            <w:r>
              <w:t>Résidus enfouis</w:t>
            </w:r>
          </w:p>
        </w:tc>
        <w:tc>
          <w:tcPr>
            <w:tcW w:w="6379" w:type="dxa"/>
          </w:tcPr>
          <w:p w:rsidR="001274FA" w:rsidRDefault="008A1074" w:rsidP="00226897">
            <w:pPr>
              <w:widowControl/>
            </w:pPr>
            <w:r>
              <w:t>Ambiguïté vis-à-vis du SN_6</w:t>
            </w:r>
          </w:p>
        </w:tc>
        <w:tc>
          <w:tcPr>
            <w:tcW w:w="738" w:type="dxa"/>
          </w:tcPr>
          <w:p w:rsidR="001274FA" w:rsidRDefault="008A1074" w:rsidP="00226897">
            <w:pPr>
              <w:widowControl/>
            </w:pPr>
            <w:r>
              <w:t>SN_</w:t>
            </w:r>
            <w:r>
              <w:t>4</w:t>
            </w:r>
          </w:p>
        </w:tc>
      </w:tr>
      <w:tr w:rsidR="001274FA" w:rsidTr="008A1074">
        <w:tc>
          <w:tcPr>
            <w:tcW w:w="2093" w:type="dxa"/>
          </w:tcPr>
          <w:p w:rsidR="001274FA" w:rsidRDefault="001274FA" w:rsidP="00226897">
            <w:pPr>
              <w:widowControl/>
            </w:pPr>
            <w:r>
              <w:t>Résidus non-enfouis</w:t>
            </w:r>
          </w:p>
        </w:tc>
        <w:tc>
          <w:tcPr>
            <w:tcW w:w="6379" w:type="dxa"/>
          </w:tcPr>
          <w:p w:rsidR="001274FA" w:rsidRDefault="008A1074" w:rsidP="00226897">
            <w:pPr>
              <w:widowControl/>
            </w:pPr>
            <w:r>
              <w:t>Relativement aisée à identifier</w:t>
            </w:r>
          </w:p>
        </w:tc>
        <w:tc>
          <w:tcPr>
            <w:tcW w:w="738" w:type="dxa"/>
          </w:tcPr>
          <w:p w:rsidR="001274FA" w:rsidRDefault="008A1074" w:rsidP="00226897">
            <w:pPr>
              <w:widowControl/>
            </w:pPr>
            <w:r>
              <w:t>SN_</w:t>
            </w:r>
            <w:r>
              <w:t>5</w:t>
            </w:r>
          </w:p>
        </w:tc>
      </w:tr>
      <w:tr w:rsidR="001274FA" w:rsidTr="008A1074">
        <w:tc>
          <w:tcPr>
            <w:tcW w:w="2093" w:type="dxa"/>
          </w:tcPr>
          <w:p w:rsidR="001274FA" w:rsidRDefault="001274FA" w:rsidP="00226897">
            <w:pPr>
              <w:widowControl/>
            </w:pPr>
            <w:r>
              <w:t>Terre</w:t>
            </w:r>
          </w:p>
        </w:tc>
        <w:tc>
          <w:tcPr>
            <w:tcW w:w="6379" w:type="dxa"/>
          </w:tcPr>
          <w:p w:rsidR="001274FA" w:rsidRDefault="008A1074" w:rsidP="00226897">
            <w:pPr>
              <w:widowControl/>
            </w:pPr>
            <w:r>
              <w:t>Aucune végétation visible et terre labourée laissée à nue</w:t>
            </w:r>
          </w:p>
        </w:tc>
        <w:tc>
          <w:tcPr>
            <w:tcW w:w="738" w:type="dxa"/>
          </w:tcPr>
          <w:p w:rsidR="001274FA" w:rsidRDefault="008A1074" w:rsidP="00226897">
            <w:pPr>
              <w:widowControl/>
            </w:pPr>
            <w:r>
              <w:t>SN_</w:t>
            </w:r>
            <w:r>
              <w:t>6</w:t>
            </w:r>
          </w:p>
        </w:tc>
      </w:tr>
    </w:tbl>
    <w:p w:rsidR="001274FA" w:rsidRDefault="001274FA" w:rsidP="00226897">
      <w:pPr>
        <w:widowControl/>
      </w:pPr>
    </w:p>
    <w:p w:rsidR="008A1074" w:rsidRDefault="008A1074" w:rsidP="008A1074">
      <w:pPr>
        <w:widowControl/>
        <w:jc w:val="center"/>
      </w:pPr>
      <w:r>
        <w:t>______________</w:t>
      </w:r>
    </w:p>
    <w:p w:rsidR="008A1074" w:rsidRDefault="008A1074" w:rsidP="00226897">
      <w:pPr>
        <w:widowControl/>
      </w:pPr>
    </w:p>
    <w:tbl>
      <w:tblPr>
        <w:tblStyle w:val="Grilledutableau"/>
        <w:tblW w:w="0" w:type="auto"/>
        <w:tblLook w:val="04A0" w:firstRow="1" w:lastRow="0" w:firstColumn="1" w:lastColumn="0" w:noHBand="0" w:noVBand="1"/>
      </w:tblPr>
      <w:tblGrid>
        <w:gridCol w:w="2093"/>
        <w:gridCol w:w="6379"/>
        <w:gridCol w:w="739"/>
      </w:tblGrid>
      <w:tr w:rsidR="008A1074" w:rsidTr="008A1074">
        <w:tc>
          <w:tcPr>
            <w:tcW w:w="9211" w:type="dxa"/>
            <w:gridSpan w:val="3"/>
          </w:tcPr>
          <w:p w:rsidR="008A1074" w:rsidRPr="001274FA" w:rsidRDefault="008A1074" w:rsidP="008A1074">
            <w:pPr>
              <w:widowControl/>
              <w:jc w:val="center"/>
              <w:rPr>
                <w:b/>
              </w:rPr>
            </w:pPr>
            <w:r w:rsidRPr="001274FA">
              <w:rPr>
                <w:b/>
              </w:rPr>
              <w:t xml:space="preserve">Qualité du couvert – </w:t>
            </w:r>
            <w:r>
              <w:rPr>
                <w:b/>
              </w:rPr>
              <w:t>Autres surfaces</w:t>
            </w:r>
          </w:p>
        </w:tc>
      </w:tr>
      <w:tr w:rsidR="008A1074" w:rsidTr="008A1074">
        <w:tc>
          <w:tcPr>
            <w:tcW w:w="2093" w:type="dxa"/>
          </w:tcPr>
          <w:p w:rsidR="008A1074" w:rsidRPr="001274FA" w:rsidRDefault="008A1074" w:rsidP="00142F94">
            <w:pPr>
              <w:widowControl/>
              <w:rPr>
                <w:b/>
              </w:rPr>
            </w:pPr>
            <w:r w:rsidRPr="001274FA">
              <w:rPr>
                <w:b/>
              </w:rPr>
              <w:t>Poste</w:t>
            </w:r>
          </w:p>
        </w:tc>
        <w:tc>
          <w:tcPr>
            <w:tcW w:w="6379" w:type="dxa"/>
          </w:tcPr>
          <w:p w:rsidR="008A1074" w:rsidRPr="001274FA" w:rsidRDefault="008A1074" w:rsidP="00142F94">
            <w:pPr>
              <w:widowControl/>
              <w:rPr>
                <w:b/>
              </w:rPr>
            </w:pPr>
            <w:r w:rsidRPr="001274FA">
              <w:rPr>
                <w:b/>
              </w:rPr>
              <w:t>Commentaire</w:t>
            </w:r>
          </w:p>
        </w:tc>
        <w:tc>
          <w:tcPr>
            <w:tcW w:w="739" w:type="dxa"/>
          </w:tcPr>
          <w:p w:rsidR="008A1074" w:rsidRPr="001274FA" w:rsidRDefault="008A1074" w:rsidP="00142F94">
            <w:pPr>
              <w:widowControl/>
              <w:rPr>
                <w:b/>
              </w:rPr>
            </w:pPr>
            <w:r w:rsidRPr="001274FA">
              <w:rPr>
                <w:b/>
              </w:rPr>
              <w:t>Code</w:t>
            </w:r>
          </w:p>
        </w:tc>
      </w:tr>
      <w:tr w:rsidR="008A1074" w:rsidTr="008A1074">
        <w:tc>
          <w:tcPr>
            <w:tcW w:w="2093" w:type="dxa"/>
          </w:tcPr>
          <w:p w:rsidR="008A1074" w:rsidRDefault="008A1074" w:rsidP="00142F94">
            <w:pPr>
              <w:widowControl/>
            </w:pPr>
            <w:r>
              <w:t>Faible</w:t>
            </w:r>
          </w:p>
        </w:tc>
        <w:tc>
          <w:tcPr>
            <w:tcW w:w="6379" w:type="dxa"/>
          </w:tcPr>
          <w:p w:rsidR="008A1074" w:rsidRDefault="008A1074" w:rsidP="00142F94">
            <w:pPr>
              <w:widowControl/>
            </w:pPr>
            <w:r>
              <w:t xml:space="preserve">Presque aucune végétation active. </w:t>
            </w:r>
          </w:p>
          <w:p w:rsidR="008A1074" w:rsidRDefault="008A1074" w:rsidP="008A1074">
            <w:pPr>
              <w:widowControl/>
            </w:pPr>
            <w:r>
              <w:t xml:space="preserve">Ambiguïté vis-à-vis du </w:t>
            </w:r>
            <w:r>
              <w:t>CO_4</w:t>
            </w:r>
          </w:p>
        </w:tc>
        <w:tc>
          <w:tcPr>
            <w:tcW w:w="739" w:type="dxa"/>
          </w:tcPr>
          <w:p w:rsidR="008A1074" w:rsidRDefault="008A1074" w:rsidP="00142F94">
            <w:pPr>
              <w:widowControl/>
            </w:pPr>
            <w:r>
              <w:t>CO</w:t>
            </w:r>
            <w:r>
              <w:t>_1</w:t>
            </w:r>
          </w:p>
        </w:tc>
      </w:tr>
      <w:tr w:rsidR="008A1074" w:rsidTr="008A1074">
        <w:tc>
          <w:tcPr>
            <w:tcW w:w="2093" w:type="dxa"/>
          </w:tcPr>
          <w:p w:rsidR="008A1074" w:rsidRDefault="008A1074" w:rsidP="00142F94">
            <w:pPr>
              <w:widowControl/>
            </w:pPr>
            <w:r>
              <w:t xml:space="preserve">Moyen </w:t>
            </w:r>
          </w:p>
        </w:tc>
        <w:tc>
          <w:tcPr>
            <w:tcW w:w="6379" w:type="dxa"/>
          </w:tcPr>
          <w:p w:rsidR="008A1074" w:rsidRDefault="008A1074" w:rsidP="00142F94">
            <w:pPr>
              <w:widowControl/>
            </w:pPr>
            <w:r>
              <w:t>Végétation peu couvrante</w:t>
            </w:r>
          </w:p>
        </w:tc>
        <w:tc>
          <w:tcPr>
            <w:tcW w:w="739" w:type="dxa"/>
          </w:tcPr>
          <w:p w:rsidR="008A1074" w:rsidRDefault="008A1074" w:rsidP="00142F94">
            <w:pPr>
              <w:widowControl/>
            </w:pPr>
            <w:r>
              <w:t>CO</w:t>
            </w:r>
            <w:r>
              <w:t>_2</w:t>
            </w:r>
          </w:p>
        </w:tc>
      </w:tr>
      <w:tr w:rsidR="008A1074" w:rsidTr="008A1074">
        <w:tc>
          <w:tcPr>
            <w:tcW w:w="2093" w:type="dxa"/>
          </w:tcPr>
          <w:p w:rsidR="008A1074" w:rsidRDefault="008A1074" w:rsidP="00142F94">
            <w:pPr>
              <w:widowControl/>
            </w:pPr>
            <w:r>
              <w:t>Fort</w:t>
            </w:r>
          </w:p>
        </w:tc>
        <w:tc>
          <w:tcPr>
            <w:tcW w:w="6379" w:type="dxa"/>
          </w:tcPr>
          <w:p w:rsidR="008A1074" w:rsidRDefault="008A1074" w:rsidP="00142F94">
            <w:pPr>
              <w:widowControl/>
            </w:pPr>
            <w:r>
              <w:t>A distinguer du poste précédent</w:t>
            </w:r>
          </w:p>
        </w:tc>
        <w:tc>
          <w:tcPr>
            <w:tcW w:w="739" w:type="dxa"/>
          </w:tcPr>
          <w:p w:rsidR="008A1074" w:rsidRDefault="008A1074" w:rsidP="00142F94">
            <w:pPr>
              <w:widowControl/>
            </w:pPr>
            <w:r>
              <w:t>CO</w:t>
            </w:r>
            <w:r>
              <w:t>_3</w:t>
            </w:r>
          </w:p>
        </w:tc>
      </w:tr>
      <w:tr w:rsidR="008A1074" w:rsidTr="008A1074">
        <w:tc>
          <w:tcPr>
            <w:tcW w:w="2093" w:type="dxa"/>
          </w:tcPr>
          <w:p w:rsidR="008A1074" w:rsidRDefault="008A1074" w:rsidP="00142F94">
            <w:pPr>
              <w:widowControl/>
            </w:pPr>
            <w:r>
              <w:t>Résidus enfouis</w:t>
            </w:r>
          </w:p>
        </w:tc>
        <w:tc>
          <w:tcPr>
            <w:tcW w:w="6379" w:type="dxa"/>
          </w:tcPr>
          <w:p w:rsidR="008A1074" w:rsidRDefault="008A1074" w:rsidP="00142F94">
            <w:pPr>
              <w:widowControl/>
            </w:pPr>
            <w:r>
              <w:t>Ambiguïté vis-à-vis du SN_4</w:t>
            </w:r>
          </w:p>
        </w:tc>
        <w:tc>
          <w:tcPr>
            <w:tcW w:w="739" w:type="dxa"/>
          </w:tcPr>
          <w:p w:rsidR="008A1074" w:rsidRDefault="008A1074" w:rsidP="00142F94">
            <w:pPr>
              <w:widowControl/>
            </w:pPr>
            <w:r>
              <w:t>CO</w:t>
            </w:r>
            <w:r>
              <w:t>_4</w:t>
            </w:r>
          </w:p>
        </w:tc>
      </w:tr>
      <w:tr w:rsidR="008A1074" w:rsidTr="008A1074">
        <w:tc>
          <w:tcPr>
            <w:tcW w:w="2093" w:type="dxa"/>
          </w:tcPr>
          <w:p w:rsidR="008A1074" w:rsidRDefault="008A1074" w:rsidP="00142F94">
            <w:pPr>
              <w:widowControl/>
            </w:pPr>
            <w:r>
              <w:t>Résidus non-enfouis</w:t>
            </w:r>
          </w:p>
        </w:tc>
        <w:tc>
          <w:tcPr>
            <w:tcW w:w="6379" w:type="dxa"/>
          </w:tcPr>
          <w:p w:rsidR="008A1074" w:rsidRDefault="008A1074" w:rsidP="00142F94">
            <w:pPr>
              <w:widowControl/>
            </w:pPr>
            <w:r>
              <w:t>Relativement aisée à identifier</w:t>
            </w:r>
          </w:p>
        </w:tc>
        <w:tc>
          <w:tcPr>
            <w:tcW w:w="739" w:type="dxa"/>
          </w:tcPr>
          <w:p w:rsidR="008A1074" w:rsidRDefault="008A1074" w:rsidP="00142F94">
            <w:pPr>
              <w:widowControl/>
            </w:pPr>
            <w:r>
              <w:t>CO</w:t>
            </w:r>
            <w:r>
              <w:t>_5</w:t>
            </w:r>
          </w:p>
        </w:tc>
      </w:tr>
    </w:tbl>
    <w:p w:rsidR="001274FA" w:rsidRDefault="001274FA" w:rsidP="00226897">
      <w:pPr>
        <w:widowControl/>
      </w:pPr>
    </w:p>
    <w:p w:rsidR="00226897" w:rsidRPr="00226897" w:rsidRDefault="008A1074" w:rsidP="00661E09">
      <w:pPr>
        <w:widowControl/>
        <w:jc w:val="both"/>
      </w:pPr>
      <w:r>
        <w:lastRenderedPageBreak/>
        <w:t>La dimension diachronique de l’approche envisagée en classification et entraînement du modèle étant déterminante, il est envisageable que les ambiguïtés et indécisions dans la nature et la qualité d’un couvert observé soient levées en deux temps, de la façon suivante. Les postes objets d’ambigüités sont tous renseignés pour la surface considérée (soit par concaténation des codes dans la même colonne, soit par ajout de colonnes auxiliaires).</w:t>
      </w:r>
      <w:r w:rsidR="00AB40E9">
        <w:t xml:space="preserve"> L’arbitrage se fera rétrospectivement lors de la seconde acquisition en vérité-terrain.</w:t>
      </w:r>
    </w:p>
    <w:p w:rsidR="00226897" w:rsidRPr="00D86EA2" w:rsidRDefault="00226897" w:rsidP="00226897">
      <w:pPr>
        <w:pStyle w:val="Paragraphedeliste"/>
        <w:widowControl/>
        <w:ind w:left="1894"/>
      </w:pPr>
    </w:p>
    <w:p w:rsidR="00D86EA2" w:rsidRPr="00D86EA2" w:rsidRDefault="00D86EA2" w:rsidP="00D86EA2">
      <w:pPr>
        <w:pStyle w:val="Paragraphedeliste"/>
        <w:widowControl/>
        <w:numPr>
          <w:ilvl w:val="1"/>
          <w:numId w:val="2"/>
        </w:numPr>
      </w:pPr>
      <w:r>
        <w:rPr>
          <w:b/>
          <w:color w:val="3B854B"/>
          <w:sz w:val="26"/>
          <w:szCs w:val="36"/>
        </w:rPr>
        <w:t>Critères de réussite</w:t>
      </w:r>
    </w:p>
    <w:p w:rsidR="00D86EA2" w:rsidRDefault="00D86EA2" w:rsidP="00D86EA2">
      <w:pPr>
        <w:widowControl/>
      </w:pPr>
    </w:p>
    <w:p w:rsidR="00D86EA2" w:rsidRDefault="00AB40E9" w:rsidP="00D86EA2">
      <w:pPr>
        <w:widowControl/>
      </w:pPr>
      <w:r>
        <w:t xml:space="preserve">Considérant les méthodologies préexistantes, deux critères de réussite de la collecte de vérité-terrain peuvent être ici présentés. </w:t>
      </w:r>
    </w:p>
    <w:p w:rsidR="00AB40E9" w:rsidRDefault="00AB40E9" w:rsidP="00661E09">
      <w:pPr>
        <w:widowControl/>
        <w:jc w:val="both"/>
      </w:pPr>
      <w:r>
        <w:t xml:space="preserve">Premièrement, la représentativité statistique, obtenue à travers la l’extension dans l’espace et le nombre des parcelles renseignées. En croisant les données raffinées du RPG avec les variables auxiliaires issues des contrôles de police OSCEAN, on peut espérer pouvoir faciliter l’étape de généralisation (ou expansion du modèle) et donc abaisser en entrée le nombre de parcelles renseignées en vérité-terrain. </w:t>
      </w:r>
    </w:p>
    <w:p w:rsidR="00AB40E9" w:rsidRDefault="00AB40E9" w:rsidP="00D86EA2">
      <w:pPr>
        <w:widowControl/>
      </w:pPr>
      <w:r>
        <w:t xml:space="preserve">En tablant sur une observation collectée toutes les 5min en moyenne, sur 8 heures ouvrées et 2 jours pleins de collectes, 250 enregistrements semblent être un objectif atteignable. </w:t>
      </w:r>
    </w:p>
    <w:p w:rsidR="00AB40E9" w:rsidRDefault="00AB40E9" w:rsidP="00661E09">
      <w:pPr>
        <w:widowControl/>
        <w:jc w:val="both"/>
      </w:pPr>
      <w:r>
        <w:t>En deuxième lieu, on se proposera un critère de diversité du jeu de données ainsi constituées. Cette diversité est forcément pluridimensionnelle. On y trouve une dimension de diversité spatiale, pour laquelle c’est la bonne répartition des parcelles renseignées au sein de leur enveloppe minimale ainsi que la maximalisation de l’aire de cette enveloppe qui comptent. On trouve également une diversité sémantique, qui renvoie à la bonne représentation de chaque poste des nomenclatures dans la donnée de vérité-terrain. Le seuil d’ef</w:t>
      </w:r>
      <w:r w:rsidR="00661E09">
        <w:t>fectif de parcelles varie en fo</w:t>
      </w:r>
      <w:r>
        <w:t>n</w:t>
      </w:r>
      <w:r w:rsidR="00661E09">
        <w:t>c</w:t>
      </w:r>
      <w:r>
        <w:t>tion des postes et de la nomenclature considérées.</w:t>
      </w:r>
      <w:r w:rsidR="00661E09">
        <w:t xml:space="preserve"> Sur 8 postes de la nomenclature « couverture », il serait intéressant d’acquérir plus de points en « Sol nu » que 1/8</w:t>
      </w:r>
      <w:r w:rsidR="00661E09" w:rsidRPr="00661E09">
        <w:rPr>
          <w:vertAlign w:val="superscript"/>
        </w:rPr>
        <w:t>ème</w:t>
      </w:r>
      <w:r w:rsidR="00661E09">
        <w:t xml:space="preserve"> des observations. En effet cela nous permettra dans un second temps de satisfaire la représentativité de la nomenclature « qualité – sol nu ».</w:t>
      </w:r>
      <w:r w:rsidR="00AA610B">
        <w:t xml:space="preserve"> On peut donc tabler, en première approximation, sur environ une 60 d’observation en « sols nus » au minimum. Cela laisserait alors une trentaine d’observation par autres postes (en ordre de grandeur). Au sein des nomenclatures « qualité de la couverture », les seuils minimums de représentativité seront </w:t>
      </w:r>
      <w:proofErr w:type="gramStart"/>
      <w:r w:rsidR="00AA610B">
        <w:t>abaissé</w:t>
      </w:r>
      <w:proofErr w:type="gramEnd"/>
      <w:r w:rsidR="00AA610B">
        <w:t xml:space="preserve"> en proportion. On peut estimer qu’une dizaine d’observations par postes sur la nomenclature « sol nu » serait satisfaisante, pour une vingtaine dans la nomenclature « autres couvertures » </w:t>
      </w:r>
    </w:p>
    <w:p w:rsidR="00D86EA2" w:rsidRDefault="00D86EA2" w:rsidP="00D86EA2">
      <w:pPr>
        <w:widowControl/>
      </w:pPr>
    </w:p>
    <w:sectPr w:rsidR="00D86EA2" w:rsidSect="005B08ED">
      <w:footerReference w:type="default" r:id="rId14"/>
      <w:headerReference w:type="first" r:id="rId15"/>
      <w:footerReference w:type="first" r:id="rId16"/>
      <w:pgSz w:w="11906" w:h="16838" w:code="9"/>
      <w:pgMar w:top="1134" w:right="1418" w:bottom="1418" w:left="1418" w:header="0" w:footer="397" w:gutter="0"/>
      <w:cols w:space="720"/>
      <w:formProt w:val="0"/>
      <w:titlePg/>
      <w:docGrid w:linePitch="60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23A1" w:rsidRDefault="00D923A1">
      <w:r>
        <w:separator/>
      </w:r>
    </w:p>
  </w:endnote>
  <w:endnote w:type="continuationSeparator" w:id="0">
    <w:p w:rsidR="00D923A1" w:rsidRDefault="00D92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82FA3" w:rsidRDefault="005B08ED">
    <w:pPr>
      <w:pStyle w:val="Pieddepage"/>
      <w:jc w:val="left"/>
    </w:pPr>
    <w:r>
      <w:rPr>
        <w:noProof/>
        <w:lang w:eastAsia="fr-FR" w:bidi="ar-SA"/>
      </w:rPr>
      <w:drawing>
        <wp:anchor distT="0" distB="0" distL="0" distR="0" simplePos="0" relativeHeight="251653120" behindDoc="1" locked="0" layoutInCell="1" allowOverlap="1" wp14:anchorId="506FFDDB" wp14:editId="736AAB53">
          <wp:simplePos x="0" y="0"/>
          <wp:positionH relativeFrom="page">
            <wp:align>left</wp:align>
          </wp:positionH>
          <wp:positionV relativeFrom="page">
            <wp:align>bottom</wp:align>
          </wp:positionV>
          <wp:extent cx="7555739" cy="1123314"/>
          <wp:effectExtent l="0" t="0" r="0" b="1270"/>
          <wp:wrapNone/>
          <wp:docPr id="10"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5739" cy="1123314"/>
                  </a:xfrm>
                  <a:prstGeom prst="rect">
                    <a:avLst/>
                  </a:prstGeom>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E8A" w:rsidRDefault="00394E8A">
    <w:pPr>
      <w:pStyle w:val="Pieddepage"/>
    </w:pPr>
    <w:r>
      <w:rPr>
        <w:noProof/>
        <w:lang w:eastAsia="fr-FR" w:bidi="ar-SA"/>
      </w:rPr>
      <w:drawing>
        <wp:anchor distT="0" distB="0" distL="0" distR="0" simplePos="0" relativeHeight="251673600" behindDoc="1" locked="0" layoutInCell="1" allowOverlap="1" wp14:anchorId="647BAFA3" wp14:editId="780DEEE1">
          <wp:simplePos x="0" y="0"/>
          <wp:positionH relativeFrom="page">
            <wp:align>right</wp:align>
          </wp:positionH>
          <wp:positionV relativeFrom="paragraph">
            <wp:posOffset>-566420</wp:posOffset>
          </wp:positionV>
          <wp:extent cx="7554965" cy="1123199"/>
          <wp:effectExtent l="0" t="0" r="0" b="1270"/>
          <wp:wrapNone/>
          <wp:docPr id="11" name="imag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54965" cy="1123199"/>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23A1" w:rsidRDefault="00D923A1">
      <w:r>
        <w:separator/>
      </w:r>
    </w:p>
  </w:footnote>
  <w:footnote w:type="continuationSeparator" w:id="0">
    <w:p w:rsidR="00D923A1" w:rsidRDefault="00D923A1">
      <w:r>
        <w:continuationSeparator/>
      </w:r>
    </w:p>
  </w:footnote>
  <w:footnote w:id="1">
    <w:p w:rsidR="00C15C25" w:rsidRDefault="00C15C25" w:rsidP="00AC60A9">
      <w:pPr>
        <w:pStyle w:val="Notedebasdepage"/>
      </w:pPr>
      <w:r>
        <w:rPr>
          <w:rStyle w:val="Appelnotedebasdep"/>
        </w:rPr>
        <w:footnoteRef/>
      </w:r>
      <w:r>
        <w:t xml:space="preserve"> Cultures Intermédiaires Piège à Nitrate</w:t>
      </w:r>
    </w:p>
  </w:footnote>
  <w:footnote w:id="2">
    <w:p w:rsidR="00C15C25" w:rsidRDefault="00C15C25" w:rsidP="00AC60A9">
      <w:pPr>
        <w:pStyle w:val="Notedebasdepage"/>
      </w:pPr>
      <w:r>
        <w:rPr>
          <w:rStyle w:val="Appelnotedebasdep"/>
        </w:rPr>
        <w:footnoteRef/>
      </w:r>
      <w:r>
        <w:t xml:space="preserve"> Voir l’adresse :</w:t>
      </w:r>
      <w:r w:rsidRPr="00690DD6">
        <w:t xml:space="preserve"> https://geoservices.ign.fr/services-web-experts-agriculture</w:t>
      </w:r>
    </w:p>
  </w:footnote>
  <w:footnote w:id="3">
    <w:p w:rsidR="009B6ED3" w:rsidRDefault="009B6ED3">
      <w:pPr>
        <w:pStyle w:val="Notedebasdepage"/>
      </w:pPr>
      <w:r>
        <w:rPr>
          <w:rStyle w:val="Appelnotedebasdep"/>
        </w:rPr>
        <w:footnoteRef/>
      </w:r>
      <w:r>
        <w:t xml:space="preserve"> Voir </w:t>
      </w:r>
      <w:r w:rsidRPr="009B6ED3">
        <w:t>https://github.com/inrae/SISPPEO</w:t>
      </w:r>
    </w:p>
  </w:footnote>
  <w:footnote w:id="4">
    <w:p w:rsidR="005224D2" w:rsidRDefault="005224D2">
      <w:pPr>
        <w:pStyle w:val="Notedebasdepage"/>
      </w:pPr>
      <w:r>
        <w:rPr>
          <w:rStyle w:val="Appelnotedebasdep"/>
        </w:rPr>
        <w:footnoteRef/>
      </w:r>
      <w:r>
        <w:t xml:space="preserve"> </w:t>
      </w:r>
      <w:proofErr w:type="gramStart"/>
      <w:r w:rsidRPr="005224D2">
        <w:t>soit</w:t>
      </w:r>
      <w:proofErr w:type="gramEnd"/>
      <w:r w:rsidRPr="005224D2">
        <w:t xml:space="preserve"> à l’</w:t>
      </w:r>
      <w:proofErr w:type="spellStart"/>
      <w:r w:rsidRPr="005224D2">
        <w:t>Ilôt</w:t>
      </w:r>
      <w:proofErr w:type="spellEnd"/>
      <w:r w:rsidRPr="005224D2">
        <w:t xml:space="preserve"> de culture et pas à la parcelle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94E8A" w:rsidRDefault="00394E8A">
    <w:pPr>
      <w:pStyle w:val="En-tte"/>
    </w:pPr>
    <w:r>
      <w:rPr>
        <w:noProof/>
        <w:lang w:eastAsia="fr-FR" w:bidi="ar-SA"/>
      </w:rPr>
      <w:drawing>
        <wp:anchor distT="0" distB="0" distL="0" distR="0" simplePos="0" relativeHeight="251663360" behindDoc="0" locked="0" layoutInCell="1" allowOverlap="1" wp14:anchorId="5E3B7727" wp14:editId="2A56F181">
          <wp:simplePos x="0" y="0"/>
          <wp:positionH relativeFrom="page">
            <wp:posOffset>0</wp:posOffset>
          </wp:positionH>
          <wp:positionV relativeFrom="page">
            <wp:posOffset>0</wp:posOffset>
          </wp:positionV>
          <wp:extent cx="7560309" cy="1644869"/>
          <wp:effectExtent l="0" t="0" r="3175" b="0"/>
          <wp:wrapTopAndBottom/>
          <wp:docPr id="8" name="imag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60309" cy="1644869"/>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D72FA"/>
    <w:multiLevelType w:val="hybridMultilevel"/>
    <w:tmpl w:val="EE1C60F8"/>
    <w:lvl w:ilvl="0" w:tplc="040C000F">
      <w:start w:val="1"/>
      <w:numFmt w:val="decimal"/>
      <w:lvlText w:val="%1."/>
      <w:lvlJc w:val="left"/>
      <w:pPr>
        <w:ind w:left="1174" w:hanging="360"/>
      </w:pPr>
    </w:lvl>
    <w:lvl w:ilvl="1" w:tplc="040C0019" w:tentative="1">
      <w:start w:val="1"/>
      <w:numFmt w:val="lowerLetter"/>
      <w:lvlText w:val="%2."/>
      <w:lvlJc w:val="left"/>
      <w:pPr>
        <w:ind w:left="1894" w:hanging="360"/>
      </w:pPr>
    </w:lvl>
    <w:lvl w:ilvl="2" w:tplc="040C001B" w:tentative="1">
      <w:start w:val="1"/>
      <w:numFmt w:val="lowerRoman"/>
      <w:lvlText w:val="%3."/>
      <w:lvlJc w:val="right"/>
      <w:pPr>
        <w:ind w:left="2614" w:hanging="180"/>
      </w:pPr>
    </w:lvl>
    <w:lvl w:ilvl="3" w:tplc="040C000F" w:tentative="1">
      <w:start w:val="1"/>
      <w:numFmt w:val="decimal"/>
      <w:lvlText w:val="%4."/>
      <w:lvlJc w:val="left"/>
      <w:pPr>
        <w:ind w:left="3334" w:hanging="360"/>
      </w:pPr>
    </w:lvl>
    <w:lvl w:ilvl="4" w:tplc="040C0019" w:tentative="1">
      <w:start w:val="1"/>
      <w:numFmt w:val="lowerLetter"/>
      <w:lvlText w:val="%5."/>
      <w:lvlJc w:val="left"/>
      <w:pPr>
        <w:ind w:left="4054" w:hanging="360"/>
      </w:pPr>
    </w:lvl>
    <w:lvl w:ilvl="5" w:tplc="040C001B" w:tentative="1">
      <w:start w:val="1"/>
      <w:numFmt w:val="lowerRoman"/>
      <w:lvlText w:val="%6."/>
      <w:lvlJc w:val="right"/>
      <w:pPr>
        <w:ind w:left="4774" w:hanging="180"/>
      </w:pPr>
    </w:lvl>
    <w:lvl w:ilvl="6" w:tplc="040C000F" w:tentative="1">
      <w:start w:val="1"/>
      <w:numFmt w:val="decimal"/>
      <w:lvlText w:val="%7."/>
      <w:lvlJc w:val="left"/>
      <w:pPr>
        <w:ind w:left="5494" w:hanging="360"/>
      </w:pPr>
    </w:lvl>
    <w:lvl w:ilvl="7" w:tplc="040C0019" w:tentative="1">
      <w:start w:val="1"/>
      <w:numFmt w:val="lowerLetter"/>
      <w:lvlText w:val="%8."/>
      <w:lvlJc w:val="left"/>
      <w:pPr>
        <w:ind w:left="6214" w:hanging="360"/>
      </w:pPr>
    </w:lvl>
    <w:lvl w:ilvl="8" w:tplc="040C001B" w:tentative="1">
      <w:start w:val="1"/>
      <w:numFmt w:val="lowerRoman"/>
      <w:lvlText w:val="%9."/>
      <w:lvlJc w:val="right"/>
      <w:pPr>
        <w:ind w:left="6934" w:hanging="180"/>
      </w:pPr>
    </w:lvl>
  </w:abstractNum>
  <w:abstractNum w:abstractNumId="1">
    <w:nsid w:val="10791281"/>
    <w:multiLevelType w:val="hybridMultilevel"/>
    <w:tmpl w:val="3C726486"/>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
    <w:nsid w:val="257830B3"/>
    <w:multiLevelType w:val="hybridMultilevel"/>
    <w:tmpl w:val="090C5E46"/>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3">
    <w:nsid w:val="26583E46"/>
    <w:multiLevelType w:val="multilevel"/>
    <w:tmpl w:val="733C4D56"/>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pStyle w:val="Titre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2778736C"/>
    <w:multiLevelType w:val="hybridMultilevel"/>
    <w:tmpl w:val="1424FBF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
    <w:nsid w:val="29FE39FA"/>
    <w:multiLevelType w:val="hybridMultilevel"/>
    <w:tmpl w:val="965E2E3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46BE56F4">
      <w:start w:val="2012"/>
      <w:numFmt w:val="bullet"/>
      <w:lvlText w:val=""/>
      <w:lvlJc w:val="left"/>
      <w:pPr>
        <w:ind w:left="2160" w:hanging="360"/>
      </w:pPr>
      <w:rPr>
        <w:rFonts w:ascii="Wingdings" w:eastAsia="SimSun" w:hAnsi="Wingdings" w:cs="Manga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2297E33"/>
    <w:multiLevelType w:val="hybridMultilevel"/>
    <w:tmpl w:val="D2800788"/>
    <w:lvl w:ilvl="0" w:tplc="5A283DB0">
      <w:numFmt w:val="bullet"/>
      <w:lvlText w:val="-"/>
      <w:lvlJc w:val="left"/>
      <w:pPr>
        <w:ind w:left="1069" w:hanging="360"/>
      </w:pPr>
      <w:rPr>
        <w:rFonts w:ascii="Arial" w:eastAsia="SimSun" w:hAnsi="Arial" w:cs="Aria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7">
    <w:nsid w:val="405A0987"/>
    <w:multiLevelType w:val="hybridMultilevel"/>
    <w:tmpl w:val="C28E63AC"/>
    <w:lvl w:ilvl="0" w:tplc="040C000F">
      <w:start w:val="1"/>
      <w:numFmt w:val="decimal"/>
      <w:lvlText w:val="%1."/>
      <w:lvlJc w:val="left"/>
      <w:pPr>
        <w:ind w:left="1174" w:hanging="360"/>
      </w:pPr>
    </w:lvl>
    <w:lvl w:ilvl="1" w:tplc="040C0019">
      <w:start w:val="1"/>
      <w:numFmt w:val="lowerLetter"/>
      <w:lvlText w:val="%2."/>
      <w:lvlJc w:val="left"/>
      <w:pPr>
        <w:ind w:left="1894" w:hanging="360"/>
      </w:pPr>
    </w:lvl>
    <w:lvl w:ilvl="2" w:tplc="040C001B" w:tentative="1">
      <w:start w:val="1"/>
      <w:numFmt w:val="lowerRoman"/>
      <w:lvlText w:val="%3."/>
      <w:lvlJc w:val="right"/>
      <w:pPr>
        <w:ind w:left="2614" w:hanging="180"/>
      </w:pPr>
    </w:lvl>
    <w:lvl w:ilvl="3" w:tplc="040C000F" w:tentative="1">
      <w:start w:val="1"/>
      <w:numFmt w:val="decimal"/>
      <w:lvlText w:val="%4."/>
      <w:lvlJc w:val="left"/>
      <w:pPr>
        <w:ind w:left="3334" w:hanging="360"/>
      </w:pPr>
    </w:lvl>
    <w:lvl w:ilvl="4" w:tplc="040C0019" w:tentative="1">
      <w:start w:val="1"/>
      <w:numFmt w:val="lowerLetter"/>
      <w:lvlText w:val="%5."/>
      <w:lvlJc w:val="left"/>
      <w:pPr>
        <w:ind w:left="4054" w:hanging="360"/>
      </w:pPr>
    </w:lvl>
    <w:lvl w:ilvl="5" w:tplc="040C001B" w:tentative="1">
      <w:start w:val="1"/>
      <w:numFmt w:val="lowerRoman"/>
      <w:lvlText w:val="%6."/>
      <w:lvlJc w:val="right"/>
      <w:pPr>
        <w:ind w:left="4774" w:hanging="180"/>
      </w:pPr>
    </w:lvl>
    <w:lvl w:ilvl="6" w:tplc="040C000F" w:tentative="1">
      <w:start w:val="1"/>
      <w:numFmt w:val="decimal"/>
      <w:lvlText w:val="%7."/>
      <w:lvlJc w:val="left"/>
      <w:pPr>
        <w:ind w:left="5494" w:hanging="360"/>
      </w:pPr>
    </w:lvl>
    <w:lvl w:ilvl="7" w:tplc="040C0019" w:tentative="1">
      <w:start w:val="1"/>
      <w:numFmt w:val="lowerLetter"/>
      <w:lvlText w:val="%8."/>
      <w:lvlJc w:val="left"/>
      <w:pPr>
        <w:ind w:left="6214" w:hanging="360"/>
      </w:pPr>
    </w:lvl>
    <w:lvl w:ilvl="8" w:tplc="040C001B" w:tentative="1">
      <w:start w:val="1"/>
      <w:numFmt w:val="lowerRoman"/>
      <w:lvlText w:val="%9."/>
      <w:lvlJc w:val="right"/>
      <w:pPr>
        <w:ind w:left="6934" w:hanging="180"/>
      </w:pPr>
    </w:lvl>
  </w:abstractNum>
  <w:abstractNum w:abstractNumId="8">
    <w:nsid w:val="50F20F52"/>
    <w:multiLevelType w:val="hybridMultilevel"/>
    <w:tmpl w:val="01381C3E"/>
    <w:lvl w:ilvl="0" w:tplc="040C000F">
      <w:start w:val="1"/>
      <w:numFmt w:val="decimal"/>
      <w:lvlText w:val="%1."/>
      <w:lvlJc w:val="left"/>
      <w:pPr>
        <w:ind w:left="1174" w:hanging="360"/>
      </w:pPr>
    </w:lvl>
    <w:lvl w:ilvl="1" w:tplc="040C0019">
      <w:start w:val="1"/>
      <w:numFmt w:val="lowerLetter"/>
      <w:lvlText w:val="%2."/>
      <w:lvlJc w:val="left"/>
      <w:pPr>
        <w:ind w:left="1894" w:hanging="360"/>
      </w:pPr>
    </w:lvl>
    <w:lvl w:ilvl="2" w:tplc="040C001B" w:tentative="1">
      <w:start w:val="1"/>
      <w:numFmt w:val="lowerRoman"/>
      <w:lvlText w:val="%3."/>
      <w:lvlJc w:val="right"/>
      <w:pPr>
        <w:ind w:left="2614" w:hanging="180"/>
      </w:pPr>
    </w:lvl>
    <w:lvl w:ilvl="3" w:tplc="040C000F" w:tentative="1">
      <w:start w:val="1"/>
      <w:numFmt w:val="decimal"/>
      <w:lvlText w:val="%4."/>
      <w:lvlJc w:val="left"/>
      <w:pPr>
        <w:ind w:left="3334" w:hanging="360"/>
      </w:pPr>
    </w:lvl>
    <w:lvl w:ilvl="4" w:tplc="040C0019" w:tentative="1">
      <w:start w:val="1"/>
      <w:numFmt w:val="lowerLetter"/>
      <w:lvlText w:val="%5."/>
      <w:lvlJc w:val="left"/>
      <w:pPr>
        <w:ind w:left="4054" w:hanging="360"/>
      </w:pPr>
    </w:lvl>
    <w:lvl w:ilvl="5" w:tplc="040C001B" w:tentative="1">
      <w:start w:val="1"/>
      <w:numFmt w:val="lowerRoman"/>
      <w:lvlText w:val="%6."/>
      <w:lvlJc w:val="right"/>
      <w:pPr>
        <w:ind w:left="4774" w:hanging="180"/>
      </w:pPr>
    </w:lvl>
    <w:lvl w:ilvl="6" w:tplc="040C000F" w:tentative="1">
      <w:start w:val="1"/>
      <w:numFmt w:val="decimal"/>
      <w:lvlText w:val="%7."/>
      <w:lvlJc w:val="left"/>
      <w:pPr>
        <w:ind w:left="5494" w:hanging="360"/>
      </w:pPr>
    </w:lvl>
    <w:lvl w:ilvl="7" w:tplc="040C0019" w:tentative="1">
      <w:start w:val="1"/>
      <w:numFmt w:val="lowerLetter"/>
      <w:lvlText w:val="%8."/>
      <w:lvlJc w:val="left"/>
      <w:pPr>
        <w:ind w:left="6214" w:hanging="360"/>
      </w:pPr>
    </w:lvl>
    <w:lvl w:ilvl="8" w:tplc="040C001B" w:tentative="1">
      <w:start w:val="1"/>
      <w:numFmt w:val="lowerRoman"/>
      <w:lvlText w:val="%9."/>
      <w:lvlJc w:val="right"/>
      <w:pPr>
        <w:ind w:left="6934" w:hanging="180"/>
      </w:pPr>
    </w:lvl>
  </w:abstractNum>
  <w:abstractNum w:abstractNumId="9">
    <w:nsid w:val="51C705E2"/>
    <w:multiLevelType w:val="hybridMultilevel"/>
    <w:tmpl w:val="A49A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789C5714"/>
    <w:multiLevelType w:val="hybridMultilevel"/>
    <w:tmpl w:val="C79E762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F6C25C9"/>
    <w:multiLevelType w:val="hybridMultilevel"/>
    <w:tmpl w:val="7322487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5"/>
  </w:num>
  <w:num w:numId="4">
    <w:abstractNumId w:val="10"/>
  </w:num>
  <w:num w:numId="5">
    <w:abstractNumId w:val="7"/>
  </w:num>
  <w:num w:numId="6">
    <w:abstractNumId w:val="6"/>
  </w:num>
  <w:num w:numId="7">
    <w:abstractNumId w:val="4"/>
  </w:num>
  <w:num w:numId="8">
    <w:abstractNumId w:val="2"/>
  </w:num>
  <w:num w:numId="9">
    <w:abstractNumId w:val="9"/>
  </w:num>
  <w:num w:numId="10">
    <w:abstractNumId w:val="0"/>
  </w:num>
  <w:num w:numId="11">
    <w:abstractNumId w:val="1"/>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074"/>
    <w:rsid w:val="000007C8"/>
    <w:rsid w:val="0004058B"/>
    <w:rsid w:val="000F0D69"/>
    <w:rsid w:val="001274FA"/>
    <w:rsid w:val="001D26F0"/>
    <w:rsid w:val="00226897"/>
    <w:rsid w:val="00256657"/>
    <w:rsid w:val="00260662"/>
    <w:rsid w:val="002A5AE1"/>
    <w:rsid w:val="002C0AB1"/>
    <w:rsid w:val="00365405"/>
    <w:rsid w:val="00394E8A"/>
    <w:rsid w:val="0039590D"/>
    <w:rsid w:val="003A0801"/>
    <w:rsid w:val="003C21D3"/>
    <w:rsid w:val="00474074"/>
    <w:rsid w:val="00482FA3"/>
    <w:rsid w:val="005224D2"/>
    <w:rsid w:val="005334A1"/>
    <w:rsid w:val="005B08ED"/>
    <w:rsid w:val="005F4D77"/>
    <w:rsid w:val="006137E9"/>
    <w:rsid w:val="00661E09"/>
    <w:rsid w:val="006C416E"/>
    <w:rsid w:val="006D4D40"/>
    <w:rsid w:val="006E5995"/>
    <w:rsid w:val="0073595D"/>
    <w:rsid w:val="007519DD"/>
    <w:rsid w:val="007C3908"/>
    <w:rsid w:val="00807A98"/>
    <w:rsid w:val="008669F1"/>
    <w:rsid w:val="008A1074"/>
    <w:rsid w:val="00913FB4"/>
    <w:rsid w:val="009844A8"/>
    <w:rsid w:val="009A7735"/>
    <w:rsid w:val="009B22C1"/>
    <w:rsid w:val="009B6ED3"/>
    <w:rsid w:val="009C00B4"/>
    <w:rsid w:val="009E1802"/>
    <w:rsid w:val="00A069C1"/>
    <w:rsid w:val="00A218CD"/>
    <w:rsid w:val="00AA4132"/>
    <w:rsid w:val="00AA610B"/>
    <w:rsid w:val="00AB40E9"/>
    <w:rsid w:val="00AC60A9"/>
    <w:rsid w:val="00B34B45"/>
    <w:rsid w:val="00B706A5"/>
    <w:rsid w:val="00C15C25"/>
    <w:rsid w:val="00C521A4"/>
    <w:rsid w:val="00D86EA2"/>
    <w:rsid w:val="00D923A1"/>
    <w:rsid w:val="00D94082"/>
    <w:rsid w:val="00DA1AF3"/>
    <w:rsid w:val="00DA1E5E"/>
    <w:rsid w:val="00DA34C4"/>
    <w:rsid w:val="00DD095A"/>
    <w:rsid w:val="00E04B3F"/>
    <w:rsid w:val="00EA6C22"/>
    <w:rsid w:val="00F61919"/>
    <w:rsid w:val="00F829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SimSun" w:hAnsi="Arial" w:cs="Mangal"/>
        <w:kern w:val="2"/>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color w:val="666666"/>
    </w:rPr>
  </w:style>
  <w:style w:type="paragraph" w:styleId="Titre1">
    <w:name w:val="heading 1"/>
    <w:basedOn w:val="Normal"/>
    <w:next w:val="Corpsdetexte"/>
    <w:uiPriority w:val="9"/>
    <w:qFormat/>
    <w:pPr>
      <w:numPr>
        <w:numId w:val="1"/>
      </w:numPr>
      <w:spacing w:before="240" w:after="120"/>
      <w:outlineLvl w:val="0"/>
    </w:pPr>
    <w:rPr>
      <w:b/>
      <w:bCs/>
      <w:szCs w:val="36"/>
    </w:rPr>
  </w:style>
  <w:style w:type="paragraph" w:styleId="Titre2">
    <w:name w:val="heading 2"/>
    <w:basedOn w:val="Normal"/>
    <w:next w:val="Corpsdetexte"/>
    <w:uiPriority w:val="9"/>
    <w:semiHidden/>
    <w:unhideWhenUsed/>
    <w:qFormat/>
    <w:pPr>
      <w:numPr>
        <w:ilvl w:val="1"/>
        <w:numId w:val="1"/>
      </w:numPr>
      <w:outlineLvl w:val="1"/>
    </w:pPr>
    <w:rPr>
      <w:b/>
      <w:bCs/>
      <w:i/>
      <w:iCs/>
      <w:szCs w:val="28"/>
    </w:rPr>
  </w:style>
  <w:style w:type="paragraph" w:styleId="Titre3">
    <w:name w:val="heading 3"/>
    <w:basedOn w:val="Normal"/>
    <w:next w:val="Corpsdetexte"/>
    <w:uiPriority w:val="9"/>
    <w:semiHidden/>
    <w:unhideWhenUsed/>
    <w:qFormat/>
    <w:pPr>
      <w:numPr>
        <w:ilvl w:val="2"/>
        <w:numId w:val="1"/>
      </w:numPr>
      <w:spacing w:before="140" w:after="120"/>
      <w:outlineLvl w:val="2"/>
    </w:pPr>
    <w:rPr>
      <w:b/>
      <w:bCs/>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ansnom1">
    <w:name w:val="Sans nom1"/>
    <w:qFormat/>
    <w:rPr>
      <w:rFonts w:ascii="Arial" w:hAnsi="Arial"/>
      <w:color w:val="000000"/>
    </w:rPr>
  </w:style>
  <w:style w:type="character" w:customStyle="1" w:styleId="standard">
    <w:name w:val="standard"/>
    <w:qFormat/>
  </w:style>
  <w:style w:type="paragraph" w:styleId="Titre">
    <w:name w:val="Title"/>
    <w:basedOn w:val="Normal"/>
    <w:next w:val="Corpsdetexte"/>
    <w:uiPriority w:val="10"/>
    <w:qFormat/>
    <w:rPr>
      <w:b/>
      <w:bCs/>
      <w:sz w:val="24"/>
      <w:szCs w:val="56"/>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cadre">
    <w:name w:val="Contenu de cadre"/>
    <w:basedOn w:val="Corpsdetexte"/>
    <w:qFormat/>
  </w:style>
  <w:style w:type="paragraph" w:customStyle="1" w:styleId="En-tteetpieddepage">
    <w:name w:val="En-tête et pied de page"/>
    <w:basedOn w:val="Normal"/>
    <w:qFormat/>
    <w:pPr>
      <w:suppressLineNumbers/>
      <w:tabs>
        <w:tab w:val="center" w:pos="4819"/>
        <w:tab w:val="right" w:pos="9638"/>
      </w:tabs>
    </w:pPr>
  </w:style>
  <w:style w:type="paragraph" w:styleId="Pieddepage">
    <w:name w:val="footer"/>
    <w:basedOn w:val="Normal"/>
    <w:pPr>
      <w:suppressLineNumbers/>
      <w:tabs>
        <w:tab w:val="center" w:pos="4535"/>
        <w:tab w:val="left" w:pos="9071"/>
      </w:tabs>
      <w:spacing w:after="283"/>
      <w:jc w:val="center"/>
      <w:textAlignment w:val="bottom"/>
    </w:pPr>
  </w:style>
  <w:style w:type="paragraph" w:customStyle="1" w:styleId="Puce1dbut">
    <w:name w:val="Puce 1 début"/>
    <w:basedOn w:val="Liste"/>
    <w:qFormat/>
    <w:pPr>
      <w:spacing w:before="240"/>
      <w:ind w:left="360" w:hanging="360"/>
    </w:pPr>
  </w:style>
  <w:style w:type="paragraph" w:styleId="Liste2">
    <w:name w:val="List 2"/>
    <w:basedOn w:val="Liste"/>
    <w:pPr>
      <w:ind w:left="360" w:hanging="360"/>
    </w:pPr>
  </w:style>
  <w:style w:type="paragraph" w:customStyle="1" w:styleId="Nomduservicemteur">
    <w:name w:val="Nom du service éméteur"/>
    <w:basedOn w:val="Normal"/>
    <w:qFormat/>
  </w:style>
  <w:style w:type="paragraph" w:styleId="Sous-titre">
    <w:name w:val="Subtitle"/>
    <w:basedOn w:val="Normal"/>
    <w:next w:val="Corpsdetexte"/>
    <w:link w:val="Sous-titreCar"/>
    <w:uiPriority w:val="11"/>
    <w:qFormat/>
    <w:rsid w:val="00C15C25"/>
    <w:pPr>
      <w:spacing w:before="60" w:after="120"/>
    </w:pPr>
    <w:rPr>
      <w:b/>
      <w:color w:val="3B854B"/>
      <w:sz w:val="26"/>
      <w:szCs w:val="36"/>
    </w:rPr>
  </w:style>
  <w:style w:type="paragraph" w:styleId="En-tte">
    <w:name w:val="header"/>
    <w:basedOn w:val="Normal"/>
    <w:link w:val="En-tteCar"/>
    <w:uiPriority w:val="99"/>
    <w:unhideWhenUsed/>
    <w:rsid w:val="00394E8A"/>
    <w:pPr>
      <w:tabs>
        <w:tab w:val="center" w:pos="4536"/>
        <w:tab w:val="right" w:pos="9072"/>
      </w:tabs>
    </w:pPr>
  </w:style>
  <w:style w:type="character" w:customStyle="1" w:styleId="En-tteCar">
    <w:name w:val="En-tête Car"/>
    <w:basedOn w:val="Policepardfaut"/>
    <w:link w:val="En-tte"/>
    <w:uiPriority w:val="99"/>
    <w:rsid w:val="00394E8A"/>
    <w:rPr>
      <w:color w:val="666666"/>
    </w:rPr>
  </w:style>
  <w:style w:type="paragraph" w:styleId="Notedebasdepage">
    <w:name w:val="footnote text"/>
    <w:link w:val="NotedebasdepageCar"/>
    <w:autoRedefine/>
    <w:rsid w:val="00AC60A9"/>
    <w:pPr>
      <w:widowControl w:val="0"/>
      <w:suppressLineNumbers/>
      <w:ind w:left="170" w:hanging="170"/>
    </w:pPr>
    <w:rPr>
      <w:color w:val="635A32"/>
      <w:szCs w:val="20"/>
    </w:rPr>
  </w:style>
  <w:style w:type="character" w:customStyle="1" w:styleId="NotedebasdepageCar">
    <w:name w:val="Note de bas de page Car"/>
    <w:basedOn w:val="Policepardfaut"/>
    <w:link w:val="Notedebasdepage"/>
    <w:rsid w:val="00AC60A9"/>
    <w:rPr>
      <w:color w:val="635A32"/>
      <w:szCs w:val="20"/>
    </w:rPr>
  </w:style>
  <w:style w:type="paragraph" w:styleId="Paragraphedeliste">
    <w:name w:val="List Paragraph"/>
    <w:basedOn w:val="Normal"/>
    <w:uiPriority w:val="34"/>
    <w:qFormat/>
    <w:rsid w:val="00C15C25"/>
    <w:pPr>
      <w:ind w:left="720"/>
      <w:contextualSpacing/>
    </w:pPr>
    <w:rPr>
      <w:color w:val="auto"/>
      <w:szCs w:val="20"/>
    </w:rPr>
  </w:style>
  <w:style w:type="paragraph" w:customStyle="1" w:styleId="Standard0">
    <w:name w:val="Standard"/>
    <w:rsid w:val="00C15C25"/>
    <w:pPr>
      <w:widowControl w:val="0"/>
      <w:suppressAutoHyphens/>
      <w:autoSpaceDN w:val="0"/>
      <w:textAlignment w:val="baseline"/>
    </w:pPr>
    <w:rPr>
      <w:color w:val="666666"/>
      <w:kern w:val="3"/>
      <w:sz w:val="24"/>
    </w:rPr>
  </w:style>
  <w:style w:type="character" w:customStyle="1" w:styleId="numrodenote">
    <w:name w:val="numéro de note"/>
    <w:rsid w:val="00C15C25"/>
    <w:rPr>
      <w:rFonts w:ascii="Arial" w:hAnsi="Arial"/>
      <w:b/>
      <w:bCs/>
      <w:color w:val="003B77"/>
      <w:sz w:val="34"/>
      <w:szCs w:val="28"/>
    </w:rPr>
  </w:style>
  <w:style w:type="character" w:customStyle="1" w:styleId="Sous-titreCar">
    <w:name w:val="Sous-titre Car"/>
    <w:basedOn w:val="Policepardfaut"/>
    <w:link w:val="Sous-titre"/>
    <w:uiPriority w:val="11"/>
    <w:rsid w:val="00C15C25"/>
    <w:rPr>
      <w:b/>
      <w:color w:val="3B854B"/>
      <w:sz w:val="26"/>
      <w:szCs w:val="36"/>
    </w:rPr>
  </w:style>
  <w:style w:type="character" w:styleId="Appelnotedebasdep">
    <w:name w:val="footnote reference"/>
    <w:basedOn w:val="Policepardfaut"/>
    <w:uiPriority w:val="99"/>
    <w:semiHidden/>
    <w:unhideWhenUsed/>
    <w:rsid w:val="00C15C25"/>
    <w:rPr>
      <w:vertAlign w:val="superscript"/>
    </w:rPr>
  </w:style>
  <w:style w:type="paragraph" w:styleId="Textedebulles">
    <w:name w:val="Balloon Text"/>
    <w:basedOn w:val="Normal"/>
    <w:link w:val="TextedebullesCar"/>
    <w:uiPriority w:val="99"/>
    <w:semiHidden/>
    <w:unhideWhenUsed/>
    <w:rsid w:val="00C15C25"/>
    <w:rPr>
      <w:rFonts w:ascii="Tahoma" w:hAnsi="Tahoma"/>
      <w:sz w:val="16"/>
      <w:szCs w:val="14"/>
    </w:rPr>
  </w:style>
  <w:style w:type="character" w:customStyle="1" w:styleId="TextedebullesCar">
    <w:name w:val="Texte de bulles Car"/>
    <w:basedOn w:val="Policepardfaut"/>
    <w:link w:val="Textedebulles"/>
    <w:uiPriority w:val="99"/>
    <w:semiHidden/>
    <w:rsid w:val="00C15C25"/>
    <w:rPr>
      <w:rFonts w:ascii="Tahoma" w:hAnsi="Tahoma"/>
      <w:color w:val="666666"/>
      <w:sz w:val="16"/>
      <w:szCs w:val="14"/>
    </w:rPr>
  </w:style>
  <w:style w:type="paragraph" w:styleId="PrformatHTML">
    <w:name w:val="HTML Preformatted"/>
    <w:basedOn w:val="Normal"/>
    <w:link w:val="PrformatHTMLCar"/>
    <w:uiPriority w:val="99"/>
    <w:semiHidden/>
    <w:unhideWhenUsed/>
    <w:rsid w:val="007C3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kern w:val="0"/>
      <w:szCs w:val="20"/>
      <w:lang w:eastAsia="fr-FR" w:bidi="ar-SA"/>
    </w:rPr>
  </w:style>
  <w:style w:type="character" w:customStyle="1" w:styleId="PrformatHTMLCar">
    <w:name w:val="Préformaté HTML Car"/>
    <w:basedOn w:val="Policepardfaut"/>
    <w:link w:val="PrformatHTML"/>
    <w:uiPriority w:val="99"/>
    <w:semiHidden/>
    <w:rsid w:val="007C3908"/>
    <w:rPr>
      <w:rFonts w:ascii="Courier New" w:eastAsia="Times New Roman" w:hAnsi="Courier New" w:cs="Courier New"/>
      <w:kern w:val="0"/>
      <w:szCs w:val="20"/>
      <w:lang w:eastAsia="fr-FR" w:bidi="ar-SA"/>
    </w:rPr>
  </w:style>
  <w:style w:type="character" w:styleId="CodeHTML">
    <w:name w:val="HTML Code"/>
    <w:basedOn w:val="Policepardfaut"/>
    <w:uiPriority w:val="99"/>
    <w:semiHidden/>
    <w:unhideWhenUsed/>
    <w:rsid w:val="007C3908"/>
    <w:rPr>
      <w:rFonts w:ascii="Courier New" w:eastAsia="Times New Roman" w:hAnsi="Courier New" w:cs="Courier New"/>
      <w:sz w:val="20"/>
      <w:szCs w:val="20"/>
    </w:rPr>
  </w:style>
  <w:style w:type="character" w:customStyle="1" w:styleId="hljs-symbol">
    <w:name w:val="hljs-symbol"/>
    <w:basedOn w:val="Policepardfaut"/>
    <w:rsid w:val="007C3908"/>
  </w:style>
  <w:style w:type="character" w:customStyle="1" w:styleId="hljs-regexp">
    <w:name w:val="hljs-regexp"/>
    <w:basedOn w:val="Policepardfaut"/>
    <w:rsid w:val="007C3908"/>
  </w:style>
  <w:style w:type="character" w:customStyle="1" w:styleId="hljs-constant">
    <w:name w:val="hljs-constant"/>
    <w:basedOn w:val="Policepardfaut"/>
    <w:rsid w:val="007C3908"/>
  </w:style>
  <w:style w:type="character" w:customStyle="1" w:styleId="hljs-number">
    <w:name w:val="hljs-number"/>
    <w:basedOn w:val="Policepardfaut"/>
    <w:rsid w:val="007C3908"/>
  </w:style>
  <w:style w:type="paragraph" w:customStyle="1" w:styleId="Default">
    <w:name w:val="Default"/>
    <w:rsid w:val="00E04B3F"/>
    <w:pPr>
      <w:autoSpaceDE w:val="0"/>
      <w:autoSpaceDN w:val="0"/>
      <w:adjustRightInd w:val="0"/>
    </w:pPr>
    <w:rPr>
      <w:rFonts w:ascii="Century Gothic" w:hAnsi="Century Gothic" w:cs="Century Gothic"/>
      <w:color w:val="000000"/>
      <w:kern w:val="0"/>
      <w:sz w:val="24"/>
      <w:lang w:bidi="ar-SA"/>
    </w:rPr>
  </w:style>
  <w:style w:type="table" w:styleId="Grilledutableau">
    <w:name w:val="Table Grid"/>
    <w:basedOn w:val="TableauNormal"/>
    <w:uiPriority w:val="39"/>
    <w:rsid w:val="00226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SimSun" w:hAnsi="Arial" w:cs="Mangal"/>
        <w:kern w:val="2"/>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color w:val="666666"/>
    </w:rPr>
  </w:style>
  <w:style w:type="paragraph" w:styleId="Titre1">
    <w:name w:val="heading 1"/>
    <w:basedOn w:val="Normal"/>
    <w:next w:val="Corpsdetexte"/>
    <w:uiPriority w:val="9"/>
    <w:qFormat/>
    <w:pPr>
      <w:numPr>
        <w:numId w:val="1"/>
      </w:numPr>
      <w:spacing w:before="240" w:after="120"/>
      <w:outlineLvl w:val="0"/>
    </w:pPr>
    <w:rPr>
      <w:b/>
      <w:bCs/>
      <w:szCs w:val="36"/>
    </w:rPr>
  </w:style>
  <w:style w:type="paragraph" w:styleId="Titre2">
    <w:name w:val="heading 2"/>
    <w:basedOn w:val="Normal"/>
    <w:next w:val="Corpsdetexte"/>
    <w:uiPriority w:val="9"/>
    <w:semiHidden/>
    <w:unhideWhenUsed/>
    <w:qFormat/>
    <w:pPr>
      <w:numPr>
        <w:ilvl w:val="1"/>
        <w:numId w:val="1"/>
      </w:numPr>
      <w:outlineLvl w:val="1"/>
    </w:pPr>
    <w:rPr>
      <w:b/>
      <w:bCs/>
      <w:i/>
      <w:iCs/>
      <w:szCs w:val="28"/>
    </w:rPr>
  </w:style>
  <w:style w:type="paragraph" w:styleId="Titre3">
    <w:name w:val="heading 3"/>
    <w:basedOn w:val="Normal"/>
    <w:next w:val="Corpsdetexte"/>
    <w:uiPriority w:val="9"/>
    <w:semiHidden/>
    <w:unhideWhenUsed/>
    <w:qFormat/>
    <w:pPr>
      <w:numPr>
        <w:ilvl w:val="2"/>
        <w:numId w:val="1"/>
      </w:numPr>
      <w:spacing w:before="140" w:after="120"/>
      <w:outlineLvl w:val="2"/>
    </w:pPr>
    <w:rPr>
      <w:b/>
      <w:bCs/>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ansnom1">
    <w:name w:val="Sans nom1"/>
    <w:qFormat/>
    <w:rPr>
      <w:rFonts w:ascii="Arial" w:hAnsi="Arial"/>
      <w:color w:val="000000"/>
    </w:rPr>
  </w:style>
  <w:style w:type="character" w:customStyle="1" w:styleId="standard">
    <w:name w:val="standard"/>
    <w:qFormat/>
  </w:style>
  <w:style w:type="paragraph" w:styleId="Titre">
    <w:name w:val="Title"/>
    <w:basedOn w:val="Normal"/>
    <w:next w:val="Corpsdetexte"/>
    <w:uiPriority w:val="10"/>
    <w:qFormat/>
    <w:rPr>
      <w:b/>
      <w:bCs/>
      <w:sz w:val="24"/>
      <w:szCs w:val="56"/>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ontenudecadre">
    <w:name w:val="Contenu de cadre"/>
    <w:basedOn w:val="Corpsdetexte"/>
    <w:qFormat/>
  </w:style>
  <w:style w:type="paragraph" w:customStyle="1" w:styleId="En-tteetpieddepage">
    <w:name w:val="En-tête et pied de page"/>
    <w:basedOn w:val="Normal"/>
    <w:qFormat/>
    <w:pPr>
      <w:suppressLineNumbers/>
      <w:tabs>
        <w:tab w:val="center" w:pos="4819"/>
        <w:tab w:val="right" w:pos="9638"/>
      </w:tabs>
    </w:pPr>
  </w:style>
  <w:style w:type="paragraph" w:styleId="Pieddepage">
    <w:name w:val="footer"/>
    <w:basedOn w:val="Normal"/>
    <w:pPr>
      <w:suppressLineNumbers/>
      <w:tabs>
        <w:tab w:val="center" w:pos="4535"/>
        <w:tab w:val="left" w:pos="9071"/>
      </w:tabs>
      <w:spacing w:after="283"/>
      <w:jc w:val="center"/>
      <w:textAlignment w:val="bottom"/>
    </w:pPr>
  </w:style>
  <w:style w:type="paragraph" w:customStyle="1" w:styleId="Puce1dbut">
    <w:name w:val="Puce 1 début"/>
    <w:basedOn w:val="Liste"/>
    <w:qFormat/>
    <w:pPr>
      <w:spacing w:before="240"/>
      <w:ind w:left="360" w:hanging="360"/>
    </w:pPr>
  </w:style>
  <w:style w:type="paragraph" w:styleId="Liste2">
    <w:name w:val="List 2"/>
    <w:basedOn w:val="Liste"/>
    <w:pPr>
      <w:ind w:left="360" w:hanging="360"/>
    </w:pPr>
  </w:style>
  <w:style w:type="paragraph" w:customStyle="1" w:styleId="Nomduservicemteur">
    <w:name w:val="Nom du service éméteur"/>
    <w:basedOn w:val="Normal"/>
    <w:qFormat/>
  </w:style>
  <w:style w:type="paragraph" w:styleId="Sous-titre">
    <w:name w:val="Subtitle"/>
    <w:basedOn w:val="Normal"/>
    <w:next w:val="Corpsdetexte"/>
    <w:link w:val="Sous-titreCar"/>
    <w:uiPriority w:val="11"/>
    <w:qFormat/>
    <w:rsid w:val="00C15C25"/>
    <w:pPr>
      <w:spacing w:before="60" w:after="120"/>
    </w:pPr>
    <w:rPr>
      <w:b/>
      <w:color w:val="3B854B"/>
      <w:sz w:val="26"/>
      <w:szCs w:val="36"/>
    </w:rPr>
  </w:style>
  <w:style w:type="paragraph" w:styleId="En-tte">
    <w:name w:val="header"/>
    <w:basedOn w:val="Normal"/>
    <w:link w:val="En-tteCar"/>
    <w:uiPriority w:val="99"/>
    <w:unhideWhenUsed/>
    <w:rsid w:val="00394E8A"/>
    <w:pPr>
      <w:tabs>
        <w:tab w:val="center" w:pos="4536"/>
        <w:tab w:val="right" w:pos="9072"/>
      </w:tabs>
    </w:pPr>
  </w:style>
  <w:style w:type="character" w:customStyle="1" w:styleId="En-tteCar">
    <w:name w:val="En-tête Car"/>
    <w:basedOn w:val="Policepardfaut"/>
    <w:link w:val="En-tte"/>
    <w:uiPriority w:val="99"/>
    <w:rsid w:val="00394E8A"/>
    <w:rPr>
      <w:color w:val="666666"/>
    </w:rPr>
  </w:style>
  <w:style w:type="paragraph" w:styleId="Notedebasdepage">
    <w:name w:val="footnote text"/>
    <w:link w:val="NotedebasdepageCar"/>
    <w:autoRedefine/>
    <w:rsid w:val="00AC60A9"/>
    <w:pPr>
      <w:widowControl w:val="0"/>
      <w:suppressLineNumbers/>
      <w:ind w:left="170" w:hanging="170"/>
    </w:pPr>
    <w:rPr>
      <w:color w:val="635A32"/>
      <w:szCs w:val="20"/>
    </w:rPr>
  </w:style>
  <w:style w:type="character" w:customStyle="1" w:styleId="NotedebasdepageCar">
    <w:name w:val="Note de bas de page Car"/>
    <w:basedOn w:val="Policepardfaut"/>
    <w:link w:val="Notedebasdepage"/>
    <w:rsid w:val="00AC60A9"/>
    <w:rPr>
      <w:color w:val="635A32"/>
      <w:szCs w:val="20"/>
    </w:rPr>
  </w:style>
  <w:style w:type="paragraph" w:styleId="Paragraphedeliste">
    <w:name w:val="List Paragraph"/>
    <w:basedOn w:val="Normal"/>
    <w:uiPriority w:val="34"/>
    <w:qFormat/>
    <w:rsid w:val="00C15C25"/>
    <w:pPr>
      <w:ind w:left="720"/>
      <w:contextualSpacing/>
    </w:pPr>
    <w:rPr>
      <w:color w:val="auto"/>
      <w:szCs w:val="20"/>
    </w:rPr>
  </w:style>
  <w:style w:type="paragraph" w:customStyle="1" w:styleId="Standard0">
    <w:name w:val="Standard"/>
    <w:rsid w:val="00C15C25"/>
    <w:pPr>
      <w:widowControl w:val="0"/>
      <w:suppressAutoHyphens/>
      <w:autoSpaceDN w:val="0"/>
      <w:textAlignment w:val="baseline"/>
    </w:pPr>
    <w:rPr>
      <w:color w:val="666666"/>
      <w:kern w:val="3"/>
      <w:sz w:val="24"/>
    </w:rPr>
  </w:style>
  <w:style w:type="character" w:customStyle="1" w:styleId="numrodenote">
    <w:name w:val="numéro de note"/>
    <w:rsid w:val="00C15C25"/>
    <w:rPr>
      <w:rFonts w:ascii="Arial" w:hAnsi="Arial"/>
      <w:b/>
      <w:bCs/>
      <w:color w:val="003B77"/>
      <w:sz w:val="34"/>
      <w:szCs w:val="28"/>
    </w:rPr>
  </w:style>
  <w:style w:type="character" w:customStyle="1" w:styleId="Sous-titreCar">
    <w:name w:val="Sous-titre Car"/>
    <w:basedOn w:val="Policepardfaut"/>
    <w:link w:val="Sous-titre"/>
    <w:uiPriority w:val="11"/>
    <w:rsid w:val="00C15C25"/>
    <w:rPr>
      <w:b/>
      <w:color w:val="3B854B"/>
      <w:sz w:val="26"/>
      <w:szCs w:val="36"/>
    </w:rPr>
  </w:style>
  <w:style w:type="character" w:styleId="Appelnotedebasdep">
    <w:name w:val="footnote reference"/>
    <w:basedOn w:val="Policepardfaut"/>
    <w:uiPriority w:val="99"/>
    <w:semiHidden/>
    <w:unhideWhenUsed/>
    <w:rsid w:val="00C15C25"/>
    <w:rPr>
      <w:vertAlign w:val="superscript"/>
    </w:rPr>
  </w:style>
  <w:style w:type="paragraph" w:styleId="Textedebulles">
    <w:name w:val="Balloon Text"/>
    <w:basedOn w:val="Normal"/>
    <w:link w:val="TextedebullesCar"/>
    <w:uiPriority w:val="99"/>
    <w:semiHidden/>
    <w:unhideWhenUsed/>
    <w:rsid w:val="00C15C25"/>
    <w:rPr>
      <w:rFonts w:ascii="Tahoma" w:hAnsi="Tahoma"/>
      <w:sz w:val="16"/>
      <w:szCs w:val="14"/>
    </w:rPr>
  </w:style>
  <w:style w:type="character" w:customStyle="1" w:styleId="TextedebullesCar">
    <w:name w:val="Texte de bulles Car"/>
    <w:basedOn w:val="Policepardfaut"/>
    <w:link w:val="Textedebulles"/>
    <w:uiPriority w:val="99"/>
    <w:semiHidden/>
    <w:rsid w:val="00C15C25"/>
    <w:rPr>
      <w:rFonts w:ascii="Tahoma" w:hAnsi="Tahoma"/>
      <w:color w:val="666666"/>
      <w:sz w:val="16"/>
      <w:szCs w:val="14"/>
    </w:rPr>
  </w:style>
  <w:style w:type="paragraph" w:styleId="PrformatHTML">
    <w:name w:val="HTML Preformatted"/>
    <w:basedOn w:val="Normal"/>
    <w:link w:val="PrformatHTMLCar"/>
    <w:uiPriority w:val="99"/>
    <w:semiHidden/>
    <w:unhideWhenUsed/>
    <w:rsid w:val="007C3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kern w:val="0"/>
      <w:szCs w:val="20"/>
      <w:lang w:eastAsia="fr-FR" w:bidi="ar-SA"/>
    </w:rPr>
  </w:style>
  <w:style w:type="character" w:customStyle="1" w:styleId="PrformatHTMLCar">
    <w:name w:val="Préformaté HTML Car"/>
    <w:basedOn w:val="Policepardfaut"/>
    <w:link w:val="PrformatHTML"/>
    <w:uiPriority w:val="99"/>
    <w:semiHidden/>
    <w:rsid w:val="007C3908"/>
    <w:rPr>
      <w:rFonts w:ascii="Courier New" w:eastAsia="Times New Roman" w:hAnsi="Courier New" w:cs="Courier New"/>
      <w:kern w:val="0"/>
      <w:szCs w:val="20"/>
      <w:lang w:eastAsia="fr-FR" w:bidi="ar-SA"/>
    </w:rPr>
  </w:style>
  <w:style w:type="character" w:styleId="CodeHTML">
    <w:name w:val="HTML Code"/>
    <w:basedOn w:val="Policepardfaut"/>
    <w:uiPriority w:val="99"/>
    <w:semiHidden/>
    <w:unhideWhenUsed/>
    <w:rsid w:val="007C3908"/>
    <w:rPr>
      <w:rFonts w:ascii="Courier New" w:eastAsia="Times New Roman" w:hAnsi="Courier New" w:cs="Courier New"/>
      <w:sz w:val="20"/>
      <w:szCs w:val="20"/>
    </w:rPr>
  </w:style>
  <w:style w:type="character" w:customStyle="1" w:styleId="hljs-symbol">
    <w:name w:val="hljs-symbol"/>
    <w:basedOn w:val="Policepardfaut"/>
    <w:rsid w:val="007C3908"/>
  </w:style>
  <w:style w:type="character" w:customStyle="1" w:styleId="hljs-regexp">
    <w:name w:val="hljs-regexp"/>
    <w:basedOn w:val="Policepardfaut"/>
    <w:rsid w:val="007C3908"/>
  </w:style>
  <w:style w:type="character" w:customStyle="1" w:styleId="hljs-constant">
    <w:name w:val="hljs-constant"/>
    <w:basedOn w:val="Policepardfaut"/>
    <w:rsid w:val="007C3908"/>
  </w:style>
  <w:style w:type="character" w:customStyle="1" w:styleId="hljs-number">
    <w:name w:val="hljs-number"/>
    <w:basedOn w:val="Policepardfaut"/>
    <w:rsid w:val="007C3908"/>
  </w:style>
  <w:style w:type="paragraph" w:customStyle="1" w:styleId="Default">
    <w:name w:val="Default"/>
    <w:rsid w:val="00E04B3F"/>
    <w:pPr>
      <w:autoSpaceDE w:val="0"/>
      <w:autoSpaceDN w:val="0"/>
      <w:adjustRightInd w:val="0"/>
    </w:pPr>
    <w:rPr>
      <w:rFonts w:ascii="Century Gothic" w:hAnsi="Century Gothic" w:cs="Century Gothic"/>
      <w:color w:val="000000"/>
      <w:kern w:val="0"/>
      <w:sz w:val="24"/>
      <w:lang w:bidi="ar-SA"/>
    </w:rPr>
  </w:style>
  <w:style w:type="table" w:styleId="Grilledutableau">
    <w:name w:val="Table Grid"/>
    <w:basedOn w:val="TableauNormal"/>
    <w:uiPriority w:val="39"/>
    <w:rsid w:val="00226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9788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cid:89e04c83-816e-4ca7-9525-8cb04fb2cdb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go.senges\Documents\Supports\Template\POLE%20DE%20VINCENNES%20OFFICE%20365\OFB_COURRIER%20A%20ENTETE%20COM%20INTERNE%20WORD%20365.dotx" TargetMode="External"/></Relationships>
</file>

<file path=word/theme/theme1.xml><?xml version="1.0" encoding="utf-8"?>
<a:theme xmlns:a="http://schemas.openxmlformats.org/drawingml/2006/main" name="Thème OFB">
  <a:themeElements>
    <a:clrScheme name="OFB">
      <a:dk1>
        <a:srgbClr val="1E4E85"/>
      </a:dk1>
      <a:lt1>
        <a:srgbClr val="99D4FC"/>
      </a:lt1>
      <a:dk2>
        <a:srgbClr val="51B3DE"/>
      </a:dk2>
      <a:lt2>
        <a:srgbClr val="4296CE"/>
      </a:lt2>
      <a:accent1>
        <a:srgbClr val="4472C4"/>
      </a:accent1>
      <a:accent2>
        <a:srgbClr val="3F8C4E"/>
      </a:accent2>
      <a:accent3>
        <a:srgbClr val="53AB60"/>
      </a:accent3>
      <a:accent4>
        <a:srgbClr val="90BF83"/>
      </a:accent4>
      <a:accent5>
        <a:srgbClr val="B6CE94"/>
      </a:accent5>
      <a:accent6>
        <a:srgbClr val="D2DEAE"/>
      </a:accent6>
      <a:hlink>
        <a:srgbClr val="4296CE"/>
      </a:hlink>
      <a:folHlink>
        <a:srgbClr val="53AB60"/>
      </a:folHlink>
    </a:clrScheme>
    <a:fontScheme name="OFB">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995482-5A5A-481F-B22E-115E050FA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OFB_COURRIER A ENTETE COM INTERNE WORD 365</Template>
  <TotalTime>492</TotalTime>
  <Pages>9</Pages>
  <Words>3582</Words>
  <Characters>19707</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
    </vt:vector>
  </TitlesOfParts>
  <Company>OFB</Company>
  <LinksUpToDate>false</LinksUpToDate>
  <CharactersWithSpaces>23243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SENGES Hugo</dc:creator>
  <cp:lastModifiedBy>SENGES Hugo</cp:lastModifiedBy>
  <cp:revision>7</cp:revision>
  <dcterms:created xsi:type="dcterms:W3CDTF">2021-10-25T09:20:00Z</dcterms:created>
  <dcterms:modified xsi:type="dcterms:W3CDTF">2021-11-08T12:27:00Z</dcterms:modified>
  <dc:language>fr-FR</dc:language>
</cp:coreProperties>
</file>