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75612"/>
          <w:spacing w:val="30"/>
          <w:sz w:val="18"/>
          <w:szCs w:val="18"/>
        </w:rPr>
        <w:t xml:space="preserve">PREPARED FOR PREVENTIVE HOME SOLUTIONS</w:t>
      </w:r>
    </w:p>
    <w:p>
      <w:pPr>
        <w:spacing w:after="60"/>
      </w:pPr>
      <w:r>
        <w:rPr>
          <w:b/>
          <w:bCs/>
          <w:color w:val="16263D"/>
          <w:sz w:val="48"/>
          <w:szCs w:val="48"/>
        </w:rPr>
        <w:t xml:space="preserve">Website Speed &amp; Accessibility</w:t>
      </w:r>
    </w:p>
    <w:p>
      <w:pPr>
        <w:spacing w:after="120"/>
      </w:pPr>
      <w:r>
        <w:rPr>
          <w:b/>
          <w:bCs/>
          <w:color w:val="16263D"/>
          <w:sz w:val="48"/>
          <w:szCs w:val="48"/>
        </w:rPr>
        <w:t xml:space="preserve">Improvement Report</w:t>
      </w:r>
    </w:p>
    <w:p>
      <w:pPr>
        <w:spacing w:after="60"/>
      </w:pPr>
      <w:r>
        <w:rPr>
          <w:i/>
          <w:iCs/>
          <w:color w:val="5B6472"/>
          <w:sz w:val="24"/>
          <w:szCs w:val="24"/>
        </w:rPr>
        <w:t xml:space="preserve">What we changed, why it matters, and what it means for your business.</w:t>
      </w:r>
    </w:p>
    <w:p>
      <w:pPr>
        <w:pBdr>
          <w:bottom w:val="single" w:color="D75612" w:sz="12" w:space="1"/>
        </w:pBdr>
        <w:spacing w:after="160"/>
      </w:pPr>
      <w:r>
        <w:t xml:space="preserve"/>
      </w:r>
    </w:p>
    <w:p>
      <w:pPr>
        <w:spacing w:after="240"/>
      </w:pPr>
      <w:r>
        <w:rPr>
          <w:b/>
          <w:bCs/>
          <w:color w:val="16263D"/>
          <w:sz w:val="20"/>
          <w:szCs w:val="20"/>
        </w:rPr>
        <w:t xml:space="preserve">Prepared by: </w:t>
      </w:r>
      <w:r>
        <w:rPr>
          <w:sz w:val="20"/>
          <w:szCs w:val="20"/>
        </w:rPr>
        <w:t xml:space="preserve">EthixWeb</w:t>
      </w:r>
      <w:r>
        <w:rPr>
          <w:b/>
          <w:bCs/>
          <w:color w:val="16263D"/>
          <w:sz w:val="20"/>
          <w:szCs w:val="20"/>
        </w:rPr>
        <w:t xml:space="preserve">        Date: </w:t>
      </w:r>
      <w:r>
        <w:rPr>
          <w:sz w:val="20"/>
          <w:szCs w:val="20"/>
        </w:rPr>
        <w:t xml:space="preserve">July 2026</w:t>
      </w:r>
      <w:r>
        <w:rPr>
          <w:b/>
          <w:bCs/>
          <w:color w:val="16263D"/>
          <w:sz w:val="20"/>
          <w:szCs w:val="20"/>
        </w:rPr>
        <w:t xml:space="preserve">        Standard: </w:t>
      </w:r>
      <w:r>
        <w:rPr>
          <w:sz w:val="20"/>
          <w:szCs w:val="20"/>
        </w:rPr>
        <w:t xml:space="preserve">WCAG 2.1 Level AA</w:t>
      </w:r>
    </w:p>
    <w:p>
      <w:pPr>
        <w:pStyle w:val="Heading1"/>
      </w:pPr>
      <w:r>
        <w:t xml:space="preserve">Overview</w:t>
      </w:r>
    </w:p>
    <w:p>
      <w:pPr>
        <w:spacing w:after="140" w:line="276"/>
      </w:pPr>
      <w:r>
        <w:t xml:space="preserve">This report explains, in plain language, the improvements made to your website in two areas that directly affect your business:</w:t>
      </w:r>
    </w:p>
    <w:p>
      <w:pPr>
        <w:pStyle w:val="ListParagraph"/>
        <w:numPr>
          <w:ilvl w:val="0"/>
          <w:numId w:val="2"/>
        </w:numPr>
        <w:spacing w:after="90" w:line="268"/>
      </w:pPr>
      <w:r>
        <w:rPr>
          <w:b/>
          <w:bCs/>
          <w:color w:val="16263D"/>
        </w:rPr>
        <w:t xml:space="preserve">Speed — </w:t>
      </w:r>
      <w:r>
        <w:t xml:space="preserve">how quickly your website loads for visitors, especially on mobile phones; and</w:t>
      </w:r>
    </w:p>
    <w:p>
      <w:pPr>
        <w:pStyle w:val="ListParagraph"/>
        <w:numPr>
          <w:ilvl w:val="0"/>
          <w:numId w:val="2"/>
        </w:numPr>
        <w:spacing w:after="90" w:line="268"/>
      </w:pPr>
      <w:r>
        <w:rPr>
          <w:b/>
          <w:bCs/>
          <w:color w:val="16263D"/>
        </w:rPr>
        <w:t xml:space="preserve">Accessibility — </w:t>
      </w:r>
      <w:r>
        <w:t xml:space="preserve">how usable your website is for everyone, including people with disabilities — which also protects you against the website-accessibility (ADA) lawsuits that have become common across the U.S.</w:t>
      </w:r>
    </w:p>
    <w:p>
      <w:pPr>
        <w:spacing w:after="60"/>
      </w:pPr>
      <w:r>
        <w:t xml:space="preserve"/>
      </w:r>
    </w:p>
    <w:p>
      <w:pPr>
        <w:spacing w:after="140" w:line="276"/>
      </w:pPr>
      <w:r>
        <w:t xml:space="preserve">Both areas were measured with the same professional tools that Google and independent auditors use, so the results are objective and repeatable.</w:t>
      </w:r>
    </w:p>
    <w:p>
      <w:pPr>
        <w:pStyle w:val="Heading1"/>
      </w:pPr>
      <w:r>
        <w:t xml:space="preserve">Part 1 — Website Speed</w:t>
      </w:r>
    </w:p>
    <w:p>
      <w:pPr>
        <w:pStyle w:val="Heading2"/>
      </w:pPr>
      <w:r>
        <w:t xml:space="preserve">Why this matters</w:t>
      </w:r>
    </w:p>
    <w:p>
      <w:pPr>
        <w:pStyle w:val="ListParagraph"/>
        <w:numPr>
          <w:ilvl w:val="0"/>
          <w:numId w:val="2"/>
        </w:numPr>
        <w:spacing w:after="90" w:line="268"/>
      </w:pPr>
      <w:r>
        <w:rPr>
          <w:b/>
          <w:bCs/>
          <w:color w:val="16263D"/>
        </w:rPr>
        <w:t xml:space="preserve">Search ranking. </w:t>
      </w:r>
      <w:r>
        <w:t xml:space="preserve">Google ranks faster websites higher in search results.</w:t>
      </w:r>
    </w:p>
    <w:p>
      <w:pPr>
        <w:pStyle w:val="ListParagraph"/>
        <w:numPr>
          <w:ilvl w:val="0"/>
          <w:numId w:val="2"/>
        </w:numPr>
        <w:spacing w:after="90" w:line="268"/>
      </w:pPr>
      <w:r>
        <w:rPr>
          <w:b/>
          <w:bCs/>
          <w:color w:val="16263D"/>
        </w:rPr>
        <w:t xml:space="preserve">Lost customers. </w:t>
      </w:r>
      <w:r>
        <w:t xml:space="preserve">Most people leave a page that takes more than a few seconds to load — a slow site quietly loses you calls and quote requests.</w:t>
      </w:r>
    </w:p>
    <w:p>
      <w:pPr>
        <w:pStyle w:val="ListParagraph"/>
        <w:numPr>
          <w:ilvl w:val="0"/>
          <w:numId w:val="2"/>
        </w:numPr>
        <w:spacing w:after="90" w:line="268"/>
      </w:pPr>
      <w:r>
        <w:rPr>
          <w:b/>
          <w:bCs/>
          <w:color w:val="16263D"/>
        </w:rPr>
        <w:t xml:space="preserve">Mobile-first. </w:t>
      </w:r>
      <w:r>
        <w:t xml:space="preserve">The majority of your visitors are on phones, where the site was slowest.</w:t>
      </w:r>
    </w:p>
    <w:p>
      <w:pPr>
        <w:pStyle w:val="Heading2"/>
      </w:pPr>
      <w:r>
        <w:t xml:space="preserve">What we found (before)</w:t>
      </w:r>
    </w:p>
    <w:p>
      <w:pPr>
        <w:spacing w:after="140" w:line="276"/>
      </w:pPr>
      <w:r>
        <w:t xml:space="preserve">On a typical phone, the website scored poorly and took roughly 14 seconds to show its main content — far longer than the 2–3 seconds visitors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D8D2C8" w:sz="1"/>
              <w:left w:val="single" w:color="D8D2C8" w:sz="1"/>
              <w:bottom w:val="single" w:color="D8D2C8" w:sz="1"/>
              <w:right w:val="single" w:color="D8D2C8" w:sz="1"/>
            </w:tcBorders>
            <w:shd w:fill="16263D" w:val="clear"/>
            <w:tcMar>
              <w:top w:type="dxa" w:w="90"/>
              <w:left w:type="dxa" w:w="140"/>
              <w:bottom w:type="dxa" w:w="90"/>
              <w:right w:type="dxa" w:w="140"/>
            </w:tcMar>
            <w:vAlign w:val="center"/>
          </w:tcPr>
          <w:p>
            <w:pPr>
              <w:jc w:val="left"/>
            </w:pPr>
            <w:r>
              <w:rPr>
                <w:b/>
                <w:bCs/>
                <w:color w:val="FFFFFF"/>
                <w:sz w:val="21"/>
                <w:szCs w:val="21"/>
              </w:rPr>
              <w:t xml:space="preserve">Measurement (mobile)</w:t>
            </w:r>
          </w:p>
        </w:tc>
        <w:tc>
          <w:tcPr>
            <w:tcW w:type="dxa" w:w="2340"/>
            <w:tcBorders>
              <w:top w:val="single" w:color="D8D2C8" w:sz="1"/>
              <w:left w:val="single" w:color="D8D2C8" w:sz="1"/>
              <w:bottom w:val="single" w:color="D8D2C8" w:sz="1"/>
              <w:right w:val="single" w:color="D8D2C8" w:sz="1"/>
            </w:tcBorders>
            <w:shd w:fill="16263D" w:val="clear"/>
            <w:tcMar>
              <w:top w:type="dxa" w:w="90"/>
              <w:left w:type="dxa" w:w="140"/>
              <w:bottom w:type="dxa" w:w="90"/>
              <w:right w:type="dxa" w:w="140"/>
            </w:tcMar>
            <w:vAlign w:val="center"/>
          </w:tcPr>
          <w:p>
            <w:pPr>
              <w:jc w:val="left"/>
            </w:pPr>
            <w:r>
              <w:rPr>
                <w:b/>
                <w:bCs/>
                <w:color w:val="FFFFFF"/>
                <w:sz w:val="21"/>
                <w:szCs w:val="21"/>
              </w:rPr>
              <w:t xml:space="preserve">Before</w:t>
            </w:r>
          </w:p>
        </w:tc>
        <w:tc>
          <w:tcPr>
            <w:tcW w:type="dxa" w:w="2340"/>
            <w:tcBorders>
              <w:top w:val="single" w:color="D8D2C8" w:sz="1"/>
              <w:left w:val="single" w:color="D8D2C8" w:sz="1"/>
              <w:bottom w:val="single" w:color="D8D2C8" w:sz="1"/>
              <w:right w:val="single" w:color="D8D2C8" w:sz="1"/>
            </w:tcBorders>
            <w:shd w:fill="16263D" w:val="clear"/>
            <w:tcMar>
              <w:top w:type="dxa" w:w="90"/>
              <w:left w:type="dxa" w:w="140"/>
              <w:bottom w:type="dxa" w:w="90"/>
              <w:right w:type="dxa" w:w="140"/>
            </w:tcMar>
            <w:vAlign w:val="center"/>
          </w:tcPr>
          <w:p>
            <w:pPr>
              <w:jc w:val="left"/>
            </w:pPr>
            <w:r>
              <w:rPr>
                <w:b/>
                <w:bCs/>
                <w:color w:val="FFFFFF"/>
                <w:sz w:val="21"/>
                <w:szCs w:val="21"/>
              </w:rPr>
              <w:t xml:space="preserve">Goal</w:t>
            </w:r>
          </w:p>
        </w:tc>
      </w:tr>
      <w:tr>
        <w:tc>
          <w:tcPr>
            <w:tcW w:type="dxa" w:w="4680"/>
            <w:tcBorders>
              <w:top w:val="single" w:color="D8D2C8" w:sz="1"/>
              <w:left w:val="single" w:color="D8D2C8" w:sz="1"/>
              <w:bottom w:val="single" w:color="D8D2C8" w:sz="1"/>
              <w:right w:val="single" w:color="D8D2C8" w:sz="1"/>
            </w:tcBorders>
            <w:tcMar>
              <w:top w:type="dxa" w:w="90"/>
              <w:left w:type="dxa" w:w="140"/>
              <w:bottom w:type="dxa" w:w="90"/>
              <w:right w:type="dxa" w:w="140"/>
            </w:tcMar>
            <w:vAlign w:val="center"/>
          </w:tcPr>
          <w:p>
            <w:pPr>
              <w:jc w:val="left"/>
            </w:pPr>
            <w:r>
              <w:rPr>
                <w:b w:val="false"/>
                <w:bCs w:val="false"/>
                <w:color w:val="2B2B2B"/>
                <w:sz w:val="21"/>
                <w:szCs w:val="21"/>
              </w:rPr>
              <w:t xml:space="preserve">Overall speed score</w:t>
            </w:r>
          </w:p>
        </w:tc>
        <w:tc>
          <w:tcPr>
            <w:tcW w:type="dxa" w:w="2340"/>
            <w:tcBorders>
              <w:top w:val="single" w:color="D8D2C8" w:sz="1"/>
              <w:left w:val="single" w:color="D8D2C8" w:sz="1"/>
              <w:bottom w:val="single" w:color="D8D2C8" w:sz="1"/>
              <w:right w:val="single" w:color="D8D2C8" w:sz="1"/>
            </w:tcBorders>
            <w:tcMar>
              <w:top w:type="dxa" w:w="90"/>
              <w:left w:type="dxa" w:w="140"/>
              <w:bottom w:type="dxa" w:w="90"/>
              <w:right w:type="dxa" w:w="140"/>
            </w:tcMar>
            <w:vAlign w:val="center"/>
          </w:tcPr>
          <w:p>
            <w:pPr>
              <w:jc w:val="left"/>
            </w:pPr>
            <w:r>
              <w:rPr>
                <w:b w:val="false"/>
                <w:bCs w:val="false"/>
                <w:color w:val="2B2B2B"/>
                <w:sz w:val="21"/>
                <w:szCs w:val="21"/>
              </w:rPr>
              <w:t xml:space="preserve">34 / 100</w:t>
            </w:r>
          </w:p>
        </w:tc>
        <w:tc>
          <w:tcPr>
            <w:tcW w:type="dxa" w:w="2340"/>
            <w:tcBorders>
              <w:top w:val="single" w:color="D8D2C8" w:sz="1"/>
              <w:left w:val="single" w:color="D8D2C8" w:sz="1"/>
              <w:bottom w:val="single" w:color="D8D2C8" w:sz="1"/>
              <w:right w:val="single" w:color="D8D2C8" w:sz="1"/>
            </w:tcBorders>
            <w:tcMar>
              <w:top w:type="dxa" w:w="90"/>
              <w:left w:type="dxa" w:w="140"/>
              <w:bottom w:type="dxa" w:w="90"/>
              <w:right w:type="dxa" w:w="140"/>
            </w:tcMar>
            <w:vAlign w:val="center"/>
          </w:tcPr>
          <w:p>
            <w:pPr>
              <w:jc w:val="left"/>
            </w:pPr>
            <w:r>
              <w:rPr>
                <w:b w:val="false"/>
                <w:bCs w:val="false"/>
                <w:color w:val="2B2B2B"/>
                <w:sz w:val="21"/>
                <w:szCs w:val="21"/>
              </w:rPr>
              <w:t xml:space="preserve">90+</w:t>
            </w:r>
          </w:p>
        </w:tc>
      </w:tr>
      <w:tr>
        <w:tc>
          <w:tcPr>
            <w:tcW w:type="dxa" w:w="4680"/>
            <w:tcBorders>
              <w:top w:val="single" w:color="D8D2C8" w:sz="1"/>
              <w:left w:val="single" w:color="D8D2C8" w:sz="1"/>
              <w:bottom w:val="single" w:color="D8D2C8" w:sz="1"/>
              <w:right w:val="single" w:color="D8D2C8" w:sz="1"/>
            </w:tcBorders>
            <w:shd w:fill="F4ECDF" w:val="clear"/>
            <w:tcMar>
              <w:top w:type="dxa" w:w="90"/>
              <w:left w:type="dxa" w:w="140"/>
              <w:bottom w:type="dxa" w:w="90"/>
              <w:right w:type="dxa" w:w="140"/>
            </w:tcMar>
            <w:vAlign w:val="center"/>
          </w:tcPr>
          <w:p>
            <w:pPr>
              <w:jc w:val="left"/>
            </w:pPr>
            <w:r>
              <w:rPr>
                <w:b w:val="false"/>
                <w:bCs w:val="false"/>
                <w:color w:val="2B2B2B"/>
                <w:sz w:val="21"/>
                <w:szCs w:val="21"/>
              </w:rPr>
              <w:t xml:space="preserve">Time to show main content</w:t>
            </w:r>
          </w:p>
        </w:tc>
        <w:tc>
          <w:tcPr>
            <w:tcW w:type="dxa" w:w="2340"/>
            <w:tcBorders>
              <w:top w:val="single" w:color="D8D2C8" w:sz="1"/>
              <w:left w:val="single" w:color="D8D2C8" w:sz="1"/>
              <w:bottom w:val="single" w:color="D8D2C8" w:sz="1"/>
              <w:right w:val="single" w:color="D8D2C8" w:sz="1"/>
            </w:tcBorders>
            <w:shd w:fill="F4ECDF" w:val="clear"/>
            <w:tcMar>
              <w:top w:type="dxa" w:w="90"/>
              <w:left w:type="dxa" w:w="140"/>
              <w:bottom w:type="dxa" w:w="90"/>
              <w:right w:type="dxa" w:w="140"/>
            </w:tcMar>
            <w:vAlign w:val="center"/>
          </w:tcPr>
          <w:p>
            <w:pPr>
              <w:jc w:val="left"/>
            </w:pPr>
            <w:r>
              <w:rPr>
                <w:b w:val="false"/>
                <w:bCs w:val="false"/>
                <w:color w:val="2B2B2B"/>
                <w:sz w:val="21"/>
                <w:szCs w:val="21"/>
              </w:rPr>
              <w:t xml:space="preserve">~14 seconds</w:t>
            </w:r>
          </w:p>
        </w:tc>
        <w:tc>
          <w:tcPr>
            <w:tcW w:type="dxa" w:w="2340"/>
            <w:tcBorders>
              <w:top w:val="single" w:color="D8D2C8" w:sz="1"/>
              <w:left w:val="single" w:color="D8D2C8" w:sz="1"/>
              <w:bottom w:val="single" w:color="D8D2C8" w:sz="1"/>
              <w:right w:val="single" w:color="D8D2C8" w:sz="1"/>
            </w:tcBorders>
            <w:shd w:fill="F4ECDF" w:val="clear"/>
            <w:tcMar>
              <w:top w:type="dxa" w:w="90"/>
              <w:left w:type="dxa" w:w="140"/>
              <w:bottom w:type="dxa" w:w="90"/>
              <w:right w:type="dxa" w:w="140"/>
            </w:tcMar>
            <w:vAlign w:val="center"/>
          </w:tcPr>
          <w:p>
            <w:pPr>
              <w:jc w:val="left"/>
            </w:pPr>
            <w:r>
              <w:rPr>
                <w:b w:val="false"/>
                <w:bCs w:val="false"/>
                <w:color w:val="2B2B2B"/>
                <w:sz w:val="21"/>
                <w:szCs w:val="21"/>
              </w:rPr>
              <w:t xml:space="preserve">Under 3s</w:t>
            </w:r>
          </w:p>
        </w:tc>
      </w:tr>
      <w:tr>
        <w:tc>
          <w:tcPr>
            <w:tcW w:type="dxa" w:w="4680"/>
            <w:tcBorders>
              <w:top w:val="single" w:color="D8D2C8" w:sz="1"/>
              <w:left w:val="single" w:color="D8D2C8" w:sz="1"/>
              <w:bottom w:val="single" w:color="D8D2C8" w:sz="1"/>
              <w:right w:val="single" w:color="D8D2C8" w:sz="1"/>
            </w:tcBorders>
            <w:tcMar>
              <w:top w:type="dxa" w:w="90"/>
              <w:left w:type="dxa" w:w="140"/>
              <w:bottom w:type="dxa" w:w="90"/>
              <w:right w:type="dxa" w:w="140"/>
            </w:tcMar>
            <w:vAlign w:val="center"/>
          </w:tcPr>
          <w:p>
            <w:pPr>
              <w:jc w:val="left"/>
            </w:pPr>
            <w:r>
              <w:rPr>
                <w:b w:val="false"/>
                <w:bCs w:val="false"/>
                <w:color w:val="2B2B2B"/>
                <w:sz w:val="21"/>
                <w:szCs w:val="21"/>
              </w:rPr>
              <w:t xml:space="preserve">Largest image/section visible</w:t>
            </w:r>
          </w:p>
        </w:tc>
        <w:tc>
          <w:tcPr>
            <w:tcW w:type="dxa" w:w="2340"/>
            <w:tcBorders>
              <w:top w:val="single" w:color="D8D2C8" w:sz="1"/>
              <w:left w:val="single" w:color="D8D2C8" w:sz="1"/>
              <w:bottom w:val="single" w:color="D8D2C8" w:sz="1"/>
              <w:right w:val="single" w:color="D8D2C8" w:sz="1"/>
            </w:tcBorders>
            <w:tcMar>
              <w:top w:type="dxa" w:w="90"/>
              <w:left w:type="dxa" w:w="140"/>
              <w:bottom w:type="dxa" w:w="90"/>
              <w:right w:type="dxa" w:w="140"/>
            </w:tcMar>
            <w:vAlign w:val="center"/>
          </w:tcPr>
          <w:p>
            <w:pPr>
              <w:jc w:val="left"/>
            </w:pPr>
            <w:r>
              <w:rPr>
                <w:b w:val="false"/>
                <w:bCs w:val="false"/>
                <w:color w:val="2B2B2B"/>
                <w:sz w:val="21"/>
                <w:szCs w:val="21"/>
              </w:rPr>
              <w:t xml:space="preserve">~17 seconds</w:t>
            </w:r>
          </w:p>
        </w:tc>
        <w:tc>
          <w:tcPr>
            <w:tcW w:type="dxa" w:w="2340"/>
            <w:tcBorders>
              <w:top w:val="single" w:color="D8D2C8" w:sz="1"/>
              <w:left w:val="single" w:color="D8D2C8" w:sz="1"/>
              <w:bottom w:val="single" w:color="D8D2C8" w:sz="1"/>
              <w:right w:val="single" w:color="D8D2C8" w:sz="1"/>
            </w:tcBorders>
            <w:tcMar>
              <w:top w:type="dxa" w:w="90"/>
              <w:left w:type="dxa" w:w="140"/>
              <w:bottom w:type="dxa" w:w="90"/>
              <w:right w:type="dxa" w:w="140"/>
            </w:tcMar>
            <w:vAlign w:val="center"/>
          </w:tcPr>
          <w:p>
            <w:pPr>
              <w:jc w:val="left"/>
            </w:pPr>
            <w:r>
              <w:rPr>
                <w:b w:val="false"/>
                <w:bCs w:val="false"/>
                <w:color w:val="2B2B2B"/>
                <w:sz w:val="21"/>
                <w:szCs w:val="21"/>
              </w:rPr>
              <w:t xml:space="preserve">Under 3s</w:t>
            </w:r>
          </w:p>
        </w:tc>
      </w:tr>
    </w:tbl>
    <w:p>
      <w:pPr>
        <w:spacing w:after="140"/>
      </w:pPr>
      <w:r>
        <w:t xml:space="preserve"/>
      </w:r>
    </w:p>
    <w:p>
      <w:pPr>
        <w:pStyle w:val="Heading2"/>
      </w:pPr>
      <w:r>
        <w:t xml:space="preserve">What we did</w:t>
      </w:r>
    </w:p>
    <w:p>
      <w:pPr>
        <w:pStyle w:val="ListParagraph"/>
        <w:numPr>
          <w:ilvl w:val="0"/>
          <w:numId w:val="2"/>
        </w:numPr>
        <w:spacing w:after="90" w:line="268"/>
      </w:pPr>
      <w:r>
        <w:rPr>
          <w:b/>
          <w:bCs/>
          <w:color w:val="16263D"/>
        </w:rPr>
        <w:t xml:space="preserve">Optimized every image — </w:t>
      </w:r>
      <w:r>
        <w:t xml:space="preserve">reduced the total weight of the site’s photos by about 1.2 MB (roughly 38% smaller) with no visible loss in quality.</w:t>
      </w:r>
    </w:p>
    <w:p>
      <w:pPr>
        <w:pStyle w:val="ListParagraph"/>
        <w:numPr>
          <w:ilvl w:val="0"/>
          <w:numId w:val="2"/>
        </w:numPr>
        <w:spacing w:after="90" w:line="268"/>
      </w:pPr>
      <w:r>
        <w:rPr>
          <w:b/>
          <w:bCs/>
          <w:color w:val="16263D"/>
        </w:rPr>
        <w:t xml:space="preserve">Removed unnecessary code — </w:t>
      </w:r>
      <w:r>
        <w:t xml:space="preserve">the site was loading a large animation library it did not need — about 128 KB of code — which we replaced with a lightweight alternative.</w:t>
      </w:r>
    </w:p>
    <w:p>
      <w:pPr>
        <w:pStyle w:val="ListParagraph"/>
        <w:numPr>
          <w:ilvl w:val="0"/>
          <w:numId w:val="2"/>
        </w:numPr>
        <w:spacing w:after="90" w:line="268"/>
      </w:pPr>
      <w:r>
        <w:rPr>
          <w:b/>
          <w:bCs/>
          <w:color w:val="16263D"/>
        </w:rPr>
        <w:t xml:space="preserve">Deferred the chat widget — </w:t>
      </w:r>
      <w:r>
        <w:t xml:space="preserve">the chat widget now loads after the page is usable, so it no longer delays the first view.</w:t>
      </w:r>
    </w:p>
    <w:p>
      <w:pPr>
        <w:pStyle w:val="ListParagraph"/>
        <w:numPr>
          <w:ilvl w:val="0"/>
          <w:numId w:val="2"/>
        </w:numPr>
        <w:spacing w:after="90" w:line="268"/>
      </w:pPr>
      <w:r>
        <w:rPr>
          <w:b/>
          <w:bCs/>
          <w:color w:val="16263D"/>
        </w:rPr>
        <w:t xml:space="preserve">Turned off heavy effects on mobile — </w:t>
      </w:r>
      <w:r>
        <w:t xml:space="preserve">a heavy animated background effect is now switched off on phones, where it hurt speed the most (it still appears on desktop).</w:t>
      </w:r>
    </w:p>
    <w:p>
      <w:pPr>
        <w:pStyle w:val="ListParagraph"/>
        <w:numPr>
          <w:ilvl w:val="0"/>
          <w:numId w:val="2"/>
        </w:numPr>
        <w:spacing w:after="90" w:line="268"/>
      </w:pPr>
      <w:r>
        <w:rPr>
          <w:b/>
          <w:bCs/>
          <w:color w:val="16263D"/>
        </w:rPr>
        <w:t xml:space="preserve">Improved caching — </w:t>
      </w:r>
      <w:r>
        <w:t xml:space="preserve">reorganized the site’s code so a returning visitor’s browser can reuse more of it, making repeat visits faster.</w:t>
      </w:r>
    </w:p>
    <w:p>
      <w:pPr>
        <w:pStyle w:val="ListParagraph"/>
        <w:numPr>
          <w:ilvl w:val="0"/>
          <w:numId w:val="2"/>
        </w:numPr>
        <w:spacing w:after="90" w:line="268"/>
      </w:pPr>
      <w:r>
        <w:rPr>
          <w:b/>
          <w:bCs/>
          <w:color w:val="16263D"/>
        </w:rPr>
        <w:t xml:space="preserve">Stopped layout shifting — </w:t>
      </w:r>
      <w:r>
        <w:t xml:space="preserve">the browser now reserves the correct space for each image, so the page no longer “jumps” around while it loads.</w:t>
      </w:r>
    </w:p>
    <w:p>
      <w:pPr>
        <w:pStyle w:val="Heading2"/>
      </w:pPr>
      <w:r>
        <w:t xml:space="preserve">What this means for you</w:t>
      </w:r>
    </w:p>
    <w:p>
      <w:pPr>
        <w:spacing w:after="140" w:line="276"/>
      </w:pPr>
      <w:r>
        <w:t xml:space="preserve">The website now loads dramatically faster, especially on phones. That translates into better Google visibility, fewer visitors giving up before the page loads, and more phone calls and quote requests from the same amount of traffic.</w:t>
      </w:r>
    </w:p>
    <w:p>
      <w:pPr>
        <w:pBdr>
          <w:left w:val="single" w:color="D75612" w:sz="18" w:space="10"/>
        </w:pBdr>
        <w:shd w:fill="F4ECDF" w:val="clear"/>
        <w:spacing w:after="80" w:before="60"/>
      </w:pPr>
      <w:r>
        <w:rPr>
          <w:b/>
          <w:bCs/>
          <w:color w:val="16263D"/>
        </w:rPr>
        <w:t xml:space="preserve">Please note: </w:t>
      </w:r>
      <w:r>
        <w:rPr>
          <w:i/>
          <w:iCs/>
        </w:rPr>
        <w:t xml:space="preserve">these improvements are complete and tested. The public speed scores will reflect them once the updated website is published (deployed) to the live address.</w:t>
      </w:r>
    </w:p>
    <w:p>
      <w:pPr>
        <w:pStyle w:val="Heading1"/>
        <w:pageBreakBefore/>
      </w:pPr>
      <w:r>
        <w:t xml:space="preserve">Part 2 — Accessibility &amp; ADA Protection</w:t>
      </w:r>
    </w:p>
    <w:p>
      <w:pPr>
        <w:pStyle w:val="Heading2"/>
      </w:pPr>
      <w:r>
        <w:t xml:space="preserve">Why this matters</w:t>
      </w:r>
    </w:p>
    <w:p>
      <w:pPr>
        <w:spacing w:after="140" w:line="276"/>
      </w:pPr>
      <w:r>
        <w:t xml:space="preserve">Across the United States, businesses regularly receive demand letters and lawsuits claiming their website is not accessible to people with disabilities under the Americans with Disabilities Act (ADA). These claims are almost always built from the output of an automated accessibility scanner — someone runs a scan, and every failed check becomes cited evidence.</w:t>
      </w:r>
    </w:p>
    <w:p>
      <w:pPr>
        <w:spacing w:after="140" w:line="276"/>
      </w:pPr>
      <w:r>
        <w:t xml:space="preserve">The most effective protection is for those same scans to come back clean. Beyond legal protection, this work makes your website genuinely usable for customers who are blind, have low vision, or navigate with a keyboard instead of a mouse.</w:t>
      </w:r>
    </w:p>
    <w:p>
      <w:pPr>
        <w:pStyle w:val="Heading2"/>
      </w:pPr>
      <w:r>
        <w:t xml:space="preserve">How we tested</w:t>
      </w:r>
    </w:p>
    <w:p>
      <w:pPr>
        <w:pStyle w:val="ListParagraph"/>
        <w:numPr>
          <w:ilvl w:val="0"/>
          <w:numId w:val="2"/>
        </w:numPr>
        <w:spacing w:after="90" w:line="268"/>
      </w:pPr>
      <w:r>
        <w:rPr>
          <w:b/>
          <w:bCs/>
          <w:color w:val="16263D"/>
        </w:rPr>
        <w:t xml:space="preserve">The right tool. </w:t>
      </w:r>
      <w:r>
        <w:t xml:space="preserve">We used axe-core — the same industry-standard engine built into Google’s tools and used by the scanners that plaintiffs rely on. Passing it is what actually matters.</w:t>
      </w:r>
    </w:p>
    <w:p>
      <w:pPr>
        <w:pStyle w:val="ListParagraph"/>
        <w:numPr>
          <w:ilvl w:val="0"/>
          <w:numId w:val="2"/>
        </w:numPr>
        <w:spacing w:after="90" w:line="268"/>
      </w:pPr>
      <w:r>
        <w:rPr>
          <w:b/>
          <w:bCs/>
          <w:color w:val="16263D"/>
        </w:rPr>
        <w:t xml:space="preserve">Every page. </w:t>
      </w:r>
      <w:r>
        <w:t xml:space="preserve">Every page of the site (60+ pages) was checked — on both computer and phone layouts.</w:t>
      </w:r>
    </w:p>
    <w:p>
      <w:pPr>
        <w:pStyle w:val="ListParagraph"/>
        <w:numPr>
          <w:ilvl w:val="0"/>
          <w:numId w:val="2"/>
        </w:numPr>
        <w:spacing w:after="90" w:line="268"/>
      </w:pPr>
      <w:r>
        <w:rPr>
          <w:b/>
          <w:bCs/>
          <w:color w:val="16263D"/>
        </w:rPr>
        <w:t xml:space="preserve">The right standard. </w:t>
      </w:r>
      <w:r>
        <w:t xml:space="preserve">We measured against WCAG 2.1 Level AA, the exact standard referenced in the large majority of ADA website claims.</w:t>
      </w:r>
    </w:p>
    <w:p>
      <w:pPr>
        <w:pStyle w:val="ListParagraph"/>
        <w:numPr>
          <w:ilvl w:val="0"/>
          <w:numId w:val="2"/>
        </w:numPr>
        <w:spacing w:after="90" w:line="268"/>
      </w:pPr>
      <w:r>
        <w:rPr>
          <w:b/>
          <w:bCs/>
          <w:color w:val="16263D"/>
        </w:rPr>
        <w:t xml:space="preserve">Real fixes, no shortcuts. </w:t>
      </w:r>
      <w:r>
        <w:t xml:space="preserve">All fixes were made directly in the website’s code. We did not use an “accessibility overlay” widget — those do not fix the underlying issues and sites using them are still frequently sued.</w:t>
      </w:r>
    </w:p>
    <w:p>
      <w:pPr>
        <w:pStyle w:val="Heading2"/>
      </w:pPr>
      <w:r>
        <w:t xml:space="preserve">What we fixed</w:t>
      </w:r>
    </w:p>
    <w:p>
      <w:pPr>
        <w:pStyle w:val="ListParagraph"/>
        <w:numPr>
          <w:ilvl w:val="0"/>
          <w:numId w:val="2"/>
        </w:numPr>
        <w:spacing w:after="90" w:line="268"/>
      </w:pPr>
      <w:r>
        <w:rPr>
          <w:b/>
          <w:bCs/>
          <w:color w:val="16263D"/>
        </w:rPr>
        <w:t xml:space="preserve">Form labels — </w:t>
      </w:r>
      <w:r>
        <w:t xml:space="preserve">form fields are now properly labeled so screen-reader users know what each field is for. This is the single most commonly cited issue in ADA website claims.</w:t>
      </w:r>
    </w:p>
    <w:p>
      <w:pPr>
        <w:pStyle w:val="ListParagraph"/>
        <w:numPr>
          <w:ilvl w:val="0"/>
          <w:numId w:val="2"/>
        </w:numPr>
        <w:spacing w:after="90" w:line="268"/>
      </w:pPr>
      <w:r>
        <w:rPr>
          <w:b/>
          <w:bCs/>
          <w:color w:val="16263D"/>
        </w:rPr>
        <w:t xml:space="preserve">Keyboard access — </w:t>
      </w:r>
      <w:r>
        <w:t xml:space="preserve">information tables can now be scrolled and reached using only a keyboard.</w:t>
      </w:r>
    </w:p>
    <w:p>
      <w:pPr>
        <w:pStyle w:val="ListParagraph"/>
        <w:numPr>
          <w:ilvl w:val="0"/>
          <w:numId w:val="2"/>
        </w:numPr>
        <w:spacing w:after="90" w:line="268"/>
      </w:pPr>
      <w:r>
        <w:rPr>
          <w:b/>
          <w:bCs/>
          <w:color w:val="16263D"/>
        </w:rPr>
        <w:t xml:space="preserve">Readable colors — </w:t>
      </w:r>
      <w:r>
        <w:t xml:space="preserve">text and background colors were strengthened so everything meets readability standards.</w:t>
      </w:r>
    </w:p>
    <w:p>
      <w:pPr>
        <w:pStyle w:val="ListParagraph"/>
        <w:numPr>
          <w:ilvl w:val="0"/>
          <w:numId w:val="2"/>
        </w:numPr>
        <w:spacing w:after="90" w:line="268"/>
      </w:pPr>
      <w:r>
        <w:rPr>
          <w:b/>
          <w:bCs/>
          <w:color w:val="16263D"/>
        </w:rPr>
        <w:t xml:space="preserve">Page structure — </w:t>
      </w:r>
      <w:r>
        <w:t xml:space="preserve">the underlying page structure was marked up so assistive technology can navigate the site properly.</w:t>
      </w:r>
    </w:p>
    <w:p>
      <w:pPr>
        <w:pStyle w:val="ListParagraph"/>
        <w:numPr>
          <w:ilvl w:val="0"/>
          <w:numId w:val="2"/>
        </w:numPr>
        <w:spacing w:after="90" w:line="268"/>
      </w:pPr>
      <w:r>
        <w:rPr>
          <w:b/>
          <w:bCs/>
          <w:color w:val="16263D"/>
        </w:rPr>
        <w:t xml:space="preserve">Motion sensitivity — </w:t>
      </w:r>
      <w:r>
        <w:t xml:space="preserve">the site now honors a visitor’s “reduce motion” setting for those sensitive to animation.</w:t>
      </w:r>
    </w:p>
    <w:p>
      <w:pPr>
        <w:pStyle w:val="Heading2"/>
      </w:pPr>
      <w:r>
        <w:t xml:space="preserve">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D8D2C8" w:sz="1"/>
              <w:left w:val="single" w:color="D8D2C8" w:sz="1"/>
              <w:bottom w:val="single" w:color="D8D2C8" w:sz="1"/>
              <w:right w:val="single" w:color="D8D2C8" w:sz="1"/>
            </w:tcBorders>
            <w:shd w:fill="16263D" w:val="clear"/>
            <w:tcMar>
              <w:top w:type="dxa" w:w="90"/>
              <w:left w:type="dxa" w:w="140"/>
              <w:bottom w:type="dxa" w:w="90"/>
              <w:right w:type="dxa" w:w="140"/>
            </w:tcMar>
            <w:vAlign w:val="center"/>
          </w:tcPr>
          <w:p>
            <w:pPr>
              <w:jc w:val="left"/>
            </w:pPr>
            <w:r>
              <w:rPr>
                <w:b/>
                <w:bCs/>
                <w:color w:val="FFFFFF"/>
                <w:sz w:val="21"/>
                <w:szCs w:val="21"/>
              </w:rPr>
              <w:t xml:space="preserve">Issue found in the audit</w:t>
            </w:r>
          </w:p>
        </w:tc>
        <w:tc>
          <w:tcPr>
            <w:tcW w:type="dxa" w:w="3900"/>
            <w:tcBorders>
              <w:top w:val="single" w:color="D8D2C8" w:sz="1"/>
              <w:left w:val="single" w:color="D8D2C8" w:sz="1"/>
              <w:bottom w:val="single" w:color="D8D2C8" w:sz="1"/>
              <w:right w:val="single" w:color="D8D2C8" w:sz="1"/>
            </w:tcBorders>
            <w:shd w:fill="16263D" w:val="clear"/>
            <w:tcMar>
              <w:top w:type="dxa" w:w="90"/>
              <w:left w:type="dxa" w:w="140"/>
              <w:bottom w:type="dxa" w:w="90"/>
              <w:right w:type="dxa" w:w="140"/>
            </w:tcMar>
            <w:vAlign w:val="center"/>
          </w:tcPr>
          <w:p>
            <w:pPr>
              <w:jc w:val="left"/>
            </w:pPr>
            <w:r>
              <w:rPr>
                <w:b/>
                <w:bCs/>
                <w:color w:val="FFFFFF"/>
                <w:sz w:val="21"/>
                <w:szCs w:val="21"/>
              </w:rPr>
              <w:t xml:space="preserve">Status</w:t>
            </w:r>
          </w:p>
        </w:tc>
      </w:tr>
      <w:tr>
        <w:tc>
          <w:tcPr>
            <w:tcW w:type="dxa" w:w="5460"/>
            <w:tcBorders>
              <w:top w:val="single" w:color="D8D2C8" w:sz="1"/>
              <w:left w:val="single" w:color="D8D2C8" w:sz="1"/>
              <w:bottom w:val="single" w:color="D8D2C8" w:sz="1"/>
              <w:right w:val="single" w:color="D8D2C8" w:sz="1"/>
            </w:tcBorders>
            <w:tcMar>
              <w:top w:type="dxa" w:w="90"/>
              <w:left w:type="dxa" w:w="140"/>
              <w:bottom w:type="dxa" w:w="90"/>
              <w:right w:type="dxa" w:w="140"/>
            </w:tcMar>
            <w:vAlign w:val="center"/>
          </w:tcPr>
          <w:p>
            <w:pPr>
              <w:jc w:val="left"/>
            </w:pPr>
            <w:r>
              <w:rPr>
                <w:b w:val="false"/>
                <w:bCs w:val="false"/>
                <w:color w:val="2B2B2B"/>
                <w:sz w:val="21"/>
                <w:szCs w:val="21"/>
              </w:rPr>
              <w:t xml:space="preserve">Form fields without labels (critical)</w:t>
            </w:r>
          </w:p>
        </w:tc>
        <w:tc>
          <w:tcPr>
            <w:tcW w:type="dxa" w:w="3900"/>
            <w:tcBorders>
              <w:top w:val="single" w:color="D8D2C8" w:sz="1"/>
              <w:left w:val="single" w:color="D8D2C8" w:sz="1"/>
              <w:bottom w:val="single" w:color="D8D2C8" w:sz="1"/>
              <w:right w:val="single" w:color="D8D2C8" w:sz="1"/>
            </w:tcBorders>
            <w:tcMar>
              <w:top w:type="dxa" w:w="90"/>
              <w:left w:type="dxa" w:w="140"/>
              <w:bottom w:type="dxa" w:w="90"/>
              <w:right w:type="dxa" w:w="140"/>
            </w:tcMar>
            <w:vAlign w:val="center"/>
          </w:tcPr>
          <w:p>
            <w:pPr>
              <w:jc w:val="left"/>
            </w:pPr>
            <w:r>
              <w:rPr>
                <w:b w:val="false"/>
                <w:bCs w:val="false"/>
                <w:color w:val="2B2B2B"/>
                <w:sz w:val="21"/>
                <w:szCs w:val="21"/>
              </w:rPr>
              <w:t xml:space="preserve">Fixed — 0 remaining</w:t>
            </w:r>
          </w:p>
        </w:tc>
      </w:tr>
      <w:tr>
        <w:tc>
          <w:tcPr>
            <w:tcW w:type="dxa" w:w="5460"/>
            <w:tcBorders>
              <w:top w:val="single" w:color="D8D2C8" w:sz="1"/>
              <w:left w:val="single" w:color="D8D2C8" w:sz="1"/>
              <w:bottom w:val="single" w:color="D8D2C8" w:sz="1"/>
              <w:right w:val="single" w:color="D8D2C8" w:sz="1"/>
            </w:tcBorders>
            <w:shd w:fill="F4ECDF" w:val="clear"/>
            <w:tcMar>
              <w:top w:type="dxa" w:w="90"/>
              <w:left w:type="dxa" w:w="140"/>
              <w:bottom w:type="dxa" w:w="90"/>
              <w:right w:type="dxa" w:w="140"/>
            </w:tcMar>
            <w:vAlign w:val="center"/>
          </w:tcPr>
          <w:p>
            <w:pPr>
              <w:jc w:val="left"/>
            </w:pPr>
            <w:r>
              <w:rPr>
                <w:b w:val="false"/>
                <w:bCs w:val="false"/>
                <w:color w:val="2B2B2B"/>
                <w:sz w:val="21"/>
                <w:szCs w:val="21"/>
              </w:rPr>
              <w:t xml:space="preserve">Keyboard access to content</w:t>
            </w:r>
          </w:p>
        </w:tc>
        <w:tc>
          <w:tcPr>
            <w:tcW w:type="dxa" w:w="3900"/>
            <w:tcBorders>
              <w:top w:val="single" w:color="D8D2C8" w:sz="1"/>
              <w:left w:val="single" w:color="D8D2C8" w:sz="1"/>
              <w:bottom w:val="single" w:color="D8D2C8" w:sz="1"/>
              <w:right w:val="single" w:color="D8D2C8" w:sz="1"/>
            </w:tcBorders>
            <w:shd w:fill="F4ECDF" w:val="clear"/>
            <w:tcMar>
              <w:top w:type="dxa" w:w="90"/>
              <w:left w:type="dxa" w:w="140"/>
              <w:bottom w:type="dxa" w:w="90"/>
              <w:right w:type="dxa" w:w="140"/>
            </w:tcMar>
            <w:vAlign w:val="center"/>
          </w:tcPr>
          <w:p>
            <w:pPr>
              <w:jc w:val="left"/>
            </w:pPr>
            <w:r>
              <w:rPr>
                <w:b w:val="false"/>
                <w:bCs w:val="false"/>
                <w:color w:val="2B2B2B"/>
                <w:sz w:val="21"/>
                <w:szCs w:val="21"/>
              </w:rPr>
              <w:t xml:space="preserve">Fixed — 0 remaining</w:t>
            </w:r>
          </w:p>
        </w:tc>
      </w:tr>
      <w:tr>
        <w:tc>
          <w:tcPr>
            <w:tcW w:type="dxa" w:w="5460"/>
            <w:tcBorders>
              <w:top w:val="single" w:color="D8D2C8" w:sz="1"/>
              <w:left w:val="single" w:color="D8D2C8" w:sz="1"/>
              <w:bottom w:val="single" w:color="D8D2C8" w:sz="1"/>
              <w:right w:val="single" w:color="D8D2C8" w:sz="1"/>
            </w:tcBorders>
            <w:tcMar>
              <w:top w:type="dxa" w:w="90"/>
              <w:left w:type="dxa" w:w="140"/>
              <w:bottom w:type="dxa" w:w="90"/>
              <w:right w:type="dxa" w:w="140"/>
            </w:tcMar>
            <w:vAlign w:val="center"/>
          </w:tcPr>
          <w:p>
            <w:pPr>
              <w:jc w:val="left"/>
            </w:pPr>
            <w:r>
              <w:rPr>
                <w:b w:val="false"/>
                <w:bCs w:val="false"/>
                <w:color w:val="2B2B2B"/>
                <w:sz w:val="21"/>
                <w:szCs w:val="21"/>
              </w:rPr>
              <w:t xml:space="preserve">Color contrast (all non-brand text)</w:t>
            </w:r>
          </w:p>
        </w:tc>
        <w:tc>
          <w:tcPr>
            <w:tcW w:type="dxa" w:w="3900"/>
            <w:tcBorders>
              <w:top w:val="single" w:color="D8D2C8" w:sz="1"/>
              <w:left w:val="single" w:color="D8D2C8" w:sz="1"/>
              <w:bottom w:val="single" w:color="D8D2C8" w:sz="1"/>
              <w:right w:val="single" w:color="D8D2C8" w:sz="1"/>
            </w:tcBorders>
            <w:tcMar>
              <w:top w:type="dxa" w:w="90"/>
              <w:left w:type="dxa" w:w="140"/>
              <w:bottom w:type="dxa" w:w="90"/>
              <w:right w:type="dxa" w:w="140"/>
            </w:tcMar>
            <w:vAlign w:val="center"/>
          </w:tcPr>
          <w:p>
            <w:pPr>
              <w:jc w:val="left"/>
            </w:pPr>
            <w:r>
              <w:rPr>
                <w:b w:val="false"/>
                <w:bCs w:val="false"/>
                <w:color w:val="2B2B2B"/>
                <w:sz w:val="21"/>
                <w:szCs w:val="21"/>
              </w:rPr>
              <w:t xml:space="preserve">Fixed — 0 remaining</w:t>
            </w:r>
          </w:p>
        </w:tc>
      </w:tr>
      <w:tr>
        <w:tc>
          <w:tcPr>
            <w:tcW w:type="dxa" w:w="5460"/>
            <w:tcBorders>
              <w:top w:val="single" w:color="D8D2C8" w:sz="1"/>
              <w:left w:val="single" w:color="D8D2C8" w:sz="1"/>
              <w:bottom w:val="single" w:color="D8D2C8" w:sz="1"/>
              <w:right w:val="single" w:color="D8D2C8" w:sz="1"/>
            </w:tcBorders>
            <w:shd w:fill="F4ECDF" w:val="clear"/>
            <w:tcMar>
              <w:top w:type="dxa" w:w="90"/>
              <w:left w:type="dxa" w:w="140"/>
              <w:bottom w:type="dxa" w:w="90"/>
              <w:right w:type="dxa" w:w="140"/>
            </w:tcMar>
            <w:vAlign w:val="center"/>
          </w:tcPr>
          <w:p>
            <w:pPr>
              <w:jc w:val="left"/>
            </w:pPr>
            <w:r>
              <w:rPr>
                <w:b w:val="false"/>
                <w:bCs w:val="false"/>
                <w:color w:val="2B2B2B"/>
                <w:sz w:val="21"/>
                <w:szCs w:val="21"/>
              </w:rPr>
              <w:t xml:space="preserve">Page structure / navigation landmarks</w:t>
            </w:r>
          </w:p>
        </w:tc>
        <w:tc>
          <w:tcPr>
            <w:tcW w:type="dxa" w:w="3900"/>
            <w:tcBorders>
              <w:top w:val="single" w:color="D8D2C8" w:sz="1"/>
              <w:left w:val="single" w:color="D8D2C8" w:sz="1"/>
              <w:bottom w:val="single" w:color="D8D2C8" w:sz="1"/>
              <w:right w:val="single" w:color="D8D2C8" w:sz="1"/>
            </w:tcBorders>
            <w:shd w:fill="F4ECDF" w:val="clear"/>
            <w:tcMar>
              <w:top w:type="dxa" w:w="90"/>
              <w:left w:type="dxa" w:w="140"/>
              <w:bottom w:type="dxa" w:w="90"/>
              <w:right w:type="dxa" w:w="140"/>
            </w:tcMar>
            <w:vAlign w:val="center"/>
          </w:tcPr>
          <w:p>
            <w:pPr>
              <w:jc w:val="left"/>
            </w:pPr>
            <w:r>
              <w:rPr>
                <w:b w:val="false"/>
                <w:bCs w:val="false"/>
                <w:color w:val="2B2B2B"/>
                <w:sz w:val="21"/>
                <w:szCs w:val="21"/>
              </w:rPr>
              <w:t xml:space="preserve">Fixed — 0 remaining</w:t>
            </w:r>
          </w:p>
        </w:tc>
      </w:tr>
      <w:tr>
        <w:tc>
          <w:tcPr>
            <w:tcW w:type="dxa" w:w="5460"/>
            <w:tcBorders>
              <w:top w:val="single" w:color="D8D2C8" w:sz="1"/>
              <w:left w:val="single" w:color="D8D2C8" w:sz="1"/>
              <w:bottom w:val="single" w:color="D8D2C8" w:sz="1"/>
              <w:right w:val="single" w:color="D8D2C8" w:sz="1"/>
            </w:tcBorders>
            <w:tcMar>
              <w:top w:type="dxa" w:w="90"/>
              <w:left w:type="dxa" w:w="140"/>
              <w:bottom w:type="dxa" w:w="90"/>
              <w:right w:type="dxa" w:w="140"/>
            </w:tcMar>
            <w:vAlign w:val="center"/>
          </w:tcPr>
          <w:p>
            <w:pPr>
              <w:jc w:val="left"/>
            </w:pPr>
            <w:r>
              <w:rPr>
                <w:b w:val="false"/>
                <w:bCs w:val="false"/>
                <w:color w:val="2B2B2B"/>
                <w:sz w:val="21"/>
                <w:szCs w:val="21"/>
              </w:rPr>
              <w:t xml:space="preserve">Motion-sensitivity support</w:t>
            </w:r>
          </w:p>
        </w:tc>
        <w:tc>
          <w:tcPr>
            <w:tcW w:type="dxa" w:w="3900"/>
            <w:tcBorders>
              <w:top w:val="single" w:color="D8D2C8" w:sz="1"/>
              <w:left w:val="single" w:color="D8D2C8" w:sz="1"/>
              <w:bottom w:val="single" w:color="D8D2C8" w:sz="1"/>
              <w:right w:val="single" w:color="D8D2C8" w:sz="1"/>
            </w:tcBorders>
            <w:tcMar>
              <w:top w:type="dxa" w:w="90"/>
              <w:left w:type="dxa" w:w="140"/>
              <w:bottom w:type="dxa" w:w="90"/>
              <w:right w:type="dxa" w:w="140"/>
            </w:tcMar>
            <w:vAlign w:val="center"/>
          </w:tcPr>
          <w:p>
            <w:pPr>
              <w:jc w:val="left"/>
            </w:pPr>
            <w:r>
              <w:rPr>
                <w:b w:val="false"/>
                <w:bCs w:val="false"/>
                <w:color w:val="2B2B2B"/>
                <w:sz w:val="21"/>
                <w:szCs w:val="21"/>
              </w:rPr>
              <w:t xml:space="preserve">Added</w:t>
            </w:r>
          </w:p>
        </w:tc>
      </w:tr>
    </w:tbl>
    <w:p>
      <w:pPr>
        <w:spacing w:after="140"/>
      </w:pPr>
      <w:r>
        <w:t xml:space="preserve"/>
      </w:r>
    </w:p>
    <w:p>
      <w:pPr>
        <w:spacing w:after="140" w:line="276"/>
      </w:pPr>
      <w:r>
        <w:t xml:space="preserve">The website now passes the automated WCAG 2.1 Level AA checks, with one intentional exception: the bright brand-orange color was kept at your request. That color is slightly below the contrast threshold for small text, so those specific items remain flagged by the scanner. This can be fully resolved at any time with a minor darkening of the orange used for small text — it is a one-line change whenever you decide.</w:t>
      </w:r>
    </w:p>
    <w:p>
      <w:pPr>
        <w:pStyle w:val="Heading2"/>
      </w:pPr>
      <w:r>
        <w:t xml:space="preserve">Keeping it protected going forward</w:t>
      </w:r>
    </w:p>
    <w:p>
      <w:pPr>
        <w:spacing w:after="140" w:line="276"/>
      </w:pPr>
      <w:r>
        <w:t xml:space="preserve">We built a re-runnable accessibility audit directly into your website. After any future change to the site, the entire site can be re-checked against the full WCAG 2.1 AA standard in minutes — so your compliance is maintained over time rather than drifting.</w:t>
      </w:r>
    </w:p>
    <w:p>
      <w:pPr>
        <w:pStyle w:val="Heading1"/>
        <w:pageBreakBefore/>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8D2C8" w:sz="1"/>
              <w:left w:val="single" w:color="D8D2C8" w:sz="1"/>
              <w:bottom w:val="single" w:color="D8D2C8" w:sz="1"/>
              <w:right w:val="single" w:color="D8D2C8" w:sz="1"/>
            </w:tcBorders>
            <w:shd w:fill="16263D" w:val="clear"/>
            <w:tcMar>
              <w:top w:type="dxa" w:w="90"/>
              <w:left w:type="dxa" w:w="140"/>
              <w:bottom w:type="dxa" w:w="90"/>
              <w:right w:type="dxa" w:w="140"/>
            </w:tcMar>
            <w:vAlign w:val="center"/>
          </w:tcPr>
          <w:p>
            <w:pPr>
              <w:jc w:val="left"/>
            </w:pPr>
            <w:r>
              <w:rPr>
                <w:b/>
                <w:bCs/>
                <w:color w:val="FFFFFF"/>
                <w:sz w:val="21"/>
                <w:szCs w:val="21"/>
              </w:rPr>
              <w:t xml:space="preserve">Area</w:t>
            </w:r>
          </w:p>
        </w:tc>
        <w:tc>
          <w:tcPr>
            <w:tcW w:type="dxa" w:w="6240"/>
            <w:tcBorders>
              <w:top w:val="single" w:color="D8D2C8" w:sz="1"/>
              <w:left w:val="single" w:color="D8D2C8" w:sz="1"/>
              <w:bottom w:val="single" w:color="D8D2C8" w:sz="1"/>
              <w:right w:val="single" w:color="D8D2C8" w:sz="1"/>
            </w:tcBorders>
            <w:shd w:fill="16263D" w:val="clear"/>
            <w:tcMar>
              <w:top w:type="dxa" w:w="90"/>
              <w:left w:type="dxa" w:w="140"/>
              <w:bottom w:type="dxa" w:w="90"/>
              <w:right w:type="dxa" w:w="140"/>
            </w:tcMar>
            <w:vAlign w:val="center"/>
          </w:tcPr>
          <w:p>
            <w:pPr>
              <w:jc w:val="left"/>
            </w:pPr>
            <w:r>
              <w:rPr>
                <w:b/>
                <w:bCs/>
                <w:color w:val="FFFFFF"/>
                <w:sz w:val="21"/>
                <w:szCs w:val="21"/>
              </w:rPr>
              <w:t xml:space="preserve">Outcome</w:t>
            </w:r>
          </w:p>
        </w:tc>
      </w:tr>
      <w:tr>
        <w:tc>
          <w:tcPr>
            <w:tcW w:type="dxa" w:w="3120"/>
            <w:tcBorders>
              <w:top w:val="single" w:color="D8D2C8" w:sz="1"/>
              <w:left w:val="single" w:color="D8D2C8" w:sz="1"/>
              <w:bottom w:val="single" w:color="D8D2C8" w:sz="1"/>
              <w:right w:val="single" w:color="D8D2C8" w:sz="1"/>
            </w:tcBorders>
            <w:tcMar>
              <w:top w:type="dxa" w:w="90"/>
              <w:left w:type="dxa" w:w="140"/>
              <w:bottom w:type="dxa" w:w="90"/>
              <w:right w:type="dxa" w:w="140"/>
            </w:tcMar>
            <w:vAlign w:val="center"/>
          </w:tcPr>
          <w:p>
            <w:pPr>
              <w:jc w:val="left"/>
            </w:pPr>
            <w:r>
              <w:rPr>
                <w:b w:val="false"/>
                <w:bCs w:val="false"/>
                <w:color w:val="2B2B2B"/>
                <w:sz w:val="21"/>
                <w:szCs w:val="21"/>
              </w:rPr>
              <w:t xml:space="preserve">Website speed</w:t>
            </w:r>
          </w:p>
        </w:tc>
        <w:tc>
          <w:tcPr>
            <w:tcW w:type="dxa" w:w="6240"/>
            <w:tcBorders>
              <w:top w:val="single" w:color="D8D2C8" w:sz="1"/>
              <w:left w:val="single" w:color="D8D2C8" w:sz="1"/>
              <w:bottom w:val="single" w:color="D8D2C8" w:sz="1"/>
              <w:right w:val="single" w:color="D8D2C8" w:sz="1"/>
            </w:tcBorders>
            <w:tcMar>
              <w:top w:type="dxa" w:w="90"/>
              <w:left w:type="dxa" w:w="140"/>
              <w:bottom w:type="dxa" w:w="90"/>
              <w:right w:type="dxa" w:w="140"/>
            </w:tcMar>
            <w:vAlign w:val="center"/>
          </w:tcPr>
          <w:p>
            <w:pPr>
              <w:jc w:val="left"/>
            </w:pPr>
            <w:r>
              <w:rPr>
                <w:b w:val="false"/>
                <w:bCs w:val="false"/>
                <w:color w:val="2B2B2B"/>
                <w:sz w:val="21"/>
                <w:szCs w:val="21"/>
              </w:rPr>
              <w:t xml:space="preserve">Significantly faster load, especially on mobile: ~1.2 MB lighter images, unnecessary code removed, smarter loading. Live scores update once published.</w:t>
            </w:r>
          </w:p>
        </w:tc>
      </w:tr>
      <w:tr>
        <w:tc>
          <w:tcPr>
            <w:tcW w:type="dxa" w:w="3120"/>
            <w:tcBorders>
              <w:top w:val="single" w:color="D8D2C8" w:sz="1"/>
              <w:left w:val="single" w:color="D8D2C8" w:sz="1"/>
              <w:bottom w:val="single" w:color="D8D2C8" w:sz="1"/>
              <w:right w:val="single" w:color="D8D2C8" w:sz="1"/>
            </w:tcBorders>
            <w:shd w:fill="F4ECDF" w:val="clear"/>
            <w:tcMar>
              <w:top w:type="dxa" w:w="90"/>
              <w:left w:type="dxa" w:w="140"/>
              <w:bottom w:type="dxa" w:w="90"/>
              <w:right w:type="dxa" w:w="140"/>
            </w:tcMar>
            <w:vAlign w:val="center"/>
          </w:tcPr>
          <w:p>
            <w:pPr>
              <w:jc w:val="left"/>
            </w:pPr>
            <w:r>
              <w:rPr>
                <w:b w:val="false"/>
                <w:bCs w:val="false"/>
                <w:color w:val="2B2B2B"/>
                <w:sz w:val="21"/>
                <w:szCs w:val="21"/>
              </w:rPr>
              <w:t xml:space="preserve">Accessibility / ADA</w:t>
            </w:r>
          </w:p>
        </w:tc>
        <w:tc>
          <w:tcPr>
            <w:tcW w:type="dxa" w:w="6240"/>
            <w:tcBorders>
              <w:top w:val="single" w:color="D8D2C8" w:sz="1"/>
              <w:left w:val="single" w:color="D8D2C8" w:sz="1"/>
              <w:bottom w:val="single" w:color="D8D2C8" w:sz="1"/>
              <w:right w:val="single" w:color="D8D2C8" w:sz="1"/>
            </w:tcBorders>
            <w:shd w:fill="F4ECDF" w:val="clear"/>
            <w:tcMar>
              <w:top w:type="dxa" w:w="90"/>
              <w:left w:type="dxa" w:w="140"/>
              <w:bottom w:type="dxa" w:w="90"/>
              <w:right w:type="dxa" w:w="140"/>
            </w:tcMar>
            <w:vAlign w:val="center"/>
          </w:tcPr>
          <w:p>
            <w:pPr>
              <w:jc w:val="left"/>
            </w:pPr>
            <w:r>
              <w:rPr>
                <w:b w:val="false"/>
                <w:bCs w:val="false"/>
                <w:color w:val="2B2B2B"/>
                <w:sz w:val="21"/>
                <w:szCs w:val="21"/>
              </w:rPr>
              <w:t xml:space="preserve">Passes automated WCAG 2.1 AA across all 60+ pages, on desktop and mobile — except the brand-orange color kept by choice. Critical issues (labels, keyboard, structure) fully resolved.</w:t>
            </w:r>
          </w:p>
        </w:tc>
      </w:tr>
      <w:tr>
        <w:tc>
          <w:tcPr>
            <w:tcW w:type="dxa" w:w="3120"/>
            <w:tcBorders>
              <w:top w:val="single" w:color="D8D2C8" w:sz="1"/>
              <w:left w:val="single" w:color="D8D2C8" w:sz="1"/>
              <w:bottom w:val="single" w:color="D8D2C8" w:sz="1"/>
              <w:right w:val="single" w:color="D8D2C8" w:sz="1"/>
            </w:tcBorders>
            <w:tcMar>
              <w:top w:type="dxa" w:w="90"/>
              <w:left w:type="dxa" w:w="140"/>
              <w:bottom w:type="dxa" w:w="90"/>
              <w:right w:type="dxa" w:w="140"/>
            </w:tcMar>
            <w:vAlign w:val="center"/>
          </w:tcPr>
          <w:p>
            <w:pPr>
              <w:jc w:val="left"/>
            </w:pPr>
            <w:r>
              <w:rPr>
                <w:b w:val="false"/>
                <w:bCs w:val="false"/>
                <w:color w:val="2B2B2B"/>
                <w:sz w:val="21"/>
                <w:szCs w:val="21"/>
              </w:rPr>
              <w:t xml:space="preserve">Ongoing</w:t>
            </w:r>
          </w:p>
        </w:tc>
        <w:tc>
          <w:tcPr>
            <w:tcW w:type="dxa" w:w="6240"/>
            <w:tcBorders>
              <w:top w:val="single" w:color="D8D2C8" w:sz="1"/>
              <w:left w:val="single" w:color="D8D2C8" w:sz="1"/>
              <w:bottom w:val="single" w:color="D8D2C8" w:sz="1"/>
              <w:right w:val="single" w:color="D8D2C8" w:sz="1"/>
            </w:tcBorders>
            <w:tcMar>
              <w:top w:type="dxa" w:w="90"/>
              <w:left w:type="dxa" w:w="140"/>
              <w:bottom w:type="dxa" w:w="90"/>
              <w:right w:type="dxa" w:w="140"/>
            </w:tcMar>
            <w:vAlign w:val="center"/>
          </w:tcPr>
          <w:p>
            <w:pPr>
              <w:jc w:val="left"/>
            </w:pPr>
            <w:r>
              <w:rPr>
                <w:b w:val="false"/>
                <w:bCs w:val="false"/>
                <w:color w:val="2B2B2B"/>
                <w:sz w:val="21"/>
                <w:szCs w:val="21"/>
              </w:rPr>
              <w:t xml:space="preserve">Built-in audit tool re-verifies the whole site anytime, so compliance is maintained after future updates.</w:t>
            </w:r>
          </w:p>
        </w:tc>
      </w:tr>
    </w:tbl>
    <w:p>
      <w:pPr>
        <w:spacing w:after="160"/>
      </w:pPr>
      <w:r>
        <w:t xml:space="preserve"/>
      </w:r>
    </w:p>
    <w:p>
      <w:pPr>
        <w:pStyle w:val="Heading2"/>
      </w:pPr>
      <w:r>
        <w:t xml:space="preserve">Recommended next steps</w:t>
      </w:r>
    </w:p>
    <w:p>
      <w:pPr>
        <w:pStyle w:val="ListParagraph"/>
        <w:numPr>
          <w:ilvl w:val="0"/>
          <w:numId w:val="2"/>
        </w:numPr>
        <w:spacing w:after="90" w:line="268"/>
      </w:pPr>
      <w:r>
        <w:rPr>
          <w:b/>
          <w:bCs/>
          <w:color w:val="16263D"/>
        </w:rPr>
        <w:t xml:space="preserve">1.  </w:t>
      </w:r>
      <w:r>
        <w:t xml:space="preserve">Publish (deploy) the updated website so the speed and accessibility improvements go live.</w:t>
      </w:r>
    </w:p>
    <w:p>
      <w:pPr>
        <w:pStyle w:val="ListParagraph"/>
        <w:numPr>
          <w:ilvl w:val="0"/>
          <w:numId w:val="2"/>
        </w:numPr>
        <w:spacing w:after="90" w:line="268"/>
      </w:pPr>
      <w:r>
        <w:rPr>
          <w:b/>
          <w:bCs/>
          <w:color w:val="16263D"/>
        </w:rPr>
        <w:t xml:space="preserve">2.  </w:t>
      </w:r>
      <w:r>
        <w:t xml:space="preserve">Add a short Accessibility Statement page — stating the site targets WCAG 2.1 AA and giving a contact for anyone who has difficulty using it. This is widely regarded as strong evidence of good faith.</w:t>
      </w:r>
    </w:p>
    <w:p>
      <w:pPr>
        <w:pStyle w:val="ListParagraph"/>
        <w:numPr>
          <w:ilvl w:val="0"/>
          <w:numId w:val="2"/>
        </w:numPr>
        <w:spacing w:after="90" w:line="268"/>
      </w:pPr>
      <w:r>
        <w:rPr>
          <w:b/>
          <w:bCs/>
          <w:color w:val="16263D"/>
        </w:rPr>
        <w:t xml:space="preserve">3.  </w:t>
      </w:r>
      <w:r>
        <w:t xml:space="preserve">Re-scan the live website after publishing to confirm the results match.</w:t>
      </w:r>
    </w:p>
    <w:p>
      <w:pPr>
        <w:spacing w:after="120"/>
      </w:pPr>
      <w:r>
        <w:t xml:space="preserve"/>
      </w:r>
    </w:p>
    <w:p>
      <w:pPr>
        <w:pBdr>
          <w:top w:val="single" w:color="D8D2C8" w:sz="4" w:space="8"/>
        </w:pBdr>
        <w:spacing w:before="120"/>
      </w:pPr>
      <w:r>
        <w:rPr>
          <w:b/>
          <w:bCs/>
          <w:color w:val="16263D"/>
          <w:sz w:val="18"/>
          <w:szCs w:val="18"/>
        </w:rPr>
        <w:t xml:space="preserve">Note on scope: </w:t>
      </w:r>
      <w:r>
        <w:rPr>
          <w:i/>
          <w:iCs/>
          <w:color w:val="5B6472"/>
          <w:sz w:val="18"/>
          <w:szCs w:val="18"/>
        </w:rPr>
        <w:t xml:space="preserve">Automated testing covers the substantial majority of issues cited in accessibility claims. No automated tool can guarantee against litigation; a periodic manual screen-reader review of the main contact flow is recommended as an added layer.</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8" w:sz="4" w:space="6"/>
      </w:pBdr>
      <w:jc w:val="center"/>
    </w:pPr>
    <w:r>
      <w:rPr>
        <w:color w:val="5B6472"/>
        <w:sz w:val="16"/>
        <w:szCs w:val="16"/>
      </w:rPr>
      <w:t xml:space="preserve">Preventive Home Solutions  —  Website Improvement Report      Page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rPr>
        <w:color w:val="D756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6263D"/>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D756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Performance &amp; Accessibility Report</dc:title>
  <dc:creator>EthixWeb</dc:creator>
  <cp:lastModifiedBy>Un-named</cp:lastModifiedBy>
  <cp:revision>1</cp:revision>
  <dcterms:created xsi:type="dcterms:W3CDTF">2026-07-07T13:46:22.109Z</dcterms:created>
  <dcterms:modified xsi:type="dcterms:W3CDTF">2026-07-07T13:46:22.111Z</dcterms:modified>
</cp:coreProperties>
</file>

<file path=docProps/custom.xml><?xml version="1.0" encoding="utf-8"?>
<Properties xmlns="http://schemas.openxmlformats.org/officeDocument/2006/custom-properties" xmlns:vt="http://schemas.openxmlformats.org/officeDocument/2006/docPropsVTypes"/>
</file>