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8"/>
        </w:rPr>
        <w:t>AERIS design review</w:t>
      </w:r>
    </w:p>
    <w:p>
      <w:pPr>
        <w:spacing w:after="80"/>
        <w:jc w:val="center"/>
      </w:pPr>
      <w:r>
        <w:rPr>
          <w:b w:val="0"/>
          <w:i/>
          <w:sz w:val="26"/>
        </w:rPr>
        <w:t>Diagnosis of "Self-Diagnosing Aircraft Digital Twin" concept v1</w:t>
      </w:r>
    </w:p>
    <w:p>
      <w:pPr>
        <w:spacing w:after="80"/>
        <w:jc w:val="center"/>
      </w:pPr>
      <w:r>
        <w:rPr>
          <w:b w:val="0"/>
          <w:i w:val="0"/>
          <w:sz w:val="21"/>
        </w:rPr>
        <w:t>Reviewed file: Self-Diagnosing_Aircraft_Digital_Twin_AERIS.docx (8 pages, 25 sections)</w:t>
      </w:r>
    </w:p>
    <w:p>
      <w:pPr>
        <w:jc w:val="center"/>
      </w:pPr>
      <w:r>
        <w:rPr>
          <w:color w:val="595959"/>
          <w:sz w:val="18"/>
        </w:rPr>
        <w:t>11 September 2026  |  Companion document: Self-Diagnosing_Aircraft_Digital_Twin_AERIS_v2.docx</w:t>
      </w:r>
    </w:p>
    <w:p>
      <w:pPr>
        <w:spacing w:after="0"/>
      </w:pPr>
    </w:p>
    <w:tbl>
      <w:tblPr>
        <w:tblW w:w="10080" w:type="dxa"/>
        <w:jc w:val="center"/>
        <w:tblBorders>
          <w:top w:val="nil"/>
          <w:left w:val="single" w:sz="24" w:space="0" w:color="365F91"/>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10080"/>
      </w:tblGrid>
      <w:tr>
        <w:trPr>
          <w:cantSplit/>
        </w:trPr>
        <w:tc>
          <w:tcPr>
            <w:tcW w:type="dxa" w:w="10080"/>
            <w:shd w:val="clear" w:color="auto" w:fill="EEF3F9"/>
          </w:tcPr>
          <w:p>
            <w:pPr>
              <w:spacing w:after="60"/>
            </w:pPr>
            <w:r>
              <w:rPr>
                <w:b/>
                <w:sz w:val="20"/>
              </w:rPr>
              <w:t>Verdict: build it, after fixing three design gaps.</w:t>
            </w:r>
          </w:p>
          <w:p>
            <w:pPr>
              <w:spacing w:after="0"/>
            </w:pPr>
            <w:r>
              <w:rPr>
                <w:sz w:val="20"/>
              </w:rPr>
              <w:t>The concept is good. The story is clear, the scope fits one person, and the claims section is more honest than most portfolio plans. As written, though, the build would hit three walls. AERIS and PX4's own failsafes would both react to the same faults. Half of the fault catalogue (5 of 10 entries) can't be injected with stock PX4 tools. And the flagship GPS cross-check relies on an estimator that has already fused the GPS it is checking. All three can be fixed now, on paper, and the v2 document does that.</w:t>
            </w:r>
          </w:p>
        </w:tc>
      </w:tr>
    </w:tbl>
    <w:p>
      <w:pPr>
        <w:spacing w:after="40"/>
      </w:pPr>
    </w:p>
    <w:p>
      <w:pPr>
        <w:pStyle w:val="Heading1"/>
      </w:pPr>
      <w:r>
        <w:t>1. What was reviewed and how</w:t>
      </w:r>
    </w:p>
    <w:p>
      <w:pPr>
        <w:pStyle w:val="ListBullet"/>
      </w:pPr>
      <w:r>
        <w:t>Read all 25 sections, the five tables and the reference list of v1.</w:t>
      </w:r>
    </w:p>
    <w:p>
      <w:pPr>
        <w:pStyle w:val="ListBullet"/>
      </w:pPr>
      <w:r>
        <w:t>Checked every technical assumption against the current PX4 documentation (v1.17 stable; docs read on 11 September 2026): failure injection, SIH, Gazebo, ROS 2 integration, failsafe configuration and the PX4 ROS 2 control interface.</w:t>
      </w:r>
    </w:p>
    <w:p>
      <w:pPr>
        <w:pStyle w:val="ListBullet"/>
      </w:pPr>
      <w:r>
        <w:t>Tested the ten reference links from the review machine.</w:t>
      </w:r>
    </w:p>
    <w:p>
      <w:pPr>
        <w:pStyle w:val="ListBullet"/>
      </w:pPr>
      <w:r>
        <w:t>Rendered the .docx to PDF in Microsoft Word and inspected every page for layout defects.</w:t>
      </w:r>
    </w:p>
    <w:p>
      <w:pPr>
        <w:pStyle w:val="ListBullet"/>
      </w:pPr>
      <w:r>
        <w:t>Rated each finding: Critical (would block the build or invalidate results), Major (weakens results or credibility), Minor (quality or completeness), Editorial (presentation only).</w:t>
      </w:r>
    </w:p>
    <w:p>
      <w:pPr>
        <w:pStyle w:val="Heading1"/>
      </w:pPr>
      <w:r>
        <w:t>2. Scorecard</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3024"/>
        <w:gridCol w:w="1638"/>
        <w:gridCol w:w="5418"/>
      </w:tblGrid>
      <w:tr>
        <w:trPr>
          <w:cantSplit/>
          <w:tblHeader/>
        </w:trPr>
        <w:tc>
          <w:tcPr>
            <w:tcW w:type="dxa" w:w="3024"/>
            <w:shd w:val="clear" w:color="auto" w:fill="DCE6F2"/>
          </w:tcPr>
          <w:p>
            <w:pPr>
              <w:keepNext/>
              <w:spacing w:after="20" w:line="240" w:lineRule="auto"/>
            </w:pPr>
            <w:r>
              <w:rPr>
                <w:b/>
                <w:color w:val="1F3864"/>
                <w:sz w:val="18"/>
              </w:rPr>
              <w:t>Area</w:t>
            </w:r>
          </w:p>
        </w:tc>
        <w:tc>
          <w:tcPr>
            <w:tcW w:type="dxa" w:w="1638"/>
            <w:shd w:val="clear" w:color="auto" w:fill="DCE6F2"/>
          </w:tcPr>
          <w:p>
            <w:pPr>
              <w:keepNext/>
              <w:spacing w:after="20" w:line="240" w:lineRule="auto"/>
            </w:pPr>
            <w:r>
              <w:rPr>
                <w:b/>
                <w:color w:val="1F3864"/>
                <w:sz w:val="18"/>
              </w:rPr>
              <w:t>Rating</w:t>
            </w:r>
          </w:p>
        </w:tc>
        <w:tc>
          <w:tcPr>
            <w:tcW w:type="dxa" w:w="5418"/>
            <w:shd w:val="clear" w:color="auto" w:fill="DCE6F2"/>
          </w:tcPr>
          <w:p>
            <w:pPr>
              <w:keepNext/>
              <w:spacing w:after="20" w:line="240" w:lineRule="auto"/>
            </w:pPr>
            <w:r>
              <w:rPr>
                <w:b/>
                <w:color w:val="1F3864"/>
                <w:sz w:val="18"/>
              </w:rPr>
              <w:t>Comment</w:t>
            </w:r>
          </w:p>
        </w:tc>
      </w:tr>
      <w:tr>
        <w:trPr>
          <w:cantSplit/>
        </w:trPr>
        <w:tc>
          <w:tcPr>
            <w:tcW w:type="dxa" w:w="3024"/>
          </w:tcPr>
          <w:p>
            <w:pPr>
              <w:spacing w:after="20" w:line="240" w:lineRule="auto"/>
            </w:pPr>
            <w:r>
              <w:rPr>
                <w:b/>
                <w:sz w:val="18"/>
              </w:rPr>
              <w:t>Problem framing and story</w:t>
            </w:r>
          </w:p>
        </w:tc>
        <w:tc>
          <w:tcPr>
            <w:tcW w:type="dxa" w:w="1638"/>
            <w:shd w:val="clear" w:color="auto" w:fill="E2EFDA"/>
          </w:tcPr>
          <w:p>
            <w:pPr>
              <w:spacing w:after="20" w:line="240" w:lineRule="auto"/>
            </w:pPr>
            <w:r>
              <w:rPr>
                <w:sz w:val="18"/>
              </w:rPr>
              <w:t>Strong</w:t>
            </w:r>
          </w:p>
        </w:tc>
        <w:tc>
          <w:tcPr>
            <w:tcW w:type="dxa" w:w="5418"/>
          </w:tcPr>
          <w:p>
            <w:pPr>
              <w:spacing w:after="20" w:line="240" w:lineRule="auto"/>
            </w:pPr>
            <w:r>
              <w:rPr>
                <w:sz w:val="18"/>
              </w:rPr>
              <w:t>Clear hook, sensible layers, a good flagship demo</w:t>
            </w:r>
          </w:p>
        </w:tc>
      </w:tr>
      <w:tr>
        <w:trPr>
          <w:cantSplit/>
        </w:trPr>
        <w:tc>
          <w:tcPr>
            <w:tcW w:type="dxa" w:w="3024"/>
          </w:tcPr>
          <w:p>
            <w:pPr>
              <w:spacing w:after="20" w:line="240" w:lineRule="auto"/>
            </w:pPr>
            <w:r>
              <w:rPr>
                <w:b/>
                <w:sz w:val="18"/>
              </w:rPr>
              <w:t>Claims discipline</w:t>
            </w:r>
          </w:p>
        </w:tc>
        <w:tc>
          <w:tcPr>
            <w:tcW w:type="dxa" w:w="1638"/>
            <w:shd w:val="clear" w:color="auto" w:fill="E2EFDA"/>
          </w:tcPr>
          <w:p>
            <w:pPr>
              <w:spacing w:after="20" w:line="240" w:lineRule="auto"/>
            </w:pPr>
            <w:r>
              <w:rPr>
                <w:sz w:val="18"/>
              </w:rPr>
              <w:t>Strong</w:t>
            </w:r>
          </w:p>
        </w:tc>
        <w:tc>
          <w:tcPr>
            <w:tcW w:type="dxa" w:w="5418"/>
          </w:tcPr>
          <w:p>
            <w:pPr>
              <w:spacing w:after="20" w:line="240" w:lineRule="auto"/>
            </w:pPr>
            <w:r>
              <w:rPr>
                <w:sz w:val="18"/>
              </w:rPr>
              <w:t>Section 23 is honest about certification, validation and AI. Keep it.</w:t>
            </w:r>
          </w:p>
        </w:tc>
      </w:tr>
      <w:tr>
        <w:trPr>
          <w:cantSplit/>
        </w:trPr>
        <w:tc>
          <w:tcPr>
            <w:tcW w:type="dxa" w:w="3024"/>
          </w:tcPr>
          <w:p>
            <w:pPr>
              <w:spacing w:after="20" w:line="240" w:lineRule="auto"/>
            </w:pPr>
            <w:r>
              <w:rPr>
                <w:b/>
                <w:sz w:val="18"/>
              </w:rPr>
              <w:t>Scope for a solo builder</w:t>
            </w:r>
          </w:p>
        </w:tc>
        <w:tc>
          <w:tcPr>
            <w:tcW w:type="dxa" w:w="1638"/>
            <w:shd w:val="clear" w:color="auto" w:fill="EEF5E6"/>
          </w:tcPr>
          <w:p>
            <w:pPr>
              <w:spacing w:after="20" w:line="240" w:lineRule="auto"/>
            </w:pPr>
            <w:r>
              <w:rPr>
                <w:sz w:val="18"/>
              </w:rPr>
              <w:t>Good</w:t>
            </w:r>
          </w:p>
        </w:tc>
        <w:tc>
          <w:tcPr>
            <w:tcW w:type="dxa" w:w="5418"/>
          </w:tcPr>
          <w:p>
            <w:pPr>
              <w:spacing w:after="20" w:line="240" w:lineRule="auto"/>
            </w:pPr>
            <w:r>
              <w:rPr>
                <w:sz w:val="18"/>
              </w:rPr>
              <w:t>Laptop-only is realistic, given the right simulator tier</w:t>
            </w:r>
          </w:p>
        </w:tc>
      </w:tr>
      <w:tr>
        <w:trPr>
          <w:cantSplit/>
        </w:trPr>
        <w:tc>
          <w:tcPr>
            <w:tcW w:type="dxa" w:w="3024"/>
          </w:tcPr>
          <w:p>
            <w:pPr>
              <w:spacing w:after="20" w:line="240" w:lineRule="auto"/>
            </w:pPr>
            <w:r>
              <w:rPr>
                <w:b/>
                <w:sz w:val="18"/>
              </w:rPr>
              <w:t>Document quality</w:t>
            </w:r>
          </w:p>
        </w:tc>
        <w:tc>
          <w:tcPr>
            <w:tcW w:type="dxa" w:w="1638"/>
            <w:shd w:val="clear" w:color="auto" w:fill="EEF5E6"/>
          </w:tcPr>
          <w:p>
            <w:pPr>
              <w:spacing w:after="20" w:line="240" w:lineRule="auto"/>
            </w:pPr>
            <w:r>
              <w:rPr>
                <w:sz w:val="18"/>
              </w:rPr>
              <w:t>Good, with defects</w:t>
            </w:r>
          </w:p>
        </w:tc>
        <w:tc>
          <w:tcPr>
            <w:tcW w:type="dxa" w:w="5418"/>
          </w:tcPr>
          <w:p>
            <w:pPr>
              <w:spacing w:after="20" w:line="240" w:lineRule="auto"/>
            </w:pPr>
            <w:r>
              <w:rPr>
                <w:sz w:val="18"/>
              </w:rPr>
              <w:t>Readable and well organized; numbering bug, split tables, missing font</w:t>
            </w:r>
          </w:p>
        </w:tc>
      </w:tr>
      <w:tr>
        <w:trPr>
          <w:cantSplit/>
        </w:trPr>
        <w:tc>
          <w:tcPr>
            <w:tcW w:type="dxa" w:w="3024"/>
          </w:tcPr>
          <w:p>
            <w:pPr>
              <w:spacing w:after="20" w:line="240" w:lineRule="auto"/>
            </w:pPr>
            <w:r>
              <w:rPr>
                <w:b/>
                <w:sz w:val="18"/>
              </w:rPr>
              <w:t>Architecture and PX4 integration</w:t>
            </w:r>
          </w:p>
        </w:tc>
        <w:tc>
          <w:tcPr>
            <w:tcW w:type="dxa" w:w="1638"/>
            <w:shd w:val="clear" w:color="auto" w:fill="F8D7D3"/>
          </w:tcPr>
          <w:p>
            <w:pPr>
              <w:spacing w:after="20" w:line="240" w:lineRule="auto"/>
            </w:pPr>
            <w:r>
              <w:rPr>
                <w:sz w:val="18"/>
              </w:rPr>
              <w:t>Weak</w:t>
            </w:r>
          </w:p>
        </w:tc>
        <w:tc>
          <w:tcPr>
            <w:tcW w:type="dxa" w:w="5418"/>
          </w:tcPr>
          <w:p>
            <w:pPr>
              <w:spacing w:after="20" w:line="240" w:lineRule="auto"/>
            </w:pPr>
            <w:r>
              <w:rPr>
                <w:sz w:val="18"/>
              </w:rPr>
              <w:t>No authority model; no path from AERIS recovery into PX4</w:t>
            </w:r>
          </w:p>
        </w:tc>
      </w:tr>
      <w:tr>
        <w:trPr>
          <w:cantSplit/>
        </w:trPr>
        <w:tc>
          <w:tcPr>
            <w:tcW w:type="dxa" w:w="3024"/>
          </w:tcPr>
          <w:p>
            <w:pPr>
              <w:spacing w:after="20" w:line="240" w:lineRule="auto"/>
            </w:pPr>
            <w:r>
              <w:rPr>
                <w:b/>
                <w:sz w:val="18"/>
              </w:rPr>
              <w:t>Fault injection</w:t>
            </w:r>
          </w:p>
        </w:tc>
        <w:tc>
          <w:tcPr>
            <w:tcW w:type="dxa" w:w="1638"/>
            <w:shd w:val="clear" w:color="auto" w:fill="F8D7D3"/>
          </w:tcPr>
          <w:p>
            <w:pPr>
              <w:spacing w:after="20" w:line="240" w:lineRule="auto"/>
            </w:pPr>
            <w:r>
              <w:rPr>
                <w:sz w:val="18"/>
              </w:rPr>
              <w:t>Weak</w:t>
            </w:r>
          </w:p>
        </w:tc>
        <w:tc>
          <w:tcPr>
            <w:tcW w:type="dxa" w:w="5418"/>
          </w:tcPr>
          <w:p>
            <w:pPr>
              <w:spacing w:after="20" w:line="240" w:lineRule="auto"/>
            </w:pPr>
            <w:r>
              <w:rPr>
                <w:sz w:val="18"/>
              </w:rPr>
              <w:t>Half the catalogue needs custom work; injection point undefined</w:t>
            </w:r>
          </w:p>
        </w:tc>
      </w:tr>
      <w:tr>
        <w:trPr>
          <w:cantSplit/>
        </w:trPr>
        <w:tc>
          <w:tcPr>
            <w:tcW w:type="dxa" w:w="3024"/>
          </w:tcPr>
          <w:p>
            <w:pPr>
              <w:spacing w:after="20" w:line="240" w:lineRule="auto"/>
            </w:pPr>
            <w:r>
              <w:rPr>
                <w:b/>
                <w:sz w:val="18"/>
              </w:rPr>
              <w:t>Detection and diagnosis method</w:t>
            </w:r>
          </w:p>
        </w:tc>
        <w:tc>
          <w:tcPr>
            <w:tcW w:type="dxa" w:w="1638"/>
            <w:shd w:val="clear" w:color="auto" w:fill="FFF2CC"/>
          </w:tcPr>
          <w:p>
            <w:pPr>
              <w:spacing w:after="20" w:line="240" w:lineRule="auto"/>
            </w:pPr>
            <w:r>
              <w:rPr>
                <w:sz w:val="18"/>
              </w:rPr>
              <w:t>Needs work</w:t>
            </w:r>
          </w:p>
        </w:tc>
        <w:tc>
          <w:tcPr>
            <w:tcW w:type="dxa" w:w="5418"/>
          </w:tcPr>
          <w:p>
            <w:pPr>
              <w:spacing w:after="20" w:line="240" w:lineRule="auto"/>
            </w:pPr>
            <w:r>
              <w:rPr>
                <w:sz w:val="18"/>
              </w:rPr>
              <w:t>No residual design; the "independent" estimate isn't independent</w:t>
            </w:r>
          </w:p>
        </w:tc>
      </w:tr>
      <w:tr>
        <w:trPr>
          <w:cantSplit/>
        </w:trPr>
        <w:tc>
          <w:tcPr>
            <w:tcW w:type="dxa" w:w="3024"/>
          </w:tcPr>
          <w:p>
            <w:pPr>
              <w:spacing w:after="20" w:line="240" w:lineRule="auto"/>
            </w:pPr>
            <w:r>
              <w:rPr>
                <w:b/>
                <w:sz w:val="18"/>
              </w:rPr>
              <w:t>Recovery logic</w:t>
            </w:r>
          </w:p>
        </w:tc>
        <w:tc>
          <w:tcPr>
            <w:tcW w:type="dxa" w:w="1638"/>
            <w:shd w:val="clear" w:color="auto" w:fill="FFF2CC"/>
          </w:tcPr>
          <w:p>
            <w:pPr>
              <w:spacing w:after="20" w:line="240" w:lineRule="auto"/>
            </w:pPr>
            <w:r>
              <w:rPr>
                <w:sz w:val="18"/>
              </w:rPr>
              <w:t>Needs work</w:t>
            </w:r>
          </w:p>
        </w:tc>
        <w:tc>
          <w:tcPr>
            <w:tcW w:type="dxa" w:w="5418"/>
          </w:tcPr>
          <w:p>
            <w:pPr>
              <w:spacing w:after="20" w:line="240" w:lineRule="auto"/>
            </w:pPr>
            <w:r>
              <w:rPr>
                <w:sz w:val="18"/>
              </w:rPr>
              <w:t>Some responses need the capability that failed</w:t>
            </w:r>
          </w:p>
        </w:tc>
      </w:tr>
      <w:tr>
        <w:trPr>
          <w:cantSplit/>
        </w:trPr>
        <w:tc>
          <w:tcPr>
            <w:tcW w:type="dxa" w:w="3024"/>
          </w:tcPr>
          <w:p>
            <w:pPr>
              <w:spacing w:after="20" w:line="240" w:lineRule="auto"/>
            </w:pPr>
            <w:r>
              <w:rPr>
                <w:b/>
                <w:sz w:val="18"/>
              </w:rPr>
              <w:t>Verification and metrics</w:t>
            </w:r>
          </w:p>
        </w:tc>
        <w:tc>
          <w:tcPr>
            <w:tcW w:type="dxa" w:w="1638"/>
            <w:shd w:val="clear" w:color="auto" w:fill="FFF2CC"/>
          </w:tcPr>
          <w:p>
            <w:pPr>
              <w:spacing w:after="20" w:line="240" w:lineRule="auto"/>
            </w:pPr>
            <w:r>
              <w:rPr>
                <w:sz w:val="18"/>
              </w:rPr>
              <w:t>Needs work</w:t>
            </w:r>
          </w:p>
        </w:tc>
        <w:tc>
          <w:tcPr>
            <w:tcW w:type="dxa" w:w="5418"/>
          </w:tcPr>
          <w:p>
            <w:pPr>
              <w:spacing w:after="20" w:line="240" w:lineRule="auto"/>
            </w:pPr>
            <w:r>
              <w:rPr>
                <w:sz w:val="18"/>
              </w:rPr>
              <w:t>Flawed metric definitions; no baseline; no ground-truth handling</w:t>
            </w:r>
          </w:p>
        </w:tc>
      </w:tr>
      <w:tr>
        <w:trPr>
          <w:cantSplit/>
        </w:trPr>
        <w:tc>
          <w:tcPr>
            <w:tcW w:type="dxa" w:w="3024"/>
          </w:tcPr>
          <w:p>
            <w:pPr>
              <w:spacing w:after="20" w:line="240" w:lineRule="auto"/>
            </w:pPr>
            <w:r>
              <w:rPr>
                <w:b/>
                <w:sz w:val="18"/>
              </w:rPr>
              <w:t>Requirements and safety</w:t>
            </w:r>
          </w:p>
        </w:tc>
        <w:tc>
          <w:tcPr>
            <w:tcW w:type="dxa" w:w="1638"/>
            <w:shd w:val="clear" w:color="auto" w:fill="FFF2CC"/>
          </w:tcPr>
          <w:p>
            <w:pPr>
              <w:spacing w:after="20" w:line="240" w:lineRule="auto"/>
            </w:pPr>
            <w:r>
              <w:rPr>
                <w:sz w:val="18"/>
              </w:rPr>
              <w:t>Needs work</w:t>
            </w:r>
          </w:p>
        </w:tc>
        <w:tc>
          <w:tcPr>
            <w:tcW w:type="dxa" w:w="5418"/>
          </w:tcPr>
          <w:p>
            <w:pPr>
              <w:spacing w:after="20" w:line="240" w:lineRule="auto"/>
            </w:pPr>
            <w:r>
              <w:rPr>
                <w:sz w:val="18"/>
              </w:rPr>
              <w:t>Good intent; not verifiable; no hazard link</w:t>
            </w:r>
          </w:p>
        </w:tc>
      </w:tr>
      <w:tr>
        <w:trPr>
          <w:cantSplit/>
        </w:trPr>
        <w:tc>
          <w:tcPr>
            <w:tcW w:type="dxa" w:w="3024"/>
          </w:tcPr>
          <w:p>
            <w:pPr>
              <w:spacing w:after="20" w:line="240" w:lineRule="auto"/>
            </w:pPr>
            <w:r>
              <w:rPr>
                <w:b/>
                <w:sz w:val="18"/>
              </w:rPr>
              <w:t>Schedule</w:t>
            </w:r>
          </w:p>
        </w:tc>
        <w:tc>
          <w:tcPr>
            <w:tcW w:type="dxa" w:w="1638"/>
            <w:shd w:val="clear" w:color="auto" w:fill="F8D7D3"/>
          </w:tcPr>
          <w:p>
            <w:pPr>
              <w:spacing w:after="20" w:line="240" w:lineRule="auto"/>
            </w:pPr>
            <w:r>
              <w:rPr>
                <w:sz w:val="18"/>
              </w:rPr>
              <w:t>At risk</w:t>
            </w:r>
          </w:p>
        </w:tc>
        <w:tc>
          <w:tcPr>
            <w:tcW w:type="dxa" w:w="5418"/>
          </w:tcPr>
          <w:p>
            <w:pPr>
              <w:spacing w:after="20" w:line="240" w:lineRule="auto"/>
            </w:pPr>
            <w:r>
              <w:rPr>
                <w:sz w:val="18"/>
              </w:rPr>
              <w:t>Testing and CI start in week 9; no slack; no cut line</w:t>
            </w:r>
          </w:p>
        </w:tc>
      </w:tr>
    </w:tbl>
    <w:p>
      <w:pPr>
        <w:spacing w:after="40"/>
      </w:pPr>
    </w:p>
    <w:p>
      <w:pPr>
        <w:pStyle w:val="Heading1"/>
      </w:pPr>
      <w:r>
        <w:t>3. Findings at a glance</w:t>
      </w:r>
    </w:p>
    <w:p>
      <w:pPr>
        <w:keepNext/>
      </w:pPr>
      <w:r>
        <w:t>Section numbers refer to v1 (where the problem is) and v2 (where it is fixed).</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756"/>
        <w:gridCol w:w="1197"/>
        <w:gridCol w:w="5544"/>
        <w:gridCol w:w="1323"/>
        <w:gridCol w:w="1260"/>
      </w:tblGrid>
      <w:tr>
        <w:trPr>
          <w:cantSplit/>
          <w:tblHeader/>
        </w:trPr>
        <w:tc>
          <w:tcPr>
            <w:tcW w:type="dxa" w:w="756"/>
            <w:shd w:val="clear" w:color="auto" w:fill="DCE6F2"/>
          </w:tcPr>
          <w:p>
            <w:pPr>
              <w:keepNext/>
              <w:spacing w:after="20" w:line="240" w:lineRule="auto"/>
            </w:pPr>
            <w:r>
              <w:rPr>
                <w:b/>
                <w:color w:val="1F3864"/>
                <w:sz w:val="17"/>
              </w:rPr>
              <w:t>ID</w:t>
            </w:r>
          </w:p>
        </w:tc>
        <w:tc>
          <w:tcPr>
            <w:tcW w:type="dxa" w:w="1197"/>
            <w:shd w:val="clear" w:color="auto" w:fill="DCE6F2"/>
          </w:tcPr>
          <w:p>
            <w:pPr>
              <w:keepNext/>
              <w:spacing w:after="20" w:line="240" w:lineRule="auto"/>
            </w:pPr>
            <w:r>
              <w:rPr>
                <w:b/>
                <w:color w:val="1F3864"/>
                <w:sz w:val="17"/>
              </w:rPr>
              <w:t>Severity</w:t>
            </w:r>
          </w:p>
        </w:tc>
        <w:tc>
          <w:tcPr>
            <w:tcW w:type="dxa" w:w="5544"/>
            <w:shd w:val="clear" w:color="auto" w:fill="DCE6F2"/>
          </w:tcPr>
          <w:p>
            <w:pPr>
              <w:keepNext/>
              <w:spacing w:after="20" w:line="240" w:lineRule="auto"/>
            </w:pPr>
            <w:r>
              <w:rPr>
                <w:b/>
                <w:color w:val="1F3864"/>
                <w:sz w:val="17"/>
              </w:rPr>
              <w:t>Finding</w:t>
            </w:r>
          </w:p>
        </w:tc>
        <w:tc>
          <w:tcPr>
            <w:tcW w:type="dxa" w:w="1323"/>
            <w:shd w:val="clear" w:color="auto" w:fill="DCE6F2"/>
          </w:tcPr>
          <w:p>
            <w:pPr>
              <w:keepNext/>
              <w:spacing w:after="20" w:line="240" w:lineRule="auto"/>
            </w:pPr>
            <w:r>
              <w:rPr>
                <w:b/>
                <w:color w:val="1F3864"/>
                <w:sz w:val="17"/>
              </w:rPr>
              <w:t>v1 section</w:t>
            </w:r>
          </w:p>
        </w:tc>
        <w:tc>
          <w:tcPr>
            <w:tcW w:type="dxa" w:w="1260"/>
            <w:shd w:val="clear" w:color="auto" w:fill="DCE6F2"/>
          </w:tcPr>
          <w:p>
            <w:pPr>
              <w:keepNext/>
              <w:spacing w:after="20" w:line="240" w:lineRule="auto"/>
            </w:pPr>
            <w:r>
              <w:rPr>
                <w:b/>
                <w:color w:val="1F3864"/>
                <w:sz w:val="17"/>
              </w:rPr>
              <w:t>v2 section</w:t>
            </w:r>
          </w:p>
        </w:tc>
      </w:tr>
      <w:tr>
        <w:trPr>
          <w:cantSplit/>
        </w:trPr>
        <w:tc>
          <w:tcPr>
            <w:tcW w:type="dxa" w:w="756"/>
          </w:tcPr>
          <w:p>
            <w:pPr>
              <w:spacing w:after="20" w:line="240" w:lineRule="auto"/>
            </w:pPr>
            <w:r>
              <w:rPr>
                <w:b/>
                <w:sz w:val="17"/>
              </w:rPr>
              <w:t>C1</w:t>
            </w:r>
          </w:p>
        </w:tc>
        <w:tc>
          <w:tcPr>
            <w:tcW w:type="dxa" w:w="1197"/>
            <w:shd w:val="clear" w:color="auto" w:fill="F8D7D3"/>
          </w:tcPr>
          <w:p>
            <w:pPr>
              <w:spacing w:after="20" w:line="240" w:lineRule="auto"/>
            </w:pPr>
            <w:r>
              <w:rPr>
                <w:sz w:val="17"/>
              </w:rPr>
              <w:t>Critical</w:t>
            </w:r>
          </w:p>
        </w:tc>
        <w:tc>
          <w:tcPr>
            <w:tcW w:type="dxa" w:w="5544"/>
          </w:tcPr>
          <w:p>
            <w:pPr>
              <w:spacing w:after="20" w:line="240" w:lineRule="auto"/>
            </w:pPr>
            <w:r>
              <w:rPr>
                <w:sz w:val="17"/>
              </w:rPr>
              <w:t>No authority model between AERIS and PX4's built-in failsafes</w:t>
            </w:r>
          </w:p>
        </w:tc>
        <w:tc>
          <w:tcPr>
            <w:tcW w:type="dxa" w:w="1323"/>
          </w:tcPr>
          <w:p>
            <w:pPr>
              <w:spacing w:after="20" w:line="240" w:lineRule="auto"/>
            </w:pPr>
            <w:r>
              <w:rPr>
                <w:sz w:val="17"/>
              </w:rPr>
              <w:t>2, 5, 15</w:t>
            </w:r>
          </w:p>
        </w:tc>
        <w:tc>
          <w:tcPr>
            <w:tcW w:type="dxa" w:w="1260"/>
          </w:tcPr>
          <w:p>
            <w:pPr>
              <w:spacing w:after="20" w:line="240" w:lineRule="auto"/>
            </w:pPr>
            <w:r>
              <w:rPr>
                <w:sz w:val="17"/>
              </w:rPr>
              <w:t>6</w:t>
            </w:r>
          </w:p>
        </w:tc>
      </w:tr>
      <w:tr>
        <w:trPr>
          <w:cantSplit/>
        </w:trPr>
        <w:tc>
          <w:tcPr>
            <w:tcW w:type="dxa" w:w="756"/>
          </w:tcPr>
          <w:p>
            <w:pPr>
              <w:spacing w:after="20" w:line="240" w:lineRule="auto"/>
            </w:pPr>
            <w:r>
              <w:rPr>
                <w:b/>
                <w:sz w:val="17"/>
              </w:rPr>
              <w:t>C2</w:t>
            </w:r>
          </w:p>
        </w:tc>
        <w:tc>
          <w:tcPr>
            <w:tcW w:type="dxa" w:w="1197"/>
            <w:shd w:val="clear" w:color="auto" w:fill="F8D7D3"/>
          </w:tcPr>
          <w:p>
            <w:pPr>
              <w:spacing w:after="20" w:line="240" w:lineRule="auto"/>
            </w:pPr>
            <w:r>
              <w:rPr>
                <w:sz w:val="17"/>
              </w:rPr>
              <w:t>Critical</w:t>
            </w:r>
          </w:p>
        </w:tc>
        <w:tc>
          <w:tcPr>
            <w:tcW w:type="dxa" w:w="5544"/>
          </w:tcPr>
          <w:p>
            <w:pPr>
              <w:spacing w:after="20" w:line="240" w:lineRule="auto"/>
            </w:pPr>
            <w:r>
              <w:rPr>
                <w:sz w:val="17"/>
              </w:rPr>
              <w:t>Fault catalogue assumes injections stock PX4 can't do; injection point undefined</w:t>
            </w:r>
          </w:p>
        </w:tc>
        <w:tc>
          <w:tcPr>
            <w:tcW w:type="dxa" w:w="1323"/>
          </w:tcPr>
          <w:p>
            <w:pPr>
              <w:spacing w:after="20" w:line="240" w:lineRule="auto"/>
            </w:pPr>
            <w:r>
              <w:rPr>
                <w:sz w:val="17"/>
              </w:rPr>
              <w:t>6</w:t>
            </w:r>
          </w:p>
        </w:tc>
        <w:tc>
          <w:tcPr>
            <w:tcW w:type="dxa" w:w="1260"/>
          </w:tcPr>
          <w:p>
            <w:pPr>
              <w:spacing w:after="20" w:line="240" w:lineRule="auto"/>
            </w:pPr>
            <w:r>
              <w:rPr>
                <w:sz w:val="17"/>
              </w:rPr>
              <w:t>8, 9</w:t>
            </w:r>
          </w:p>
        </w:tc>
      </w:tr>
      <w:tr>
        <w:trPr>
          <w:cantSplit/>
        </w:trPr>
        <w:tc>
          <w:tcPr>
            <w:tcW w:type="dxa" w:w="756"/>
          </w:tcPr>
          <w:p>
            <w:pPr>
              <w:spacing w:after="20" w:line="240" w:lineRule="auto"/>
            </w:pPr>
            <w:r>
              <w:rPr>
                <w:b/>
                <w:sz w:val="17"/>
              </w:rPr>
              <w:t>C3</w:t>
            </w:r>
          </w:p>
        </w:tc>
        <w:tc>
          <w:tcPr>
            <w:tcW w:type="dxa" w:w="1197"/>
            <w:shd w:val="clear" w:color="auto" w:fill="F8D7D3"/>
          </w:tcPr>
          <w:p>
            <w:pPr>
              <w:spacing w:after="20" w:line="240" w:lineRule="auto"/>
            </w:pPr>
            <w:r>
              <w:rPr>
                <w:sz w:val="17"/>
              </w:rPr>
              <w:t>Critical</w:t>
            </w:r>
          </w:p>
        </w:tc>
        <w:tc>
          <w:tcPr>
            <w:tcW w:type="dxa" w:w="5544"/>
          </w:tcPr>
          <w:p>
            <w:pPr>
              <w:spacing w:after="20" w:line="240" w:lineRule="auto"/>
            </w:pPr>
            <w:r>
              <w:rPr>
                <w:sz w:val="17"/>
              </w:rPr>
              <w:t>GPS cross-check uses EKF2, which fuses the GPS being checked</w:t>
            </w:r>
          </w:p>
        </w:tc>
        <w:tc>
          <w:tcPr>
            <w:tcW w:type="dxa" w:w="1323"/>
          </w:tcPr>
          <w:p>
            <w:pPr>
              <w:spacing w:after="20" w:line="240" w:lineRule="auto"/>
            </w:pPr>
            <w:r>
              <w:rPr>
                <w:sz w:val="17"/>
              </w:rPr>
              <w:t>3, 5, 7</w:t>
            </w:r>
          </w:p>
        </w:tc>
        <w:tc>
          <w:tcPr>
            <w:tcW w:type="dxa" w:w="1260"/>
          </w:tcPr>
          <w:p>
            <w:pPr>
              <w:spacing w:after="20" w:line="240" w:lineRule="auto"/>
            </w:pPr>
            <w:r>
              <w:rPr>
                <w:sz w:val="17"/>
              </w:rPr>
              <w:t>4, 7, 11</w:t>
            </w:r>
          </w:p>
        </w:tc>
      </w:tr>
      <w:tr>
        <w:trPr>
          <w:cantSplit/>
        </w:trPr>
        <w:tc>
          <w:tcPr>
            <w:tcW w:type="dxa" w:w="756"/>
          </w:tcPr>
          <w:p>
            <w:pPr>
              <w:spacing w:after="20" w:line="240" w:lineRule="auto"/>
            </w:pPr>
            <w:r>
              <w:rPr>
                <w:b/>
                <w:sz w:val="17"/>
              </w:rPr>
              <w:t>M1</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"Digital twin" names the simulator, not a model inside AERIS</w:t>
            </w:r>
          </w:p>
        </w:tc>
        <w:tc>
          <w:tcPr>
            <w:tcW w:type="dxa" w:w="1323"/>
          </w:tcPr>
          <w:p>
            <w:pPr>
              <w:spacing w:after="20" w:line="240" w:lineRule="auto"/>
            </w:pPr>
            <w:r>
              <w:rPr>
                <w:sz w:val="17"/>
              </w:rPr>
              <w:t>2, 3</w:t>
            </w:r>
          </w:p>
        </w:tc>
        <w:tc>
          <w:tcPr>
            <w:tcW w:type="dxa" w:w="1260"/>
          </w:tcPr>
          <w:p>
            <w:pPr>
              <w:spacing w:after="20" w:line="240" w:lineRule="auto"/>
            </w:pPr>
            <w:r>
              <w:rPr>
                <w:sz w:val="17"/>
              </w:rPr>
              <w:t>4</w:t>
            </w:r>
          </w:p>
        </w:tc>
      </w:tr>
      <w:tr>
        <w:trPr>
          <w:cantSplit/>
        </w:trPr>
        <w:tc>
          <w:tcPr>
            <w:tcW w:type="dxa" w:w="756"/>
          </w:tcPr>
          <w:p>
            <w:pPr>
              <w:spacing w:after="20" w:line="240" w:lineRule="auto"/>
            </w:pPr>
            <w:r>
              <w:rPr>
                <w:b/>
                <w:sz w:val="17"/>
              </w:rPr>
              <w:t>M2</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Recovery responses not checked against remaining capabilities</w:t>
            </w:r>
          </w:p>
        </w:tc>
        <w:tc>
          <w:tcPr>
            <w:tcW w:type="dxa" w:w="1323"/>
          </w:tcPr>
          <w:p>
            <w:pPr>
              <w:spacing w:after="20" w:line="240" w:lineRule="auto"/>
            </w:pPr>
            <w:r>
              <w:rPr>
                <w:sz w:val="17"/>
              </w:rPr>
              <w:t>5, 6</w:t>
            </w:r>
          </w:p>
        </w:tc>
        <w:tc>
          <w:tcPr>
            <w:tcW w:type="dxa" w:w="1260"/>
          </w:tcPr>
          <w:p>
            <w:pPr>
              <w:spacing w:after="20" w:line="240" w:lineRule="auto"/>
            </w:pPr>
            <w:r>
              <w:rPr>
                <w:sz w:val="17"/>
              </w:rPr>
              <w:t>10</w:t>
            </w:r>
          </w:p>
        </w:tc>
      </w:tr>
      <w:tr>
        <w:trPr>
          <w:cantSplit/>
        </w:trPr>
        <w:tc>
          <w:tcPr>
            <w:tcW w:type="dxa" w:w="756"/>
          </w:tcPr>
          <w:p>
            <w:pPr>
              <w:spacing w:after="20" w:line="240" w:lineRule="auto"/>
            </w:pPr>
            <w:r>
              <w:rPr>
                <w:b/>
                <w:sz w:val="17"/>
              </w:rPr>
              <w:t>M3</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Vehicle never chosen; quadrotor motor loss isn't recoverable</w:t>
            </w:r>
          </w:p>
        </w:tc>
        <w:tc>
          <w:tcPr>
            <w:tcW w:type="dxa" w:w="1323"/>
          </w:tcPr>
          <w:p>
            <w:pPr>
              <w:spacing w:after="20" w:line="240" w:lineRule="auto"/>
            </w:pPr>
            <w:r>
              <w:rPr>
                <w:sz w:val="17"/>
              </w:rPr>
              <w:t>3, 6</w:t>
            </w:r>
          </w:p>
        </w:tc>
        <w:tc>
          <w:tcPr>
            <w:tcW w:type="dxa" w:w="1260"/>
          </w:tcPr>
          <w:p>
            <w:pPr>
              <w:spacing w:after="20" w:line="240" w:lineRule="auto"/>
            </w:pPr>
            <w:r>
              <w:rPr>
                <w:sz w:val="17"/>
              </w:rPr>
              <w:t>2</w:t>
            </w:r>
          </w:p>
        </w:tc>
      </w:tr>
      <w:tr>
        <w:trPr>
          <w:cantSplit/>
        </w:trPr>
        <w:tc>
          <w:tcPr>
            <w:tcW w:type="dxa" w:w="756"/>
          </w:tcPr>
          <w:p>
            <w:pPr>
              <w:spacing w:after="20" w:line="240" w:lineRule="auto"/>
            </w:pPr>
            <w:r>
              <w:rPr>
                <w:b/>
                <w:sz w:val="17"/>
              </w:rPr>
              <w:t>M4</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Metric definitions flawed; no baseline or success criteria</w:t>
            </w:r>
          </w:p>
        </w:tc>
        <w:tc>
          <w:tcPr>
            <w:tcW w:type="dxa" w:w="1323"/>
          </w:tcPr>
          <w:p>
            <w:pPr>
              <w:spacing w:after="20" w:line="240" w:lineRule="auto"/>
            </w:pPr>
            <w:r>
              <w:rPr>
                <w:sz w:val="17"/>
              </w:rPr>
              <w:t>10</w:t>
            </w:r>
          </w:p>
        </w:tc>
        <w:tc>
          <w:tcPr>
            <w:tcW w:type="dxa" w:w="1260"/>
          </w:tcPr>
          <w:p>
            <w:pPr>
              <w:spacing w:after="20" w:line="240" w:lineRule="auto"/>
            </w:pPr>
            <w:r>
              <w:rPr>
                <w:sz w:val="17"/>
              </w:rPr>
              <w:t>6, 14</w:t>
            </w:r>
          </w:p>
        </w:tc>
      </w:tr>
      <w:tr>
        <w:trPr>
          <w:cantSplit/>
        </w:trPr>
        <w:tc>
          <w:tcPr>
            <w:tcW w:type="dxa" w:w="756"/>
          </w:tcPr>
          <w:p>
            <w:pPr>
              <w:spacing w:after="20" w:line="240" w:lineRule="auto"/>
            </w:pPr>
            <w:r>
              <w:rPr>
                <w:b/>
                <w:sz w:val="17"/>
              </w:rPr>
              <w:t>M5</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No ground-truth channel or separation from the health stack</w:t>
            </w:r>
          </w:p>
        </w:tc>
        <w:tc>
          <w:tcPr>
            <w:tcW w:type="dxa" w:w="1323"/>
          </w:tcPr>
          <w:p>
            <w:pPr>
              <w:spacing w:after="20" w:line="240" w:lineRule="auto"/>
            </w:pPr>
            <w:r>
              <w:rPr>
                <w:sz w:val="17"/>
              </w:rPr>
              <w:t>9, 10</w:t>
            </w:r>
          </w:p>
        </w:tc>
        <w:tc>
          <w:tcPr>
            <w:tcW w:type="dxa" w:w="1260"/>
          </w:tcPr>
          <w:p>
            <w:pPr>
              <w:spacing w:after="20" w:line="240" w:lineRule="auto"/>
            </w:pPr>
            <w:r>
              <w:rPr>
                <w:sz w:val="17"/>
              </w:rPr>
              <w:t>9</w:t>
            </w:r>
          </w:p>
        </w:tc>
      </w:tr>
      <w:tr>
        <w:trPr>
          <w:cantSplit/>
        </w:trPr>
        <w:tc>
          <w:tcPr>
            <w:tcW w:type="dxa" w:w="756"/>
          </w:tcPr>
          <w:p>
            <w:pPr>
              <w:spacing w:after="20" w:line="240" w:lineRule="auto"/>
            </w:pPr>
            <w:r>
              <w:rPr>
                <w:b/>
                <w:sz w:val="17"/>
              </w:rPr>
              <w:t>M6</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Thousands of Gazebo runs don't fit on one laptop</w:t>
            </w:r>
          </w:p>
        </w:tc>
        <w:tc>
          <w:tcPr>
            <w:tcW w:type="dxa" w:w="1323"/>
          </w:tcPr>
          <w:p>
            <w:pPr>
              <w:spacing w:after="20" w:line="240" w:lineRule="auto"/>
            </w:pPr>
            <w:r>
              <w:rPr>
                <w:sz w:val="17"/>
              </w:rPr>
              <w:t>9</w:t>
            </w:r>
          </w:p>
        </w:tc>
        <w:tc>
          <w:tcPr>
            <w:tcW w:type="dxa" w:w="1260"/>
          </w:tcPr>
          <w:p>
            <w:pPr>
              <w:spacing w:after="20" w:line="240" w:lineRule="auto"/>
            </w:pPr>
            <w:r>
              <w:rPr>
                <w:sz w:val="17"/>
              </w:rPr>
              <w:t>13</w:t>
            </w:r>
          </w:p>
        </w:tc>
      </w:tr>
      <w:tr>
        <w:trPr>
          <w:cantSplit/>
        </w:trPr>
        <w:tc>
          <w:tcPr>
            <w:tcW w:type="dxa" w:w="756"/>
          </w:tcPr>
          <w:p>
            <w:pPr>
              <w:spacing w:after="20" w:line="240" w:lineRule="auto"/>
            </w:pPr>
            <w:r>
              <w:rPr>
                <w:b/>
                <w:sz w:val="17"/>
              </w:rPr>
              <w:t>M7</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Reproducibility overstated</w:t>
            </w:r>
          </w:p>
        </w:tc>
        <w:tc>
          <w:tcPr>
            <w:tcW w:type="dxa" w:w="1323"/>
          </w:tcPr>
          <w:p>
            <w:pPr>
              <w:spacing w:after="20" w:line="240" w:lineRule="auto"/>
            </w:pPr>
            <w:r>
              <w:rPr>
                <w:sz w:val="17"/>
              </w:rPr>
              <w:t>9</w:t>
            </w:r>
          </w:p>
        </w:tc>
        <w:tc>
          <w:tcPr>
            <w:tcW w:type="dxa" w:w="1260"/>
          </w:tcPr>
          <w:p>
            <w:pPr>
              <w:spacing w:after="20" w:line="240" w:lineRule="auto"/>
            </w:pPr>
            <w:r>
              <w:rPr>
                <w:sz w:val="17"/>
              </w:rPr>
              <w:t>13</w:t>
            </w:r>
          </w:p>
        </w:tc>
      </w:tr>
      <w:tr>
        <w:trPr>
          <w:cantSplit/>
        </w:trPr>
        <w:tc>
          <w:tcPr>
            <w:tcW w:type="dxa" w:w="756"/>
          </w:tcPr>
          <w:p>
            <w:pPr>
              <w:spacing w:after="20" w:line="240" w:lineRule="auto"/>
            </w:pPr>
            <w:r>
              <w:rPr>
                <w:b/>
                <w:sz w:val="17"/>
              </w:rPr>
              <w:t>M8</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Requirements not verifiable and not linked to hazards</w:t>
            </w:r>
          </w:p>
        </w:tc>
        <w:tc>
          <w:tcPr>
            <w:tcW w:type="dxa" w:w="1323"/>
          </w:tcPr>
          <w:p>
            <w:pPr>
              <w:spacing w:after="20" w:line="240" w:lineRule="auto"/>
            </w:pPr>
            <w:r>
              <w:rPr>
                <w:sz w:val="17"/>
              </w:rPr>
              <w:t>12</w:t>
            </w:r>
          </w:p>
        </w:tc>
        <w:tc>
          <w:tcPr>
            <w:tcW w:type="dxa" w:w="1260"/>
          </w:tcPr>
          <w:p>
            <w:pPr>
              <w:spacing w:after="20" w:line="240" w:lineRule="auto"/>
            </w:pPr>
            <w:r>
              <w:rPr>
                <w:sz w:val="17"/>
              </w:rPr>
              <w:t>16</w:t>
            </w:r>
          </w:p>
        </w:tc>
      </w:tr>
      <w:tr>
        <w:trPr>
          <w:cantSplit/>
        </w:trPr>
        <w:tc>
          <w:tcPr>
            <w:tcW w:type="dxa" w:w="756"/>
          </w:tcPr>
          <w:p>
            <w:pPr>
              <w:spacing w:after="20" w:line="240" w:lineRule="auto"/>
            </w:pPr>
            <w:r>
              <w:rPr>
                <w:b/>
                <w:sz w:val="17"/>
              </w:rPr>
              <w:t>M9</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No health-state model, persistence or hysteresis</w:t>
            </w:r>
          </w:p>
        </w:tc>
        <w:tc>
          <w:tcPr>
            <w:tcW w:type="dxa" w:w="1323"/>
          </w:tcPr>
          <w:p>
            <w:pPr>
              <w:spacing w:after="20" w:line="240" w:lineRule="auto"/>
            </w:pPr>
            <w:r>
              <w:rPr>
                <w:sz w:val="17"/>
              </w:rPr>
              <w:t>5</w:t>
            </w:r>
          </w:p>
        </w:tc>
        <w:tc>
          <w:tcPr>
            <w:tcW w:type="dxa" w:w="1260"/>
          </w:tcPr>
          <w:p>
            <w:pPr>
              <w:spacing w:after="20" w:line="240" w:lineRule="auto"/>
            </w:pPr>
            <w:r>
              <w:rPr>
                <w:sz w:val="17"/>
              </w:rPr>
              <w:t>7</w:t>
            </w:r>
          </w:p>
        </w:tc>
      </w:tr>
      <w:tr>
        <w:trPr>
          <w:cantSplit/>
        </w:trPr>
        <w:tc>
          <w:tcPr>
            <w:tcW w:type="dxa" w:w="756"/>
          </w:tcPr>
          <w:p>
            <w:pPr>
              <w:spacing w:after="20" w:line="240" w:lineRule="auto"/>
            </w:pPr>
            <w:r>
              <w:rPr>
                <w:b/>
                <w:sz w:val="17"/>
              </w:rPr>
              <w:t>M10</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Repository layout duplicates responsibilities and doesn't fit colcon</w:t>
            </w:r>
          </w:p>
        </w:tc>
        <w:tc>
          <w:tcPr>
            <w:tcW w:type="dxa" w:w="1323"/>
          </w:tcPr>
          <w:p>
            <w:pPr>
              <w:spacing w:after="20" w:line="240" w:lineRule="auto"/>
            </w:pPr>
            <w:r>
              <w:rPr>
                <w:sz w:val="17"/>
              </w:rPr>
              <w:t>19</w:t>
            </w:r>
          </w:p>
        </w:tc>
        <w:tc>
          <w:tcPr>
            <w:tcW w:type="dxa" w:w="1260"/>
          </w:tcPr>
          <w:p>
            <w:pPr>
              <w:spacing w:after="20" w:line="240" w:lineRule="auto"/>
            </w:pPr>
            <w:r>
              <w:rPr>
                <w:sz w:val="17"/>
              </w:rPr>
              <w:t>24</w:t>
            </w:r>
          </w:p>
        </w:tc>
      </w:tr>
      <w:tr>
        <w:trPr>
          <w:cantSplit/>
        </w:trPr>
        <w:tc>
          <w:tcPr>
            <w:tcW w:type="dxa" w:w="756"/>
          </w:tcPr>
          <w:p>
            <w:pPr>
              <w:spacing w:after="20" w:line="240" w:lineRule="auto"/>
            </w:pPr>
            <w:r>
              <w:rPr>
                <w:b/>
                <w:sz w:val="17"/>
              </w:rPr>
              <w:t>M11</w:t>
            </w:r>
          </w:p>
        </w:tc>
        <w:tc>
          <w:tcPr>
            <w:tcW w:type="dxa" w:w="1197"/>
            <w:shd w:val="clear" w:color="auto" w:fill="FFF2CC"/>
          </w:tcPr>
          <w:p>
            <w:pPr>
              <w:spacing w:after="20" w:line="240" w:lineRule="auto"/>
            </w:pPr>
            <w:r>
              <w:rPr>
                <w:sz w:val="17"/>
              </w:rPr>
              <w:t>Major</w:t>
            </w:r>
          </w:p>
        </w:tc>
        <w:tc>
          <w:tcPr>
            <w:tcW w:type="dxa" w:w="5544"/>
          </w:tcPr>
          <w:p>
            <w:pPr>
              <w:spacing w:after="20" w:line="240" w:lineRule="auto"/>
            </w:pPr>
            <w:r>
              <w:rPr>
                <w:sz w:val="17"/>
              </w:rPr>
              <w:t>Schedule: testing and CI late, no slack, no cut line</w:t>
            </w:r>
          </w:p>
        </w:tc>
        <w:tc>
          <w:tcPr>
            <w:tcW w:type="dxa" w:w="1323"/>
          </w:tcPr>
          <w:p>
            <w:pPr>
              <w:spacing w:after="20" w:line="240" w:lineRule="auto"/>
            </w:pPr>
            <w:r>
              <w:rPr>
                <w:sz w:val="17"/>
              </w:rPr>
              <w:t>18</w:t>
            </w:r>
          </w:p>
        </w:tc>
        <w:tc>
          <w:tcPr>
            <w:tcW w:type="dxa" w:w="1260"/>
          </w:tcPr>
          <w:p>
            <w:pPr>
              <w:spacing w:after="20" w:line="240" w:lineRule="auto"/>
            </w:pPr>
            <w:r>
              <w:rPr>
                <w:sz w:val="17"/>
              </w:rPr>
              <w:t>22, 23</w:t>
            </w:r>
          </w:p>
        </w:tc>
      </w:tr>
      <w:tr>
        <w:trPr>
          <w:cantSplit/>
        </w:trPr>
        <w:tc>
          <w:tcPr>
            <w:tcW w:type="dxa" w:w="756"/>
          </w:tcPr>
          <w:p>
            <w:pPr>
              <w:spacing w:after="20" w:line="240" w:lineRule="auto"/>
            </w:pPr>
            <w:r>
              <w:rPr>
                <w:b/>
                <w:sz w:val="17"/>
              </w:rPr>
              <w:t>m1</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Stack not pinned; bridge, quality and logging tools missing</w:t>
            </w:r>
          </w:p>
        </w:tc>
        <w:tc>
          <w:tcPr>
            <w:tcW w:type="dxa" w:w="1323"/>
          </w:tcPr>
          <w:p>
            <w:pPr>
              <w:spacing w:after="20" w:line="240" w:lineRule="auto"/>
            </w:pPr>
            <w:r>
              <w:rPr>
                <w:sz w:val="17"/>
              </w:rPr>
              <w:t>4</w:t>
            </w:r>
          </w:p>
        </w:tc>
        <w:tc>
          <w:tcPr>
            <w:tcW w:type="dxa" w:w="1260"/>
          </w:tcPr>
          <w:p>
            <w:pPr>
              <w:spacing w:after="20" w:line="240" w:lineRule="auto"/>
            </w:pPr>
            <w:r>
              <w:rPr>
                <w:sz w:val="17"/>
              </w:rPr>
              <w:t>5</w:t>
            </w:r>
          </w:p>
        </w:tc>
      </w:tr>
      <w:tr>
        <w:trPr>
          <w:cantSplit/>
        </w:trPr>
        <w:tc>
          <w:tcPr>
            <w:tcW w:type="dxa" w:w="756"/>
          </w:tcPr>
          <w:p>
            <w:pPr>
              <w:spacing w:after="20" w:line="240" w:lineRule="auto"/>
            </w:pPr>
            <w:r>
              <w:rPr>
                <w:b/>
                <w:sz w:val="17"/>
              </w:rPr>
              <w:t>m2</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Windows development path not addressed</w:t>
            </w:r>
          </w:p>
        </w:tc>
        <w:tc>
          <w:tcPr>
            <w:tcW w:type="dxa" w:w="1323"/>
          </w:tcPr>
          <w:p>
            <w:pPr>
              <w:spacing w:after="20" w:line="240" w:lineRule="auto"/>
            </w:pPr>
            <w:r>
              <w:rPr>
                <w:sz w:val="17"/>
              </w:rPr>
              <w:t>4, 17</w:t>
            </w:r>
          </w:p>
        </w:tc>
        <w:tc>
          <w:tcPr>
            <w:tcW w:type="dxa" w:w="1260"/>
          </w:tcPr>
          <w:p>
            <w:pPr>
              <w:spacing w:after="20" w:line="240" w:lineRule="auto"/>
            </w:pPr>
            <w:r>
              <w:rPr>
                <w:sz w:val="17"/>
              </w:rPr>
              <w:t>5</w:t>
            </w:r>
          </w:p>
        </w:tc>
      </w:tr>
      <w:tr>
        <w:trPr>
          <w:cantSplit/>
        </w:trPr>
        <w:tc>
          <w:tcPr>
            <w:tcW w:type="dxa" w:w="756"/>
          </w:tcPr>
          <w:p>
            <w:pPr>
              <w:spacing w:after="20" w:line="240" w:lineRule="auto"/>
            </w:pPr>
            <w:r>
              <w:rPr>
                <w:b/>
                <w:sz w:val="17"/>
              </w:rPr>
              <w:t>m3</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Flight recorder rebuilds what ULog and rosbag2 already do</w:t>
            </w:r>
          </w:p>
        </w:tc>
        <w:tc>
          <w:tcPr>
            <w:tcW w:type="dxa" w:w="1323"/>
          </w:tcPr>
          <w:p>
            <w:pPr>
              <w:spacing w:after="20" w:line="240" w:lineRule="auto"/>
            </w:pPr>
            <w:r>
              <w:rPr>
                <w:sz w:val="17"/>
              </w:rPr>
              <w:t>13</w:t>
            </w:r>
          </w:p>
        </w:tc>
        <w:tc>
          <w:tcPr>
            <w:tcW w:type="dxa" w:w="1260"/>
          </w:tcPr>
          <w:p>
            <w:pPr>
              <w:spacing w:after="20" w:line="240" w:lineRule="auto"/>
            </w:pPr>
            <w:r>
              <w:rPr>
                <w:sz w:val="17"/>
              </w:rPr>
              <w:t>17</w:t>
            </w:r>
          </w:p>
        </w:tc>
      </w:tr>
      <w:tr>
        <w:trPr>
          <w:cantSplit/>
        </w:trPr>
        <w:tc>
          <w:tcPr>
            <w:tcW w:type="dxa" w:w="756"/>
          </w:tcPr>
          <w:p>
            <w:pPr>
              <w:spacing w:after="20" w:line="240" w:lineRule="auto"/>
            </w:pPr>
            <w:r>
              <w:rPr>
                <w:b/>
                <w:sz w:val="17"/>
              </w:rPr>
              <w:t>m4</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Laptop CPU and jitter numbers presented as meaningful</w:t>
            </w:r>
          </w:p>
        </w:tc>
        <w:tc>
          <w:tcPr>
            <w:tcW w:type="dxa" w:w="1323"/>
          </w:tcPr>
          <w:p>
            <w:pPr>
              <w:spacing w:after="20" w:line="240" w:lineRule="auto"/>
            </w:pPr>
            <w:r>
              <w:rPr>
                <w:sz w:val="17"/>
              </w:rPr>
              <w:t>10</w:t>
            </w:r>
          </w:p>
        </w:tc>
        <w:tc>
          <w:tcPr>
            <w:tcW w:type="dxa" w:w="1260"/>
          </w:tcPr>
          <w:p>
            <w:pPr>
              <w:spacing w:after="20" w:line="240" w:lineRule="auto"/>
            </w:pPr>
            <w:r>
              <w:rPr>
                <w:sz w:val="17"/>
              </w:rPr>
              <w:t>14</w:t>
            </w:r>
          </w:p>
        </w:tc>
      </w:tr>
      <w:tr>
        <w:trPr>
          <w:cantSplit/>
        </w:trPr>
        <w:tc>
          <w:tcPr>
            <w:tcW w:type="dxa" w:w="756"/>
          </w:tcPr>
          <w:p>
            <w:pPr>
              <w:spacing w:after="20" w:line="240" w:lineRule="auto"/>
            </w:pPr>
            <w:r>
              <w:rPr>
                <w:b/>
                <w:sz w:val="17"/>
              </w:rPr>
              <w:t>m5</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ML evaluation: leakage risk, no held-out faults, no real data</w:t>
            </w:r>
          </w:p>
        </w:tc>
        <w:tc>
          <w:tcPr>
            <w:tcW w:type="dxa" w:w="1323"/>
          </w:tcPr>
          <w:p>
            <w:pPr>
              <w:spacing w:after="20" w:line="240" w:lineRule="auto"/>
            </w:pPr>
            <w:r>
              <w:rPr>
                <w:sz w:val="17"/>
              </w:rPr>
              <w:t>15</w:t>
            </w:r>
          </w:p>
        </w:tc>
        <w:tc>
          <w:tcPr>
            <w:tcW w:type="dxa" w:w="1260"/>
          </w:tcPr>
          <w:p>
            <w:pPr>
              <w:spacing w:after="20" w:line="240" w:lineRule="auto"/>
            </w:pPr>
            <w:r>
              <w:rPr>
                <w:sz w:val="17"/>
              </w:rPr>
              <w:t>19</w:t>
            </w:r>
          </w:p>
        </w:tc>
      </w:tr>
      <w:tr>
        <w:trPr>
          <w:cantSplit/>
        </w:trPr>
        <w:tc>
          <w:tcPr>
            <w:tcW w:type="dxa" w:w="756"/>
          </w:tcPr>
          <w:p>
            <w:pPr>
              <w:spacing w:after="20" w:line="240" w:lineRule="auto"/>
            </w:pPr>
            <w:r>
              <w:rPr>
                <w:b/>
                <w:sz w:val="17"/>
              </w:rPr>
              <w:t>m6</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No message definitions; frame conventions not mentioned</w:t>
            </w:r>
          </w:p>
        </w:tc>
        <w:tc>
          <w:tcPr>
            <w:tcW w:type="dxa" w:w="1323"/>
          </w:tcPr>
          <w:p>
            <w:pPr>
              <w:spacing w:after="20" w:line="240" w:lineRule="auto"/>
            </w:pPr>
            <w:r>
              <w:rPr>
                <w:sz w:val="17"/>
              </w:rPr>
              <w:t>8, 11</w:t>
            </w:r>
          </w:p>
        </w:tc>
        <w:tc>
          <w:tcPr>
            <w:tcW w:type="dxa" w:w="1260"/>
          </w:tcPr>
          <w:p>
            <w:pPr>
              <w:spacing w:after="20" w:line="240" w:lineRule="auto"/>
            </w:pPr>
            <w:r>
              <w:rPr>
                <w:sz w:val="17"/>
              </w:rPr>
              <w:t>12, 15</w:t>
            </w:r>
          </w:p>
        </w:tc>
      </w:tr>
      <w:tr>
        <w:trPr>
          <w:cantSplit/>
        </w:trPr>
        <w:tc>
          <w:tcPr>
            <w:tcW w:type="dxa" w:w="756"/>
          </w:tcPr>
          <w:p>
            <w:pPr>
              <w:spacing w:after="20" w:line="240" w:lineRule="auto"/>
            </w:pPr>
            <w:r>
              <w:rPr>
                <w:b/>
                <w:sz w:val="17"/>
              </w:rPr>
              <w:t>m7</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Thresholds could be tuned on the scenarios used for reporting</w:t>
            </w:r>
          </w:p>
        </w:tc>
        <w:tc>
          <w:tcPr>
            <w:tcW w:type="dxa" w:w="1323"/>
          </w:tcPr>
          <w:p>
            <w:pPr>
              <w:spacing w:after="20" w:line="240" w:lineRule="auto"/>
            </w:pPr>
            <w:r>
              <w:rPr>
                <w:sz w:val="17"/>
              </w:rPr>
              <w:t>9, 10</w:t>
            </w:r>
          </w:p>
        </w:tc>
        <w:tc>
          <w:tcPr>
            <w:tcW w:type="dxa" w:w="1260"/>
          </w:tcPr>
          <w:p>
            <w:pPr>
              <w:spacing w:after="20" w:line="240" w:lineRule="auto"/>
            </w:pPr>
            <w:r>
              <w:rPr>
                <w:sz w:val="17"/>
              </w:rPr>
              <w:t>13</w:t>
            </w:r>
          </w:p>
        </w:tc>
      </w:tr>
      <w:tr>
        <w:trPr>
          <w:cantSplit/>
        </w:trPr>
        <w:tc>
          <w:tcPr>
            <w:tcW w:type="dxa" w:w="756"/>
          </w:tcPr>
          <w:p>
            <w:pPr>
              <w:spacing w:after="20" w:line="240" w:lineRule="auto"/>
            </w:pPr>
            <w:r>
              <w:rPr>
                <w:b/>
                <w:sz w:val="17"/>
              </w:rPr>
              <w:t>m8</w:t>
            </w:r>
          </w:p>
        </w:tc>
        <w:tc>
          <w:tcPr>
            <w:tcW w:type="dxa" w:w="1197"/>
            <w:shd w:val="clear" w:color="auto" w:fill="EEF3F9"/>
          </w:tcPr>
          <w:p>
            <w:pPr>
              <w:spacing w:after="20" w:line="240" w:lineRule="auto"/>
            </w:pPr>
            <w:r>
              <w:rPr>
                <w:sz w:val="17"/>
              </w:rPr>
              <w:t>Minor</w:t>
            </w:r>
          </w:p>
        </w:tc>
        <w:tc>
          <w:tcPr>
            <w:tcW w:type="dxa" w:w="5544"/>
          </w:tcPr>
          <w:p>
            <w:pPr>
              <w:spacing w:after="20" w:line="240" w:lineRule="auto"/>
            </w:pPr>
            <w:r>
              <w:rPr>
                <w:sz w:val="17"/>
              </w:rPr>
              <w:t>No risk register or glossary</w:t>
            </w:r>
          </w:p>
        </w:tc>
        <w:tc>
          <w:tcPr>
            <w:tcW w:type="dxa" w:w="1323"/>
          </w:tcPr>
          <w:p>
            <w:pPr>
              <w:spacing w:after="20" w:line="240" w:lineRule="auto"/>
            </w:pPr>
            <w:r>
              <w:rPr>
                <w:sz w:val="17"/>
              </w:rPr>
              <w:t>none</w:t>
            </w:r>
          </w:p>
        </w:tc>
        <w:tc>
          <w:tcPr>
            <w:tcW w:type="dxa" w:w="1260"/>
          </w:tcPr>
          <w:p>
            <w:pPr>
              <w:spacing w:after="20" w:line="240" w:lineRule="auto"/>
            </w:pPr>
            <w:r>
              <w:rPr>
                <w:sz w:val="17"/>
              </w:rPr>
              <w:t>23, 29</w:t>
            </w:r>
          </w:p>
        </w:tc>
      </w:tr>
      <w:tr>
        <w:trPr>
          <w:cantSplit/>
        </w:trPr>
        <w:tc>
          <w:tcPr>
            <w:tcW w:type="dxa" w:w="756"/>
          </w:tcPr>
          <w:p>
            <w:pPr>
              <w:spacing w:after="20" w:line="240" w:lineRule="auto"/>
            </w:pPr>
            <w:r>
              <w:rPr>
                <w:b/>
                <w:sz w:val="17"/>
              </w:rPr>
              <w:t>E1</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Reference list numbered 8 to 17</w:t>
            </w:r>
          </w:p>
        </w:tc>
        <w:tc>
          <w:tcPr>
            <w:tcW w:type="dxa" w:w="1323"/>
          </w:tcPr>
          <w:p>
            <w:pPr>
              <w:spacing w:after="20" w:line="240" w:lineRule="auto"/>
            </w:pPr>
            <w:r>
              <w:rPr>
                <w:sz w:val="17"/>
              </w:rPr>
              <w:t>24</w:t>
            </w:r>
          </w:p>
        </w:tc>
        <w:tc>
          <w:tcPr>
            <w:tcW w:type="dxa" w:w="1260"/>
          </w:tcPr>
          <w:p>
            <w:pPr>
              <w:spacing w:after="20" w:line="240" w:lineRule="auto"/>
            </w:pPr>
            <w:r>
              <w:rPr>
                <w:sz w:val="17"/>
              </w:rPr>
              <w:t>30</w:t>
            </w:r>
          </w:p>
        </w:tc>
      </w:tr>
      <w:tr>
        <w:trPr>
          <w:cantSplit/>
        </w:trPr>
        <w:tc>
          <w:tcPr>
            <w:tcW w:type="dxa" w:w="756"/>
          </w:tcPr>
          <w:p>
            <w:pPr>
              <w:spacing w:after="20" w:line="240" w:lineRule="auto"/>
            </w:pPr>
            <w:r>
              <w:rPr>
                <w:b/>
                <w:sz w:val="17"/>
              </w:rPr>
              <w:t>E2</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Tables split across pages; header rows unstyled and not repeated</w:t>
            </w:r>
          </w:p>
        </w:tc>
        <w:tc>
          <w:tcPr>
            <w:tcW w:type="dxa" w:w="1323"/>
          </w:tcPr>
          <w:p>
            <w:pPr>
              <w:spacing w:after="20" w:line="240" w:lineRule="auto"/>
            </w:pPr>
            <w:r>
              <w:rPr>
                <w:sz w:val="17"/>
              </w:rPr>
              <w:t>4, 6, 10, 18</w:t>
            </w:r>
          </w:p>
        </w:tc>
        <w:tc>
          <w:tcPr>
            <w:tcW w:type="dxa" w:w="1260"/>
          </w:tcPr>
          <w:p>
            <w:pPr>
              <w:spacing w:after="20" w:line="240" w:lineRule="auto"/>
            </w:pPr>
            <w:r>
              <w:rPr>
                <w:sz w:val="17"/>
              </w:rPr>
              <w:t>all</w:t>
            </w:r>
          </w:p>
        </w:tc>
      </w:tr>
      <w:tr>
        <w:trPr>
          <w:cantSplit/>
        </w:trPr>
        <w:tc>
          <w:tcPr>
            <w:tcW w:type="dxa" w:w="756"/>
          </w:tcPr>
          <w:p>
            <w:pPr>
              <w:spacing w:after="20" w:line="240" w:lineRule="auto"/>
            </w:pPr>
            <w:r>
              <w:rPr>
                <w:b/>
                <w:sz w:val="17"/>
              </w:rPr>
              <w:t>E3</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Body font (Aptos) not installed on the review machine; Word substitutes a serif</w:t>
            </w:r>
          </w:p>
        </w:tc>
        <w:tc>
          <w:tcPr>
            <w:tcW w:type="dxa" w:w="1323"/>
          </w:tcPr>
          <w:p>
            <w:pPr>
              <w:spacing w:after="20" w:line="240" w:lineRule="auto"/>
            </w:pPr>
            <w:r>
              <w:rPr>
                <w:sz w:val="17"/>
              </w:rPr>
              <w:t>all</w:t>
            </w:r>
          </w:p>
        </w:tc>
        <w:tc>
          <w:tcPr>
            <w:tcW w:type="dxa" w:w="1260"/>
          </w:tcPr>
          <w:p>
            <w:pPr>
              <w:spacing w:after="20" w:line="240" w:lineRule="auto"/>
            </w:pPr>
            <w:r>
              <w:rPr>
                <w:sz w:val="17"/>
              </w:rPr>
              <w:t>all</w:t>
            </w:r>
          </w:p>
        </w:tc>
      </w:tr>
      <w:tr>
        <w:trPr>
          <w:cantSplit/>
        </w:trPr>
        <w:tc>
          <w:tcPr>
            <w:tcW w:type="dxa" w:w="756"/>
          </w:tcPr>
          <w:p>
            <w:pPr>
              <w:spacing w:after="20" w:line="240" w:lineRule="auto"/>
            </w:pPr>
            <w:r>
              <w:rPr>
                <w:b/>
                <w:sz w:val="17"/>
              </w:rPr>
              <w:t>E4</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No version, date or page numbers</w:t>
            </w:r>
          </w:p>
        </w:tc>
        <w:tc>
          <w:tcPr>
            <w:tcW w:type="dxa" w:w="1323"/>
          </w:tcPr>
          <w:p>
            <w:pPr>
              <w:spacing w:after="20" w:line="240" w:lineRule="auto"/>
            </w:pPr>
            <w:r>
              <w:rPr>
                <w:sz w:val="17"/>
              </w:rPr>
              <w:t>title, footer</w:t>
            </w:r>
          </w:p>
        </w:tc>
        <w:tc>
          <w:tcPr>
            <w:tcW w:type="dxa" w:w="1260"/>
          </w:tcPr>
          <w:p>
            <w:pPr>
              <w:spacing w:after="20" w:line="240" w:lineRule="auto"/>
            </w:pPr>
            <w:r>
              <w:rPr>
                <w:sz w:val="17"/>
              </w:rPr>
              <w:t>title, footer</w:t>
            </w:r>
          </w:p>
        </w:tc>
      </w:tr>
      <w:tr>
        <w:trPr>
          <w:cantSplit/>
        </w:trPr>
        <w:tc>
          <w:tcPr>
            <w:tcW w:type="dxa" w:w="756"/>
          </w:tcPr>
          <w:p>
            <w:pPr>
              <w:spacing w:after="20" w:line="240" w:lineRule="auto"/>
            </w:pPr>
            <w:r>
              <w:rPr>
                <w:b/>
                <w:sz w:val="17"/>
              </w:rPr>
              <w:t>E5</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Three reference links unreachable from the review machine</w:t>
            </w:r>
          </w:p>
        </w:tc>
        <w:tc>
          <w:tcPr>
            <w:tcW w:type="dxa" w:w="1323"/>
          </w:tcPr>
          <w:p>
            <w:pPr>
              <w:spacing w:after="20" w:line="240" w:lineRule="auto"/>
            </w:pPr>
            <w:r>
              <w:rPr>
                <w:sz w:val="17"/>
              </w:rPr>
              <w:t>24</w:t>
            </w:r>
          </w:p>
        </w:tc>
        <w:tc>
          <w:tcPr>
            <w:tcW w:type="dxa" w:w="1260"/>
          </w:tcPr>
          <w:p>
            <w:pPr>
              <w:spacing w:after="20" w:line="240" w:lineRule="auto"/>
            </w:pPr>
            <w:r>
              <w:rPr>
                <w:sz w:val="17"/>
              </w:rPr>
              <w:t>30</w:t>
            </w:r>
          </w:p>
        </w:tc>
      </w:tr>
      <w:tr>
        <w:trPr>
          <w:cantSplit/>
        </w:trPr>
        <w:tc>
          <w:tcPr>
            <w:tcW w:type="dxa" w:w="756"/>
          </w:tcPr>
          <w:p>
            <w:pPr>
              <w:spacing w:after="20" w:line="240" w:lineRule="auto"/>
            </w:pPr>
            <w:r>
              <w:rPr>
                <w:b/>
                <w:sz w:val="17"/>
              </w:rPr>
              <w:t>E6</w:t>
            </w:r>
          </w:p>
        </w:tc>
        <w:tc>
          <w:tcPr>
            <w:tcW w:type="dxa" w:w="1197"/>
            <w:shd w:val="clear" w:color="auto" w:fill="F2F2F2"/>
          </w:tcPr>
          <w:p>
            <w:pPr>
              <w:spacing w:after="20" w:line="240" w:lineRule="auto"/>
            </w:pPr>
            <w:r>
              <w:rPr>
                <w:sz w:val="17"/>
              </w:rPr>
              <w:t>Editorial</w:t>
            </w:r>
          </w:p>
        </w:tc>
        <w:tc>
          <w:tcPr>
            <w:tcW w:type="dxa" w:w="5544"/>
          </w:tcPr>
          <w:p>
            <w:pPr>
              <w:spacing w:after="20" w:line="240" w:lineRule="auto"/>
            </w:pPr>
            <w:r>
              <w:rPr>
                <w:sz w:val="17"/>
              </w:rPr>
              <w:t>Personal coaching voice mixed into the project spec</w:t>
            </w:r>
          </w:p>
        </w:tc>
        <w:tc>
          <w:tcPr>
            <w:tcW w:type="dxa" w:w="1323"/>
          </w:tcPr>
          <w:p>
            <w:pPr>
              <w:spacing w:after="20" w:line="240" w:lineRule="auto"/>
            </w:pPr>
            <w:r>
              <w:rPr>
                <w:sz w:val="17"/>
              </w:rPr>
              <w:t>1, 14, 17</w:t>
            </w:r>
          </w:p>
        </w:tc>
        <w:tc>
          <w:tcPr>
            <w:tcW w:type="dxa" w:w="1260"/>
          </w:tcPr>
          <w:p>
            <w:pPr>
              <w:spacing w:after="20" w:line="240" w:lineRule="auto"/>
            </w:pPr>
            <w:r>
              <w:rPr>
                <w:sz w:val="17"/>
              </w:rPr>
              <w:t>note only</w:t>
            </w:r>
          </w:p>
        </w:tc>
      </w:tr>
    </w:tbl>
    <w:p>
      <w:pPr>
        <w:spacing w:after="40"/>
      </w:pPr>
    </w:p>
    <w:p>
      <w:pPr>
        <w:pStyle w:val="Heading1"/>
      </w:pPr>
      <w:r>
        <w:t>4. Critical findings</w:t>
      </w:r>
    </w:p>
    <w:p>
      <w:pPr>
        <w:pStyle w:val="Heading2"/>
      </w:pPr>
      <w:r>
        <w:t>C1. No authority model between AERIS and PX4</w:t>
      </w:r>
    </w:p>
    <w:p>
      <w:r>
        <w:t>v1 says the deterministic recovery manager "should remain the authority for safety-critical actions" (section 15), but never says how. PX4 already has layered failsafes. Its position-loss failsafe tries Return, falls back to Land and then to Descend; EKF2 rejects GPS data that fails its innovation checks; and there are battery, data-link and failure-detector failsafes on top. v1 also gives no path by which an AERIS decision reaches PX4.</w:t>
      </w:r>
    </w:p>
    <w:p>
      <w:r>
        <w:t>Left like that, a GPS fault triggers PX4 and AERIS at the same time. Whichever acts first decides the outcome, and the campaign ends up measuring PX4's behaviour under AERIS's name. A reviewer who knows PX4 will spot it quickly.</w:t>
      </w:r>
    </w:p>
    <w:p>
      <w:r>
        <w:t>In v2, the arrangement is simplex-style. PX4 stays the inner loop and the fallback. AERIS recovery behaviours are registered PX4 modes built with the PX4 ROS 2 Interface Library, which PX4 treats like its own: they pass arming checks, show up in the ground station, can be overridden by a pilot, and fall back to the internal mode if the ROS 2 mode fails. Each scenario runs in three configurations: A (PX4 only), B (AERIS advisory) and C (AERIS active). The A-versus-C difference becomes the headline result, a stronger claim than v1 could have made.</w:t>
      </w:r>
    </w:p>
    <w:p>
      <w:pPr>
        <w:pStyle w:val="Heading2"/>
      </w:pPr>
      <w:r>
        <w:t>C2. Much of the fault catalogue can't be injected with stock tools</w:t>
      </w:r>
    </w:p>
    <w:p>
      <w:r>
        <w:t>PX4's failure-injection module (</w:t>
      </w:r>
      <w:r>
        <w:rPr>
          <w:rFonts w:ascii="Consolas" w:hAnsi="Consolas"/>
          <w:sz w:val="19"/>
        </w:rPr>
        <w:t>SYS_FAILURE_EN</w:t>
      </w:r>
      <w:r>
        <w:t xml:space="preserve">) supports </w:t>
      </w:r>
      <w:r>
        <w:rPr>
          <w:rFonts w:ascii="Consolas" w:hAnsi="Consolas"/>
          <w:sz w:val="19"/>
        </w:rPr>
        <w:t>off</w:t>
      </w:r>
      <w:r>
        <w:t xml:space="preserve"> and </w:t>
      </w:r>
      <w:r>
        <w:rPr>
          <w:rFonts w:ascii="Consolas" w:hAnsi="Consolas"/>
          <w:sz w:val="19"/>
        </w:rPr>
        <w:t>stuck</w:t>
      </w:r>
      <w:r>
        <w:t xml:space="preserve"> for IMU, magnetometer and barometer; </w:t>
      </w:r>
      <w:r>
        <w:rPr>
          <w:rFonts w:ascii="Consolas" w:hAnsi="Consolas"/>
          <w:sz w:val="19"/>
        </w:rPr>
        <w:t>off</w:t>
      </w:r>
      <w:r>
        <w:t xml:space="preserve">, </w:t>
      </w:r>
      <w:r>
        <w:rPr>
          <w:rFonts w:ascii="Consolas" w:hAnsi="Consolas"/>
          <w:sz w:val="19"/>
        </w:rPr>
        <w:t>stuck</w:t>
      </w:r>
      <w:r>
        <w:t xml:space="preserve"> and </w:t>
      </w:r>
      <w:r>
        <w:rPr>
          <w:rFonts w:ascii="Consolas" w:hAnsi="Consolas"/>
          <w:sz w:val="19"/>
        </w:rPr>
        <w:t>wrong</w:t>
      </w:r>
      <w:r>
        <w:t xml:space="preserve"> for GPS; </w:t>
      </w:r>
      <w:r>
        <w:rPr>
          <w:rFonts w:ascii="Consolas" w:hAnsi="Consolas"/>
          <w:sz w:val="19"/>
        </w:rPr>
        <w:t>off</w:t>
      </w:r>
      <w:r>
        <w:t xml:space="preserve"> for motors (with </w:t>
      </w:r>
      <w:r>
        <w:rPr>
          <w:rFonts w:ascii="Consolas" w:hAnsi="Consolas"/>
          <w:sz w:val="19"/>
        </w:rPr>
        <w:t>CA_FAILURE_MODE</w:t>
      </w:r>
      <w:r>
        <w:t xml:space="preserve">); and </w:t>
      </w:r>
      <w:r>
        <w:rPr>
          <w:rFonts w:ascii="Consolas" w:hAnsi="Consolas"/>
          <w:sz w:val="19"/>
        </w:rPr>
        <w:t>wrong</w:t>
      </w:r>
      <w:r>
        <w:t xml:space="preserve"> or </w:t>
      </w:r>
      <w:r>
        <w:rPr>
          <w:rFonts w:ascii="Consolas" w:hAnsi="Consolas"/>
          <w:sz w:val="19"/>
        </w:rPr>
        <w:t>off</w:t>
      </w:r>
      <w:r>
        <w:t xml:space="preserve"> for the battery. GPS </w:t>
      </w:r>
      <w:r>
        <w:rPr>
          <w:rFonts w:ascii="Consolas" w:hAnsi="Consolas"/>
          <w:sz w:val="19"/>
        </w:rPr>
        <w:t>wrong</w:t>
      </w:r>
      <w:r>
        <w:t xml:space="preserve"> changes the fix type and jamming state and leaves the position untouched. </w:t>
      </w:r>
      <w:r>
        <w:rPr>
          <w:rFonts w:ascii="Consolas" w:hAnsi="Consolas"/>
          <w:sz w:val="19"/>
        </w:rPr>
        <w:t>mavlink_signal</w:t>
      </w:r>
      <w:r>
        <w:t xml:space="preserve"> is in the command syntax but the module rejects it. Checked against v1's ten catalogue rows, five need custom injection (GPS bias, IMU bias, magnetometer disturbance, motor degradation, telemetry loss), and battery "increased discharge rate or voltage sag" can only be approximated.</w:t>
      </w:r>
    </w:p>
    <w:p>
      <w:r>
        <w:t>v1 also never says where faults enter. If they are applied to the ROS 2 topics AERIS subscribes to, PX4 never sees them and the vehicle flies normally. That experiment tests the detector's inputs, not a faulted aircraft, and the recovery results would mean nothing.</w:t>
      </w:r>
    </w:p>
    <w:p>
      <w:r>
        <w:t>In v2 there are three injection layers (PX4 native, simulator-side, network-level), a column showing how each fault is injected, a rule that aircraft faults enter upstream of the estimator, and a week-2 exit check that triggers every native fault once and confirms it appears in the logs.</w:t>
      </w:r>
    </w:p>
    <w:p>
      <w:pPr>
        <w:pStyle w:val="Heading2"/>
      </w:pPr>
      <w:r>
        <w:t>C3. The GPS cross-check isn't independent</w:t>
      </w:r>
    </w:p>
    <w:p>
      <w:r>
        <w:t>The flagship demo diagnoses GPS failure when "independent state estimates indicated continued vehicle motion". In a PX4 system the obvious state estimate is EKF2, and EKF2 fuses GPS. For a hard outage that is fine: EKF2 stops fusing and dead-reckons. For a slow bias or drift that stays inside EKF2's innovation gates, the bad data gets fused and the estimate moves with it. Comparing GPS against EKF2 then shows the least disagreement exactly when detection matters most. v1 also leaves its "reference/expected-state model" undefined.</w:t>
      </w:r>
    </w:p>
    <w:p>
      <w:r>
        <w:t xml:space="preserve">In v2, residuals come from sources that don't use the suspect sensor: IMU, barometer and magnetometer dead reckoning; vision odometry from the </w:t>
      </w:r>
      <w:r>
        <w:rPr>
          <w:rFonts w:ascii="Consolas" w:hAnsi="Consolas"/>
          <w:sz w:val="19"/>
        </w:rPr>
        <w:t>gz_x500_vision</w:t>
      </w:r>
      <w:r>
        <w:t xml:space="preserve"> model; and the twin's predicted acceleration from motor commands. Sudden faults use chi-square tests and slow drifts use CUSUM. The GPS drift case becomes the more interesting half of the flagship demo, because it is where AERIS can beat stock PX4.</w:t>
      </w:r>
    </w:p>
    <w:p>
      <w:pPr>
        <w:pStyle w:val="Heading1"/>
      </w:pPr>
      <w:r>
        <w:t>5. Major findings</w:t>
      </w:r>
    </w:p>
    <w:p>
      <w:pPr>
        <w:pStyle w:val="Heading2"/>
      </w:pPr>
      <w:r>
        <w:t>M1. The "digital twin" is the simulator</w:t>
      </w:r>
    </w:p>
    <w:p>
      <w:r>
        <w:t>v1 sections 2 and 3 call the simulation the digital twin. A digital twin is a model kept in sync with a physical asset. Here the simulator plays the physical aircraft, so calling it the twin invites the easy criticism that the project is "a simulator with a new name". In v2 the simulator is the plant surrogate, and the twin is AERIS's onboard model. It predicts expected sensor values for residuals, gives an independent reference, and runs what-if checks before recovery (energy to reach home). The title now describes something the software actually does.</w:t>
      </w:r>
    </w:p>
    <w:p>
      <w:pPr>
        <w:pStyle w:val="Heading2"/>
      </w:pPr>
      <w:r>
        <w:t>M2. Recovery ignores what the vehicle can still do</w:t>
      </w:r>
    </w:p>
    <w:p>
      <w:r>
        <w:t>Section 5 lists "returning home" as a generic recovery. Return needs a global position, which is exactly what a GPS failure removes; PX4 itself falls back to Land in that situation. The battery row says "return home" with no check on distance or wind. v2 adds a capability-aware policy. Each action lists the capabilities it needs, the manager picks the least severe action that is still feasible, the twin checks energy before Return, and overlapping faults are resolved with one decision over the union of lost capabilities.</w:t>
      </w:r>
    </w:p>
    <w:p>
      <w:pPr>
        <w:pStyle w:val="Heading2"/>
      </w:pPr>
      <w:r>
        <w:t>M3. No vehicle choice</w:t>
      </w:r>
    </w:p>
    <w:p>
      <w:r>
        <w:t xml:space="preserve">"Aircraft" is never pinned down. PX4's default Gazebo vehicle is the x500 quadrotor, and a quadrotor that loses a motor can't keep full attitude control with a standard controller. So "motor failure → trigger contingency response" isn't a recoverable scenario on the likely airframe. v2 fixes the primary vehicle (x500 in Gazebo, </w:t>
      </w:r>
      <w:r>
        <w:rPr>
          <w:rFonts w:ascii="Consolas" w:hAnsi="Consolas"/>
          <w:sz w:val="19"/>
        </w:rPr>
        <w:t>sihsim_quadx</w:t>
      </w:r>
      <w:r>
        <w:t xml:space="preserve"> in SIH, the only SIH vehicle PX4 marks stable), moves motor-out recovery to a hexarotor or a fixed-wing, scores quadrotor motor loss as crash mitigation, and adds a reference mission and an operating envelope so results have a defined scope.</w:t>
      </w:r>
    </w:p>
    <w:p>
      <w:pPr>
        <w:pStyle w:val="Heading2"/>
      </w:pPr>
      <w:r>
        <w:t>M4. Metric definitions</w:t>
      </w:r>
    </w:p>
    <w:p>
      <w:r>
        <w:t>"Diagnosis accuracy: correctly identified faults divided by diagnosed faults" is precision. It ignores missed faults, so a system that diagnoses one easy fault and stays silent on the rest scores 100%. The false alarm rate has no denominator (per run? per hour?). Detection latency doesn't say what happens to missed detections, and dropping them flatters the median. There are no success criteria for recovery or mission completion, and no baseline. v2 gives formal definitions: a confusion matrix including "no fault" and UNKNOWN, false alarms per flight hour, median and 95th-percentile latency with misses counted, calibration, and ROC sweeps. Success criteria are fixed before evaluation, and everything is reported per configuration with 95% confidence intervals.</w:t>
      </w:r>
    </w:p>
    <w:p>
      <w:pPr>
        <w:pStyle w:val="Heading2"/>
      </w:pPr>
      <w:r>
        <w:t>M5. No ground-truth channel</w:t>
      </w:r>
    </w:p>
    <w:p>
      <w:r>
        <w:t>Every metric needs to know exactly what was injected and when, and the health stack must not be able to see that information. v1 covers neither. Leaks are easy: a detector subscribed to the injector topic during debugging and never unsubscribed will produce perfect scores. v2 has the injector publish labels to the recorder and oracle only, runs a CI check on the ROS 2 graph that fails if an AERIS node subscribes, and uses simulation time for every timestamp.</w:t>
      </w:r>
    </w:p>
    <w:p>
      <w:pPr>
        <w:pStyle w:val="Heading2"/>
      </w:pPr>
      <w:r>
        <w:t>M6. Campaign scale</w:t>
      </w:r>
    </w:p>
    <w:p>
      <w:r>
        <w:t xml:space="preserve">v1 wants "hundreds or thousands" of runs. A four-minute mission at real time is about 67 hours per 1,000 Gazebo runs before start-up overhead, on the laptop that is also the development machine. v2 introduces simulation tiers. Tier 0 replays logs through the core library (open loop, thousands of runs per hour). Tier 1 is PX4 SIH, which runs headless and in lockstep, supports </w:t>
      </w:r>
      <w:r>
        <w:rPr>
          <w:rFonts w:ascii="Consolas" w:hAnsi="Consolas"/>
          <w:sz w:val="19"/>
        </w:rPr>
        <w:t>PX4_SIM_SPEED_FACTOR</w:t>
      </w:r>
      <w:r>
        <w:t xml:space="preserve"> and multiple instances, and carries the main campaign. Tier 2 is Gazebo, for vision scenarios, the demo and spot checks. Tier 3 is optional HIL. The SIH speed factor with AERIS attached gets measured in week 1, because it sets the campaign size.</w:t>
      </w:r>
    </w:p>
    <w:p>
      <w:pPr>
        <w:pStyle w:val="Heading2"/>
      </w:pPr>
      <w:r>
        <w:t>M7. Reproducibility overstated</w:t>
      </w:r>
    </w:p>
    <w:p>
      <w:r>
        <w:t>"Reproducible random seeds so every result can be rerun" promises more than the stack delivers. A seed regenerates the scenario. Lockstep makes PX4 and the simulator deterministic, but ROS 2 nodes in separate processes still see DDS scheduling variation, so closed-loop reruns can differ slightly. Promise bit-exact reruns and a reviewer will try it. v2 claims scenario-exact regeneration, statistical reproducibility for Tiers 1 and 2, and bit-exact results only for Tier 0, and stores a manifest per run with versions, container digest and config hash.</w:t>
      </w:r>
    </w:p>
    <w:p>
      <w:pPr>
        <w:pStyle w:val="Heading2"/>
      </w:pPr>
      <w:r>
        <w:t>M8. Requirements</w:t>
      </w:r>
    </w:p>
    <w:p>
      <w:r>
        <w:t>There are four requirements. "Within the configured timeout" and "when sufficient evidence exists" have no pass/fail value, none has a rationale, a verification method or a parent hazard, and nothing covers false alarms, timing, energy or the health stack itself failing. v2 adds six hazards from a lightweight functional hazard assessment and eleven requirements with numeric starting targets and verification methods. They are stored as YAML, tests are tagged with requirement IDs, and CI generates the trace matrix.</w:t>
      </w:r>
    </w:p>
    <w:p>
      <w:pPr>
        <w:pStyle w:val="Heading2"/>
      </w:pPr>
      <w:r>
        <w:t>M9. No health-state model</w:t>
      </w:r>
    </w:p>
    <w:p>
      <w:r>
        <w:t>v1 describes detection and diagnosis but not how health evolves over time. Without persistence, one noisy sample triggers a recovery. Without hysteresis, a marginal sensor flaps between states. Intermittent faults aren't mentioned. v2 defines NOMINAL, SUSPECT, DEGRADED, FAILED and UNKNOWN, with M-of-N confirmation, a longer clearing time than entry time, latching for FAILED, and the component, subsystem and system levels of FDIR.</w:t>
      </w:r>
    </w:p>
    <w:p>
      <w:pPr>
        <w:pStyle w:val="Heading2"/>
      </w:pPr>
      <w:r>
        <w:t>M10. Repository layout</w:t>
      </w:r>
    </w:p>
    <w:p>
      <w:r>
        <w:t>flight/health and autonomy/fault_detection overlap, as do flight/recovery and autonomy/decision, so the same responsibility has two homes. A single root CMakeLists.txt doesn't match colcon, which builds each ROS 2 package separately from its own package.xml. And if core logic lives inside ROS nodes, the F´ port in section 16 becomes a rewrite. v2 uses ports and adapters: aeris_core in plain C++20 with its own tests, thin ROS 2 adapter packages, and separate folders for simulator injectors, the campaign, docs (requirements, ADRs) and the dev container.</w:t>
      </w:r>
    </w:p>
    <w:p>
      <w:pPr>
        <w:pStyle w:val="Heading2"/>
      </w:pPr>
      <w:r>
        <w:t>M11. Schedule</w:t>
      </w:r>
    </w:p>
    <w:p>
      <w:r>
        <w:t>Week 9 is the first testing week, and CI arrives with it. Nothing runs end to end until weeks 7 and 8. There is no slack in twelve weeks for a solo project whose first week alone (PX4, Gazebo and ROS 2, possibly under WSL2) often overruns, and there is no list of what to drop. v2 starts CI in week 1, has a vertical slice (GPS fault detected, diagnosed and acted on) by week 4, keeps week 9 as a buffer, gives every week an exit check, and adds an explicit cut line and a risk register.</w:t>
      </w:r>
    </w:p>
    <w:p>
      <w:pPr>
        <w:pStyle w:val="Heading1"/>
      </w:pPr>
      <w:r>
        <w:t>6. Minor and editorial findings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630"/>
        <w:gridCol w:w="5796"/>
        <w:gridCol w:w="3654"/>
      </w:tblGrid>
      <w:tr>
        <w:trPr>
          <w:cantSplit/>
          <w:tblHeader/>
        </w:trPr>
        <w:tc>
          <w:tcPr>
            <w:tcW w:type="dxa" w:w="630"/>
            <w:shd w:val="clear" w:color="auto" w:fill="DCE6F2"/>
          </w:tcPr>
          <w:p>
            <w:pPr>
              <w:keepNext/>
              <w:spacing w:after="20" w:line="240" w:lineRule="auto"/>
            </w:pPr>
            <w:r>
              <w:rPr>
                <w:b/>
                <w:color w:val="1F3864"/>
                <w:sz w:val="17"/>
              </w:rPr>
              <w:t>ID</w:t>
            </w:r>
          </w:p>
        </w:tc>
        <w:tc>
          <w:tcPr>
            <w:tcW w:type="dxa" w:w="5796"/>
            <w:shd w:val="clear" w:color="auto" w:fill="DCE6F2"/>
          </w:tcPr>
          <w:p>
            <w:pPr>
              <w:keepNext/>
              <w:spacing w:after="20" w:line="240" w:lineRule="auto"/>
            </w:pPr>
            <w:r>
              <w:rPr>
                <w:b/>
                <w:color w:val="1F3864"/>
                <w:sz w:val="17"/>
              </w:rPr>
              <w:t>Finding</w:t>
            </w:r>
          </w:p>
        </w:tc>
        <w:tc>
          <w:tcPr>
            <w:tcW w:type="dxa" w:w="3654"/>
            <w:shd w:val="clear" w:color="auto" w:fill="DCE6F2"/>
          </w:tcPr>
          <w:p>
            <w:pPr>
              <w:keepNext/>
              <w:spacing w:after="20" w:line="240" w:lineRule="auto"/>
            </w:pPr>
            <w:r>
              <w:rPr>
                <w:b/>
                <w:color w:val="1F3864"/>
                <w:sz w:val="17"/>
              </w:rPr>
              <w:t>Fix in v2</w:t>
            </w:r>
          </w:p>
        </w:tc>
      </w:tr>
      <w:tr>
        <w:trPr>
          <w:cantSplit/>
        </w:trPr>
        <w:tc>
          <w:tcPr>
            <w:tcW w:type="dxa" w:w="630"/>
          </w:tcPr>
          <w:p>
            <w:pPr>
              <w:spacing w:after="20" w:line="240" w:lineRule="auto"/>
            </w:pPr>
            <w:r>
              <w:rPr>
                <w:b/>
                <w:sz w:val="17"/>
              </w:rPr>
              <w:t>m1</w:t>
            </w:r>
          </w:p>
        </w:tc>
        <w:tc>
          <w:tcPr>
            <w:tcW w:type="dxa" w:w="5796"/>
          </w:tcPr>
          <w:p>
            <w:pPr>
              <w:spacing w:after="20" w:line="240" w:lineRule="auto"/>
            </w:pPr>
            <w:r>
              <w:rPr>
                <w:sz w:val="17"/>
              </w:rPr>
              <w:t>The stack table pins no versions. PX4, px4_msgs and ROS 2 have to match: px4_msgs must use the firmware's message definitions or the translation node has to run. Missing: uXRCE-DDS agent, PX4 ROS 2 Interface Library, MAVSDK, colcon, clang-tidy, coverage, rosbag2/MCAP, PlotJuggler, dev container.</w:t>
            </w:r>
          </w:p>
        </w:tc>
        <w:tc>
          <w:tcPr>
            <w:tcW w:type="dxa" w:w="3654"/>
          </w:tcPr>
          <w:p>
            <w:pPr>
              <w:spacing w:after="20" w:line="240" w:lineRule="auto"/>
            </w:pPr>
            <w:r>
              <w:rPr>
                <w:sz w:val="17"/>
              </w:rPr>
              <w:t>Pinned stack: Ubuntu 24.04, PX4 v1.17, ROS 2 Jazzy, Gazebo Harmonic, plus the missing tools</w:t>
            </w:r>
          </w:p>
        </w:tc>
      </w:tr>
      <w:tr>
        <w:trPr>
          <w:cantSplit/>
        </w:trPr>
        <w:tc>
          <w:tcPr>
            <w:tcW w:type="dxa" w:w="630"/>
          </w:tcPr>
          <w:p>
            <w:pPr>
              <w:spacing w:after="20" w:line="240" w:lineRule="auto"/>
            </w:pPr>
            <w:r>
              <w:rPr>
                <w:b/>
                <w:sz w:val="17"/>
              </w:rPr>
              <w:t>m2</w:t>
            </w:r>
          </w:p>
        </w:tc>
        <w:tc>
          <w:tcPr>
            <w:tcW w:type="dxa" w:w="5796"/>
          </w:tcPr>
          <w:p>
            <w:pPr>
              <w:spacing w:after="20" w:line="240" w:lineRule="auto"/>
            </w:pPr>
            <w:r>
              <w:rPr>
                <w:sz w:val="17"/>
              </w:rPr>
              <w:t>"Laptop-only", but PX4 and ROS 2 are Linux-first and this review ran on Windows 11.</w:t>
            </w:r>
          </w:p>
        </w:tc>
        <w:tc>
          <w:tcPr>
            <w:tcW w:type="dxa" w:w="3654"/>
          </w:tcPr>
          <w:p>
            <w:pPr>
              <w:spacing w:after="20" w:line="240" w:lineRule="auto"/>
            </w:pPr>
            <w:r>
              <w:rPr>
                <w:sz w:val="17"/>
              </w:rPr>
              <w:t>WSL2 guidance: Linux filesystem, headless simulation, DDS inside one instance, dev container, dual-boot fallback</w:t>
            </w:r>
          </w:p>
        </w:tc>
      </w:tr>
      <w:tr>
        <w:trPr>
          <w:cantSplit/>
        </w:trPr>
        <w:tc>
          <w:tcPr>
            <w:tcW w:type="dxa" w:w="630"/>
          </w:tcPr>
          <w:p>
            <w:pPr>
              <w:spacing w:after="20" w:line="240" w:lineRule="auto"/>
            </w:pPr>
            <w:r>
              <w:rPr>
                <w:b/>
                <w:sz w:val="17"/>
              </w:rPr>
              <w:t>m3</w:t>
            </w:r>
          </w:p>
        </w:tc>
        <w:tc>
          <w:tcPr>
            <w:tcW w:type="dxa" w:w="5796"/>
          </w:tcPr>
          <w:p>
            <w:pPr>
              <w:spacing w:after="20" w:line="240" w:lineRule="auto"/>
            </w:pPr>
            <w:r>
              <w:rPr>
                <w:sz w:val="17"/>
              </w:rPr>
              <w:t>Section 13 asks for a new recorder. PX4 already writes ULog and rosbag2 already writes MCAP.</w:t>
            </w:r>
          </w:p>
        </w:tc>
        <w:tc>
          <w:tcPr>
            <w:tcW w:type="dxa" w:w="3654"/>
          </w:tcPr>
          <w:p>
            <w:pPr>
              <w:spacing w:after="20" w:line="240" w:lineRule="auto"/>
            </w:pPr>
            <w:r>
              <w:rPr>
                <w:sz w:val="17"/>
              </w:rPr>
              <w:t>Reuse both; add an event channel, the run manifest and a replay tool</w:t>
            </w:r>
          </w:p>
        </w:tc>
      </w:tr>
      <w:tr>
        <w:trPr>
          <w:cantSplit/>
        </w:trPr>
        <w:tc>
          <w:tcPr>
            <w:tcW w:type="dxa" w:w="630"/>
          </w:tcPr>
          <w:p>
            <w:pPr>
              <w:spacing w:after="20" w:line="240" w:lineRule="auto"/>
            </w:pPr>
            <w:r>
              <w:rPr>
                <w:b/>
                <w:sz w:val="17"/>
              </w:rPr>
              <w:t>m4</w:t>
            </w:r>
          </w:p>
        </w:tc>
        <w:tc>
          <w:tcPr>
            <w:tcW w:type="dxa" w:w="5796"/>
          </w:tcPr>
          <w:p>
            <w:pPr>
              <w:spacing w:after="20" w:line="240" w:lineRule="auto"/>
            </w:pPr>
            <w:r>
              <w:rPr>
                <w:sz w:val="17"/>
              </w:rPr>
              <w:t>CPU and jitter measured on a laptop that is also running a simulator say little about flight hardware.</w:t>
            </w:r>
          </w:p>
        </w:tc>
        <w:tc>
          <w:tcPr>
            <w:tcW w:type="dxa" w:w="3654"/>
          </w:tcPr>
          <w:p>
            <w:pPr>
              <w:spacing w:after="20" w:line="240" w:lineRule="auto"/>
            </w:pPr>
            <w:r>
              <w:rPr>
                <w:sz w:val="17"/>
              </w:rPr>
              <w:t>Host named with every number; wall-time deadline statistics</w:t>
            </w:r>
          </w:p>
        </w:tc>
      </w:tr>
      <w:tr>
        <w:trPr>
          <w:cantSplit/>
        </w:trPr>
        <w:tc>
          <w:tcPr>
            <w:tcW w:type="dxa" w:w="630"/>
          </w:tcPr>
          <w:p>
            <w:pPr>
              <w:spacing w:after="20" w:line="240" w:lineRule="auto"/>
            </w:pPr>
            <w:r>
              <w:rPr>
                <w:b/>
                <w:sz w:val="17"/>
              </w:rPr>
              <w:t>m5</w:t>
            </w:r>
          </w:p>
        </w:tc>
        <w:tc>
          <w:tcPr>
            <w:tcW w:type="dxa" w:w="5796"/>
          </w:tcPr>
          <w:p>
            <w:pPr>
              <w:spacing w:after="20" w:line="240" w:lineRule="auto"/>
            </w:pPr>
            <w:r>
              <w:rPr>
                <w:sz w:val="17"/>
              </w:rPr>
              <w:t>No guard against train/test leakage, no plan for evaluating unknown anomalies, no real data.</w:t>
            </w:r>
          </w:p>
        </w:tc>
        <w:tc>
          <w:tcPr>
            <w:tcW w:type="dxa" w:w="3654"/>
          </w:tcPr>
          <w:p>
            <w:pPr>
              <w:spacing w:after="20" w:line="240" w:lineRule="auto"/>
            </w:pPr>
            <w:r>
              <w:rPr>
                <w:sz w:val="17"/>
              </w:rPr>
              <w:t>Split by run and seed; leave one fault type out; ALFA real-flight dataset; run-time assurance framing (ASTM F3269)</w:t>
            </w:r>
          </w:p>
        </w:tc>
      </w:tr>
      <w:tr>
        <w:trPr>
          <w:cantSplit/>
        </w:trPr>
        <w:tc>
          <w:tcPr>
            <w:tcW w:type="dxa" w:w="630"/>
          </w:tcPr>
          <w:p>
            <w:pPr>
              <w:spacing w:after="20" w:line="240" w:lineRule="auto"/>
            </w:pPr>
            <w:r>
              <w:rPr>
                <w:b/>
                <w:sz w:val="17"/>
              </w:rPr>
              <w:t>m6</w:t>
            </w:r>
          </w:p>
        </w:tc>
        <w:tc>
          <w:tcPr>
            <w:tcW w:type="dxa" w:w="5796"/>
          </w:tcPr>
          <w:p>
            <w:pPr>
              <w:spacing w:after="20" w:line="240" w:lineRule="auto"/>
            </w:pPr>
            <w:r>
              <w:rPr>
                <w:sz w:val="17"/>
              </w:rPr>
              <w:t>The evidence trail is described but not defined as data. PX4 uses NED/FRD frames and ROS uses ENU/FLU.</w:t>
            </w:r>
          </w:p>
        </w:tc>
        <w:tc>
          <w:tcPr>
            <w:tcW w:type="dxa" w:w="3654"/>
          </w:tcPr>
          <w:p>
            <w:pPr>
              <w:spacing w:after="20" w:line="240" w:lineRule="auto"/>
            </w:pPr>
            <w:r>
              <w:rPr>
                <w:sz w:val="17"/>
              </w:rPr>
              <w:t>Diagnosis and Evidence message definitions; frame-conversion unit tests</w:t>
            </w:r>
          </w:p>
        </w:tc>
      </w:tr>
      <w:tr>
        <w:trPr>
          <w:cantSplit/>
        </w:trPr>
        <w:tc>
          <w:tcPr>
            <w:tcW w:type="dxa" w:w="630"/>
          </w:tcPr>
          <w:p>
            <w:pPr>
              <w:spacing w:after="20" w:line="240" w:lineRule="auto"/>
            </w:pPr>
            <w:r>
              <w:rPr>
                <w:b/>
                <w:sz w:val="17"/>
              </w:rPr>
              <w:t>m7</w:t>
            </w:r>
          </w:p>
        </w:tc>
        <w:tc>
          <w:tcPr>
            <w:tcW w:type="dxa" w:w="5796"/>
          </w:tcPr>
          <w:p>
            <w:pPr>
              <w:spacing w:after="20" w:line="240" w:lineRule="auto"/>
            </w:pPr>
            <w:r>
              <w:rPr>
                <w:sz w:val="17"/>
              </w:rPr>
              <w:t>Nothing stops thresholds being tuned on the same scenarios used to report results.</w:t>
            </w:r>
          </w:p>
        </w:tc>
        <w:tc>
          <w:tcPr>
            <w:tcW w:type="dxa" w:w="3654"/>
          </w:tcPr>
          <w:p>
            <w:pPr>
              <w:spacing w:after="20" w:line="240" w:lineRule="auto"/>
            </w:pPr>
            <w:r>
              <w:rPr>
                <w:sz w:val="17"/>
              </w:rPr>
              <w:t>Tuning and evaluation split; results reported on held-out seeds only</w:t>
            </w:r>
          </w:p>
        </w:tc>
      </w:tr>
      <w:tr>
        <w:trPr>
          <w:cantSplit/>
        </w:trPr>
        <w:tc>
          <w:tcPr>
            <w:tcW w:type="dxa" w:w="630"/>
          </w:tcPr>
          <w:p>
            <w:pPr>
              <w:spacing w:after="20" w:line="240" w:lineRule="auto"/>
            </w:pPr>
            <w:r>
              <w:rPr>
                <w:b/>
                <w:sz w:val="17"/>
              </w:rPr>
              <w:t>m8</w:t>
            </w:r>
          </w:p>
        </w:tc>
        <w:tc>
          <w:tcPr>
            <w:tcW w:type="dxa" w:w="5796"/>
          </w:tcPr>
          <w:p>
            <w:pPr>
              <w:spacing w:after="20" w:line="240" w:lineRule="auto"/>
            </w:pPr>
            <w:r>
              <w:rPr>
                <w:sz w:val="17"/>
              </w:rPr>
              <w:t>No risk register; acronyms (SITL, HIL, EKF, FDIR) never defined.</w:t>
            </w:r>
          </w:p>
        </w:tc>
        <w:tc>
          <w:tcPr>
            <w:tcW w:type="dxa" w:w="3654"/>
          </w:tcPr>
          <w:p>
            <w:pPr>
              <w:spacing w:after="20" w:line="240" w:lineRule="auto"/>
            </w:pPr>
            <w:r>
              <w:rPr>
                <w:sz w:val="17"/>
              </w:rPr>
              <w:t>Risk register and glossary added</w:t>
            </w:r>
          </w:p>
        </w:tc>
      </w:tr>
      <w:tr>
        <w:trPr>
          <w:cantSplit/>
        </w:trPr>
        <w:tc>
          <w:tcPr>
            <w:tcW w:type="dxa" w:w="630"/>
          </w:tcPr>
          <w:p>
            <w:pPr>
              <w:spacing w:after="20" w:line="240" w:lineRule="auto"/>
            </w:pPr>
            <w:r>
              <w:rPr>
                <w:b/>
                <w:sz w:val="17"/>
              </w:rPr>
              <w:t>E1</w:t>
            </w:r>
          </w:p>
        </w:tc>
        <w:tc>
          <w:tcPr>
            <w:tcW w:type="dxa" w:w="5796"/>
          </w:tcPr>
          <w:p>
            <w:pPr>
              <w:spacing w:after="20" w:line="240" w:lineRule="auto"/>
            </w:pPr>
            <w:r>
              <w:rPr>
                <w:sz w:val="17"/>
              </w:rPr>
              <w:t>The section 24 list continues numbering from section 7, so references run 8 to 17.</w:t>
            </w:r>
          </w:p>
        </w:tc>
        <w:tc>
          <w:tcPr>
            <w:tcW w:type="dxa" w:w="3654"/>
          </w:tcPr>
          <w:p>
            <w:pPr>
              <w:spacing w:after="20" w:line="240" w:lineRule="auto"/>
            </w:pPr>
            <w:r>
              <w:rPr>
                <w:sz w:val="17"/>
              </w:rPr>
              <w:t>Numbering restarts at 1</w:t>
            </w:r>
          </w:p>
        </w:tc>
      </w:tr>
      <w:tr>
        <w:trPr>
          <w:cantSplit/>
        </w:trPr>
        <w:tc>
          <w:tcPr>
            <w:tcW w:type="dxa" w:w="630"/>
          </w:tcPr>
          <w:p>
            <w:pPr>
              <w:spacing w:after="20" w:line="240" w:lineRule="auto"/>
            </w:pPr>
            <w:r>
              <w:rPr>
                <w:b/>
                <w:sz w:val="17"/>
              </w:rPr>
              <w:t>E2</w:t>
            </w:r>
          </w:p>
        </w:tc>
        <w:tc>
          <w:tcPr>
            <w:tcW w:type="dxa" w:w="5796"/>
          </w:tcPr>
          <w:p>
            <w:pPr>
              <w:spacing w:after="20" w:line="240" w:lineRule="auto"/>
            </w:pPr>
            <w:r>
              <w:rPr>
                <w:sz w:val="17"/>
              </w:rPr>
              <w:t>The 12-week table breaks mid-row at a page boundary; header rows have no styling and don't repeat.</w:t>
            </w:r>
          </w:p>
        </w:tc>
        <w:tc>
          <w:tcPr>
            <w:tcW w:type="dxa" w:w="3654"/>
          </w:tcPr>
          <w:p>
            <w:pPr>
              <w:spacing w:after="20" w:line="240" w:lineRule="auto"/>
            </w:pPr>
            <w:r>
              <w:rPr>
                <w:sz w:val="17"/>
              </w:rPr>
              <w:t>Styled header rows that repeat; rows can't split</w:t>
            </w:r>
          </w:p>
        </w:tc>
      </w:tr>
      <w:tr>
        <w:trPr>
          <w:cantSplit/>
        </w:trPr>
        <w:tc>
          <w:tcPr>
            <w:tcW w:type="dxa" w:w="630"/>
          </w:tcPr>
          <w:p>
            <w:pPr>
              <w:spacing w:after="20" w:line="240" w:lineRule="auto"/>
            </w:pPr>
            <w:r>
              <w:rPr>
                <w:b/>
                <w:sz w:val="17"/>
              </w:rPr>
              <w:t>E3</w:t>
            </w:r>
          </w:p>
        </w:tc>
        <w:tc>
          <w:tcPr>
            <w:tcW w:type="dxa" w:w="5796"/>
          </w:tcPr>
          <w:p>
            <w:pPr>
              <w:spacing w:after="20" w:line="240" w:lineRule="auto"/>
            </w:pPr>
            <w:r>
              <w:rPr>
                <w:sz w:val="17"/>
              </w:rPr>
              <w:t>The body font is Aptos, which isn't installed on the review machine, so Word renders the text in a fallback serif.</w:t>
            </w:r>
          </w:p>
        </w:tc>
        <w:tc>
          <w:tcPr>
            <w:tcW w:type="dxa" w:w="3654"/>
          </w:tcPr>
          <w:p>
            <w:pPr>
              <w:spacing w:after="20" w:line="240" w:lineRule="auto"/>
            </w:pPr>
            <w:r>
              <w:rPr>
                <w:sz w:val="17"/>
              </w:rPr>
              <w:t>Calibri throughout</w:t>
            </w:r>
          </w:p>
        </w:tc>
      </w:tr>
      <w:tr>
        <w:trPr>
          <w:cantSplit/>
        </w:trPr>
        <w:tc>
          <w:tcPr>
            <w:tcW w:type="dxa" w:w="630"/>
          </w:tcPr>
          <w:p>
            <w:pPr>
              <w:spacing w:after="20" w:line="240" w:lineRule="auto"/>
            </w:pPr>
            <w:r>
              <w:rPr>
                <w:b/>
                <w:sz w:val="17"/>
              </w:rPr>
              <w:t>E4</w:t>
            </w:r>
          </w:p>
        </w:tc>
        <w:tc>
          <w:tcPr>
            <w:tcW w:type="dxa" w:w="5796"/>
          </w:tcPr>
          <w:p>
            <w:pPr>
              <w:spacing w:after="20" w:line="240" w:lineRule="auto"/>
            </w:pPr>
            <w:r>
              <w:rPr>
                <w:sz w:val="17"/>
              </w:rPr>
              <w:t>No version, date or page numbers.</w:t>
            </w:r>
          </w:p>
        </w:tc>
        <w:tc>
          <w:tcPr>
            <w:tcW w:type="dxa" w:w="3654"/>
          </w:tcPr>
          <w:p>
            <w:pPr>
              <w:spacing w:after="20" w:line="240" w:lineRule="auto"/>
            </w:pPr>
            <w:r>
              <w:rPr>
                <w:sz w:val="17"/>
              </w:rPr>
              <w:t>Version line on the title block; "Page X of Y" footer</w:t>
            </w:r>
          </w:p>
        </w:tc>
      </w:tr>
      <w:tr>
        <w:trPr>
          <w:cantSplit/>
        </w:trPr>
        <w:tc>
          <w:tcPr>
            <w:tcW w:type="dxa" w:w="630"/>
          </w:tcPr>
          <w:p>
            <w:pPr>
              <w:spacing w:after="20" w:line="240" w:lineRule="auto"/>
            </w:pPr>
            <w:r>
              <w:rPr>
                <w:b/>
                <w:sz w:val="17"/>
              </w:rPr>
              <w:t>E5</w:t>
            </w:r>
          </w:p>
        </w:tc>
        <w:tc>
          <w:tcPr>
            <w:tcW w:type="dxa" w:w="5796"/>
          </w:tcPr>
          <w:p>
            <w:pPr>
              <w:spacing w:after="20" w:line="240" w:lineRule="auto"/>
            </w:pPr>
            <w:r>
              <w:rPr>
                <w:sz w:val="17"/>
              </w:rPr>
              <w:t>fprime.jpl.nasa.gov (references 4 and 5) and software.nasa.gov (reference 6) didn't connect from the review machine. Possibly local; the other seven links returned HTTP 200.</w:t>
            </w:r>
          </w:p>
        </w:tc>
        <w:tc>
          <w:tcPr>
            <w:tcW w:type="dxa" w:w="3654"/>
          </w:tcPr>
          <w:p>
            <w:pPr>
              <w:spacing w:after="20" w:line="240" w:lineRule="auto"/>
            </w:pPr>
            <w:r>
              <w:rPr>
                <w:sz w:val="17"/>
              </w:rPr>
              <w:t>Flagged in v2 for a recheck before publishing</w:t>
            </w:r>
          </w:p>
        </w:tc>
      </w:tr>
      <w:tr>
        <w:trPr>
          <w:cantSplit/>
        </w:trPr>
        <w:tc>
          <w:tcPr>
            <w:tcW w:type="dxa" w:w="630"/>
          </w:tcPr>
          <w:p>
            <w:pPr>
              <w:spacing w:after="20" w:line="240" w:lineRule="auto"/>
            </w:pPr>
            <w:r>
              <w:rPr>
                <w:b/>
                <w:sz w:val="17"/>
              </w:rPr>
              <w:t>E6</w:t>
            </w:r>
          </w:p>
        </w:tc>
        <w:tc>
          <w:tcPr>
            <w:tcW w:type="dxa" w:w="5796"/>
          </w:tcPr>
          <w:p>
            <w:pPr>
              <w:spacing w:after="20" w:line="240" w:lineRule="auto"/>
            </w:pPr>
            <w:r>
              <w:rPr>
                <w:sz w:val="17"/>
              </w:rPr>
              <w:t>Sections 1, 14 and 17 speak to you directly ("You already have...", "Use your existing web skills"). Fine in a private plan.</w:t>
            </w:r>
          </w:p>
        </w:tc>
        <w:tc>
          <w:tcPr>
            <w:tcW w:type="dxa" w:w="3654"/>
          </w:tcPr>
          <w:p>
            <w:pPr>
              <w:spacing w:after="20" w:line="240" w:lineRule="auto"/>
            </w:pPr>
            <w:r>
              <w:rPr>
                <w:sz w:val="17"/>
              </w:rPr>
              <w:t>Kept in v2; strip it from anything public (README, case study)</w:t>
            </w:r>
          </w:p>
        </w:tc>
      </w:tr>
    </w:tbl>
    <w:p>
      <w:pPr>
        <w:spacing w:after="40"/>
      </w:pPr>
    </w:p>
    <w:p>
      <w:pPr>
        <w:pStyle w:val="Heading1"/>
      </w:pPr>
      <w:r>
        <w:t>7. What to keep</w:t>
      </w:r>
    </w:p>
    <w:p>
      <w:pPr>
        <w:pStyle w:val="ListBullet"/>
      </w:pPr>
      <w:r>
        <w:t>The hook and the four-layer concept.</w:t>
      </w:r>
    </w:p>
    <w:p>
      <w:pPr>
        <w:pStyle w:val="ListBullet"/>
      </w:pPr>
      <w:r>
        <w:t>The GPS-failure flagship demo. v2 only adds the drift case and the baseline comparison.</w:t>
      </w:r>
    </w:p>
    <w:p>
      <w:pPr>
        <w:pStyle w:val="ListBullet"/>
      </w:pPr>
      <w:r>
        <w:t>The explainable-diagnosis idea. v2 turns it into a message format.</w:t>
      </w:r>
    </w:p>
    <w:p>
      <w:pPr>
        <w:pStyle w:val="ListBullet"/>
      </w:pPr>
      <w:r>
        <w:t>Section 23 on claims and constraints. v2 keeps it word for word and adds three lines.</w:t>
      </w:r>
    </w:p>
    <w:p>
      <w:pPr>
        <w:pStyle w:val="ListBullet"/>
      </w:pPr>
      <w:r>
        <w:t>The stance that AI is optional and the deterministic core decides. It's the right call, and v2 builds on it.</w:t>
      </w:r>
    </w:p>
    <w:p>
      <w:pPr>
        <w:pStyle w:val="ListBullet"/>
      </w:pPr>
      <w:r>
        <w:t>The zero-cost, simulation-first strategy, and the advice not to buy a drone yet.</w:t>
      </w:r>
    </w:p>
    <w:p>
      <w:pPr>
        <w:pStyle w:val="Heading1"/>
      </w:pPr>
      <w:r>
        <w:t>8. Reference link check</w:t>
      </w:r>
    </w:p>
    <w:p>
      <w:pPr>
        <w:keepNext/>
      </w:pPr>
      <w:r>
        <w:t>Tested from the review machine on 11 September 2026 with an HTTP client, following redirects.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756"/>
        <w:gridCol w:w="6552"/>
        <w:gridCol w:w="2772"/>
      </w:tblGrid>
      <w:tr>
        <w:trPr>
          <w:cantSplit/>
          <w:tblHeader/>
        </w:trPr>
        <w:tc>
          <w:tcPr>
            <w:tcW w:type="dxa" w:w="756"/>
            <w:shd w:val="clear" w:color="auto" w:fill="DCE6F2"/>
          </w:tcPr>
          <w:p>
            <w:pPr>
              <w:keepNext/>
              <w:spacing w:after="20" w:line="240" w:lineRule="auto"/>
            </w:pPr>
            <w:r>
              <w:rPr>
                <w:b/>
                <w:color w:val="1F3864"/>
                <w:sz w:val="18"/>
              </w:rPr>
              <w:t>v1 #</w:t>
            </w:r>
          </w:p>
        </w:tc>
        <w:tc>
          <w:tcPr>
            <w:tcW w:type="dxa" w:w="6552"/>
            <w:shd w:val="clear" w:color="auto" w:fill="DCE6F2"/>
          </w:tcPr>
          <w:p>
            <w:pPr>
              <w:keepNext/>
              <w:spacing w:after="20" w:line="240" w:lineRule="auto"/>
            </w:pPr>
            <w:r>
              <w:rPr>
                <w:b/>
                <w:color w:val="1F3864"/>
                <w:sz w:val="18"/>
              </w:rPr>
              <w:t>Reference</w:t>
            </w:r>
          </w:p>
        </w:tc>
        <w:tc>
          <w:tcPr>
            <w:tcW w:type="dxa" w:w="2772"/>
            <w:shd w:val="clear" w:color="auto" w:fill="DCE6F2"/>
          </w:tcPr>
          <w:p>
            <w:pPr>
              <w:keepNext/>
              <w:spacing w:after="20" w:line="240" w:lineRule="auto"/>
            </w:pPr>
            <w:r>
              <w:rPr>
                <w:b/>
                <w:color w:val="1F3864"/>
                <w:sz w:val="18"/>
              </w:rPr>
              <w:t>Result</w:t>
            </w:r>
          </w:p>
        </w:tc>
      </w:tr>
      <w:tr>
        <w:trPr>
          <w:cantSplit/>
        </w:trPr>
        <w:tc>
          <w:tcPr>
            <w:tcW w:type="dxa" w:w="756"/>
          </w:tcPr>
          <w:p>
            <w:pPr>
              <w:keepNext/>
              <w:spacing w:after="20" w:line="240" w:lineRule="auto"/>
            </w:pPr>
            <w:r>
              <w:rPr>
                <w:sz w:val="18"/>
              </w:rPr>
              <w:t>1</w:t>
            </w:r>
          </w:p>
        </w:tc>
        <w:tc>
          <w:tcPr>
            <w:tcW w:type="dxa" w:w="6552"/>
          </w:tcPr>
          <w:p>
            <w:pPr>
              <w:keepNext/>
              <w:spacing w:after="20" w:line="240" w:lineRule="auto"/>
            </w:pPr>
            <w:r>
              <w:rPr>
                <w:sz w:val="18"/>
              </w:rPr>
              <w:t>PX4 Documentation: Simulation, SITL and ROS 2</w:t>
            </w:r>
          </w:p>
        </w:tc>
        <w:tc>
          <w:tcPr>
            <w:tcW w:type="dxa" w:w="2772"/>
            <w:shd w:val="clear" w:color="auto" w:fill="E2EFDA"/>
          </w:tcPr>
          <w:p>
            <w:pPr>
              <w:keepNext/>
              <w:spacing w:after="20" w:line="240" w:lineRule="auto"/>
            </w:pPr>
            <w:r>
              <w:rPr>
                <w:sz w:val="18"/>
              </w:rPr>
              <w:t>200 OK</w:t>
            </w:r>
          </w:p>
        </w:tc>
      </w:tr>
      <w:tr>
        <w:trPr>
          <w:cantSplit/>
        </w:trPr>
        <w:tc>
          <w:tcPr>
            <w:tcW w:type="dxa" w:w="756"/>
          </w:tcPr>
          <w:p>
            <w:pPr>
              <w:keepNext/>
              <w:spacing w:after="20" w:line="240" w:lineRule="auto"/>
            </w:pPr>
            <w:r>
              <w:rPr>
                <w:sz w:val="18"/>
              </w:rPr>
              <w:t>2</w:t>
            </w:r>
          </w:p>
        </w:tc>
        <w:tc>
          <w:tcPr>
            <w:tcW w:type="dxa" w:w="6552"/>
          </w:tcPr>
          <w:p>
            <w:pPr>
              <w:keepNext/>
              <w:spacing w:after="20" w:line="240" w:lineRule="auto"/>
            </w:pPr>
            <w:r>
              <w:rPr>
                <w:sz w:val="18"/>
              </w:rPr>
              <w:t>PX4 Documentation: Gazebo simulation</w:t>
            </w:r>
          </w:p>
        </w:tc>
        <w:tc>
          <w:tcPr>
            <w:tcW w:type="dxa" w:w="2772"/>
            <w:shd w:val="clear" w:color="auto" w:fill="E2EFDA"/>
          </w:tcPr>
          <w:p>
            <w:pPr>
              <w:keepNext/>
              <w:spacing w:after="20" w:line="240" w:lineRule="auto"/>
            </w:pPr>
            <w:r>
              <w:rPr>
                <w:sz w:val="18"/>
              </w:rPr>
              <w:t>200 OK</w:t>
            </w:r>
          </w:p>
        </w:tc>
      </w:tr>
      <w:tr>
        <w:trPr>
          <w:cantSplit/>
        </w:trPr>
        <w:tc>
          <w:tcPr>
            <w:tcW w:type="dxa" w:w="756"/>
          </w:tcPr>
          <w:p>
            <w:pPr>
              <w:keepNext/>
              <w:spacing w:after="20" w:line="240" w:lineRule="auto"/>
            </w:pPr>
            <w:r>
              <w:rPr>
                <w:sz w:val="18"/>
              </w:rPr>
              <w:t>3</w:t>
            </w:r>
          </w:p>
        </w:tc>
        <w:tc>
          <w:tcPr>
            <w:tcW w:type="dxa" w:w="6552"/>
          </w:tcPr>
          <w:p>
            <w:pPr>
              <w:keepNext/>
              <w:spacing w:after="20" w:line="240" w:lineRule="auto"/>
            </w:pPr>
            <w:r>
              <w:rPr>
                <w:sz w:val="18"/>
              </w:rPr>
              <w:t>PX4 Documentation: Hardware-in-the-loop</w:t>
            </w:r>
          </w:p>
        </w:tc>
        <w:tc>
          <w:tcPr>
            <w:tcW w:type="dxa" w:w="2772"/>
            <w:shd w:val="clear" w:color="auto" w:fill="E2EFDA"/>
          </w:tcPr>
          <w:p>
            <w:pPr>
              <w:keepNext/>
              <w:spacing w:after="20" w:line="240" w:lineRule="auto"/>
            </w:pPr>
            <w:r>
              <w:rPr>
                <w:sz w:val="18"/>
              </w:rPr>
              <w:t>200 OK</w:t>
            </w:r>
          </w:p>
        </w:tc>
      </w:tr>
      <w:tr>
        <w:trPr>
          <w:cantSplit/>
        </w:trPr>
        <w:tc>
          <w:tcPr>
            <w:tcW w:type="dxa" w:w="756"/>
          </w:tcPr>
          <w:p>
            <w:pPr>
              <w:keepNext/>
              <w:spacing w:after="20" w:line="240" w:lineRule="auto"/>
            </w:pPr>
            <w:r>
              <w:rPr>
                <w:sz w:val="18"/>
              </w:rPr>
              <w:t>4</w:t>
            </w:r>
          </w:p>
        </w:tc>
        <w:tc>
          <w:tcPr>
            <w:tcW w:type="dxa" w:w="6552"/>
          </w:tcPr>
          <w:p>
            <w:pPr>
              <w:keepNext/>
              <w:spacing w:after="20" w:line="240" w:lineRule="auto"/>
            </w:pPr>
            <w:r>
              <w:rPr>
                <w:sz w:val="18"/>
              </w:rPr>
              <w:t>NASA F´: Getting started</w:t>
            </w:r>
          </w:p>
        </w:tc>
        <w:tc>
          <w:tcPr>
            <w:tcW w:type="dxa" w:w="2772"/>
            <w:shd w:val="clear" w:color="auto" w:fill="F8D7D3"/>
          </w:tcPr>
          <w:p>
            <w:pPr>
              <w:keepNext/>
              <w:spacing w:after="20" w:line="240" w:lineRule="auto"/>
            </w:pPr>
            <w:r>
              <w:rPr>
                <w:sz w:val="18"/>
              </w:rPr>
              <w:t>Could not connect</w:t>
            </w:r>
          </w:p>
        </w:tc>
      </w:tr>
      <w:tr>
        <w:trPr>
          <w:cantSplit/>
        </w:trPr>
        <w:tc>
          <w:tcPr>
            <w:tcW w:type="dxa" w:w="756"/>
          </w:tcPr>
          <w:p>
            <w:pPr>
              <w:keepNext/>
              <w:spacing w:after="20" w:line="240" w:lineRule="auto"/>
            </w:pPr>
            <w:r>
              <w:rPr>
                <w:sz w:val="18"/>
              </w:rPr>
              <w:t>5</w:t>
            </w:r>
          </w:p>
        </w:tc>
        <w:tc>
          <w:tcPr>
            <w:tcW w:type="dxa" w:w="6552"/>
          </w:tcPr>
          <w:p>
            <w:pPr>
              <w:keepNext/>
              <w:spacing w:after="20" w:line="240" w:lineRule="auto"/>
            </w:pPr>
            <w:r>
              <w:rPr>
                <w:sz w:val="18"/>
              </w:rPr>
              <w:t>NASA F´: Unit and integration testing (v4.0.0)</w:t>
            </w:r>
          </w:p>
        </w:tc>
        <w:tc>
          <w:tcPr>
            <w:tcW w:type="dxa" w:w="2772"/>
            <w:shd w:val="clear" w:color="auto" w:fill="F8D7D3"/>
          </w:tcPr>
          <w:p>
            <w:pPr>
              <w:keepNext/>
              <w:spacing w:after="20" w:line="240" w:lineRule="auto"/>
            </w:pPr>
            <w:r>
              <w:rPr>
                <w:sz w:val="18"/>
              </w:rPr>
              <w:t>Could not connect</w:t>
            </w:r>
          </w:p>
        </w:tc>
      </w:tr>
      <w:tr>
        <w:trPr>
          <w:cantSplit/>
        </w:trPr>
        <w:tc>
          <w:tcPr>
            <w:tcW w:type="dxa" w:w="756"/>
          </w:tcPr>
          <w:p>
            <w:pPr>
              <w:keepNext/>
              <w:spacing w:after="20" w:line="240" w:lineRule="auto"/>
            </w:pPr>
            <w:r>
              <w:rPr>
                <w:sz w:val="18"/>
              </w:rPr>
              <w:t>6</w:t>
            </w:r>
          </w:p>
        </w:tc>
        <w:tc>
          <w:tcPr>
            <w:tcW w:type="dxa" w:w="6552"/>
          </w:tcPr>
          <w:p>
            <w:pPr>
              <w:keepNext/>
              <w:spacing w:after="20" w:line="240" w:lineRule="auto"/>
            </w:pPr>
            <w:r>
              <w:rPr>
                <w:sz w:val="18"/>
              </w:rPr>
              <w:t>NASA cFS (software.nasa.gov)</w:t>
            </w:r>
          </w:p>
        </w:tc>
        <w:tc>
          <w:tcPr>
            <w:tcW w:type="dxa" w:w="2772"/>
            <w:shd w:val="clear" w:color="auto" w:fill="F8D7D3"/>
          </w:tcPr>
          <w:p>
            <w:pPr>
              <w:keepNext/>
              <w:spacing w:after="20" w:line="240" w:lineRule="auto"/>
            </w:pPr>
            <w:r>
              <w:rPr>
                <w:sz w:val="18"/>
              </w:rPr>
              <w:t>DNS lookup failed</w:t>
            </w:r>
          </w:p>
        </w:tc>
      </w:tr>
      <w:tr>
        <w:trPr>
          <w:cantSplit/>
        </w:trPr>
        <w:tc>
          <w:tcPr>
            <w:tcW w:type="dxa" w:w="756"/>
          </w:tcPr>
          <w:p>
            <w:pPr>
              <w:keepNext/>
              <w:spacing w:after="20" w:line="240" w:lineRule="auto"/>
            </w:pPr>
            <w:r>
              <w:rPr>
                <w:sz w:val="18"/>
              </w:rPr>
              <w:t>7</w:t>
            </w:r>
          </w:p>
        </w:tc>
        <w:tc>
          <w:tcPr>
            <w:tcW w:type="dxa" w:w="6552"/>
          </w:tcPr>
          <w:p>
            <w:pPr>
              <w:keepNext/>
              <w:spacing w:after="20" w:line="240" w:lineRule="auto"/>
            </w:pPr>
            <w:r>
              <w:rPr>
                <w:sz w:val="18"/>
              </w:rPr>
              <w:t>NASA TechPort project 102896</w:t>
            </w:r>
          </w:p>
        </w:tc>
        <w:tc>
          <w:tcPr>
            <w:tcW w:type="dxa" w:w="2772"/>
            <w:shd w:val="clear" w:color="auto" w:fill="E2EFDA"/>
          </w:tcPr>
          <w:p>
            <w:pPr>
              <w:keepNext/>
              <w:spacing w:after="20" w:line="240" w:lineRule="auto"/>
            </w:pPr>
            <w:r>
              <w:rPr>
                <w:sz w:val="18"/>
              </w:rPr>
              <w:t>200 OK</w:t>
            </w:r>
          </w:p>
        </w:tc>
      </w:tr>
      <w:tr>
        <w:trPr>
          <w:cantSplit/>
        </w:trPr>
        <w:tc>
          <w:tcPr>
            <w:tcW w:type="dxa" w:w="756"/>
          </w:tcPr>
          <w:p>
            <w:pPr>
              <w:keepNext/>
              <w:spacing w:after="20" w:line="240" w:lineRule="auto"/>
            </w:pPr>
            <w:r>
              <w:rPr>
                <w:sz w:val="18"/>
              </w:rPr>
              <w:t>8</w:t>
            </w:r>
          </w:p>
        </w:tc>
        <w:tc>
          <w:tcPr>
            <w:tcW w:type="dxa" w:w="6552"/>
          </w:tcPr>
          <w:p>
            <w:pPr>
              <w:keepNext/>
              <w:spacing w:after="20" w:line="240" w:lineRule="auto"/>
            </w:pPr>
            <w:r>
              <w:rPr>
                <w:sz w:val="18"/>
              </w:rPr>
              <w:t>NASA ISAAC</w:t>
            </w:r>
          </w:p>
        </w:tc>
        <w:tc>
          <w:tcPr>
            <w:tcW w:type="dxa" w:w="2772"/>
            <w:shd w:val="clear" w:color="auto" w:fill="E2EFDA"/>
          </w:tcPr>
          <w:p>
            <w:pPr>
              <w:keepNext/>
              <w:spacing w:after="20" w:line="240" w:lineRule="auto"/>
            </w:pPr>
            <w:r>
              <w:rPr>
                <w:sz w:val="18"/>
              </w:rPr>
              <w:t>200 OK</w:t>
            </w:r>
          </w:p>
        </w:tc>
      </w:tr>
      <w:tr>
        <w:trPr>
          <w:cantSplit/>
        </w:trPr>
        <w:tc>
          <w:tcPr>
            <w:tcW w:type="dxa" w:w="756"/>
          </w:tcPr>
          <w:p>
            <w:pPr>
              <w:keepNext/>
              <w:spacing w:after="20" w:line="240" w:lineRule="auto"/>
            </w:pPr>
            <w:r>
              <w:rPr>
                <w:sz w:val="18"/>
              </w:rPr>
              <w:t>9</w:t>
            </w:r>
          </w:p>
        </w:tc>
        <w:tc>
          <w:tcPr>
            <w:tcW w:type="dxa" w:w="6552"/>
          </w:tcPr>
          <w:p>
            <w:pPr>
              <w:keepNext/>
              <w:spacing w:after="20" w:line="240" w:lineRule="auto"/>
            </w:pPr>
            <w:r>
              <w:rPr>
                <w:sz w:val="18"/>
              </w:rPr>
              <w:t>ECSS-E-ST-40C Rev.1</w:t>
            </w:r>
          </w:p>
        </w:tc>
        <w:tc>
          <w:tcPr>
            <w:tcW w:type="dxa" w:w="2772"/>
            <w:shd w:val="clear" w:color="auto" w:fill="E2EFDA"/>
          </w:tcPr>
          <w:p>
            <w:pPr>
              <w:keepNext/>
              <w:spacing w:after="20" w:line="240" w:lineRule="auto"/>
            </w:pPr>
            <w:r>
              <w:rPr>
                <w:sz w:val="18"/>
              </w:rPr>
              <w:t>200 OK</w:t>
            </w:r>
          </w:p>
        </w:tc>
      </w:tr>
      <w:tr>
        <w:trPr>
          <w:cantSplit/>
        </w:trPr>
        <w:tc>
          <w:tcPr>
            <w:tcW w:type="dxa" w:w="756"/>
          </w:tcPr>
          <w:p>
            <w:pPr>
              <w:spacing w:after="20" w:line="240" w:lineRule="auto"/>
            </w:pPr>
            <w:r>
              <w:rPr>
                <w:sz w:val="18"/>
              </w:rPr>
              <w:t>10</w:t>
            </w:r>
          </w:p>
        </w:tc>
        <w:tc>
          <w:tcPr>
            <w:tcW w:type="dxa" w:w="6552"/>
          </w:tcPr>
          <w:p>
            <w:pPr>
              <w:spacing w:after="20" w:line="240" w:lineRule="auto"/>
            </w:pPr>
            <w:r>
              <w:rPr>
                <w:sz w:val="18"/>
              </w:rPr>
              <w:t>ECSS-E-ST-40-07C Rev.1</w:t>
            </w:r>
          </w:p>
        </w:tc>
        <w:tc>
          <w:tcPr>
            <w:tcW w:type="dxa" w:w="2772"/>
            <w:shd w:val="clear" w:color="auto" w:fill="E2EFDA"/>
          </w:tcPr>
          <w:p>
            <w:pPr>
              <w:spacing w:after="20" w:line="240" w:lineRule="auto"/>
            </w:pPr>
            <w:r>
              <w:rPr>
                <w:sz w:val="18"/>
              </w:rPr>
              <w:t>200 OK</w:t>
            </w:r>
          </w:p>
        </w:tc>
      </w:tr>
    </w:tbl>
    <w:p>
      <w:pPr>
        <w:spacing w:after="40"/>
      </w:pPr>
    </w:p>
    <w:p>
      <w:pPr>
        <w:pStyle w:val="Heading1"/>
      </w:pPr>
      <w:r>
        <w:t>9. Facts checked against current PX4 documentation</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7056"/>
        <w:gridCol w:w="3024"/>
      </w:tblGrid>
      <w:tr>
        <w:trPr>
          <w:cantSplit/>
          <w:tblHeader/>
        </w:trPr>
        <w:tc>
          <w:tcPr>
            <w:tcW w:type="dxa" w:w="7056"/>
            <w:shd w:val="clear" w:color="auto" w:fill="DCE6F2"/>
          </w:tcPr>
          <w:p>
            <w:pPr>
              <w:keepNext/>
              <w:spacing w:after="20" w:line="240" w:lineRule="auto"/>
            </w:pPr>
            <w:r>
              <w:rPr>
                <w:b/>
                <w:color w:val="1F3864"/>
                <w:sz w:val="17"/>
              </w:rPr>
              <w:t>Claim used in v2</w:t>
            </w:r>
          </w:p>
        </w:tc>
        <w:tc>
          <w:tcPr>
            <w:tcW w:type="dxa" w:w="3024"/>
            <w:shd w:val="clear" w:color="auto" w:fill="DCE6F2"/>
          </w:tcPr>
          <w:p>
            <w:pPr>
              <w:keepNext/>
              <w:spacing w:after="20" w:line="240" w:lineRule="auto"/>
            </w:pPr>
            <w:r>
              <w:rPr>
                <w:b/>
                <w:color w:val="1F3864"/>
                <w:sz w:val="17"/>
              </w:rPr>
              <w:t>PX4 docs page</w:t>
            </w:r>
          </w:p>
        </w:tc>
      </w:tr>
      <w:tr>
        <w:trPr>
          <w:cantSplit/>
        </w:trPr>
        <w:tc>
          <w:tcPr>
            <w:tcW w:type="dxa" w:w="7056"/>
          </w:tcPr>
          <w:p>
            <w:pPr>
              <w:keepNext/>
              <w:spacing w:after="20" w:line="240" w:lineRule="auto"/>
            </w:pPr>
            <w:r>
              <w:rPr>
                <w:sz w:val="17"/>
              </w:rPr>
              <w:t>PX4 v1.17 is the current stable release.</w:t>
            </w:r>
          </w:p>
        </w:tc>
        <w:tc>
          <w:tcPr>
            <w:tcW w:type="dxa" w:w="3024"/>
          </w:tcPr>
          <w:p>
            <w:pPr>
              <w:keepNext/>
              <w:spacing w:after="20" w:line="240" w:lineRule="auto"/>
            </w:pPr>
            <w:r>
              <w:rPr>
                <w:sz w:val="17"/>
              </w:rPr>
              <w:t>Releases / version selector</w:t>
            </w:r>
          </w:p>
        </w:tc>
      </w:tr>
      <w:tr>
        <w:trPr>
          <w:cantSplit/>
        </w:trPr>
        <w:tc>
          <w:tcPr>
            <w:tcW w:type="dxa" w:w="7056"/>
          </w:tcPr>
          <w:p>
            <w:pPr>
              <w:keepNext/>
              <w:spacing w:after="20" w:line="240" w:lineRule="auto"/>
            </w:pPr>
            <w:r>
              <w:rPr>
                <w:sz w:val="17"/>
              </w:rPr>
              <w:t xml:space="preserve">Failure injection needs </w:t>
            </w:r>
            <w:r>
              <w:rPr>
                <w:rFonts w:ascii="Consolas" w:hAnsi="Consolas"/>
                <w:sz w:val="16"/>
              </w:rPr>
              <w:t>SYS_FAILURE_EN</w:t>
            </w:r>
            <w:r>
              <w:rPr>
                <w:sz w:val="17"/>
              </w:rPr>
              <w:t xml:space="preserve">; off/stuck for IMU, magnetometer, barometer; off/stuck/wrong for GPS; motor off needs </w:t>
            </w:r>
            <w:r>
              <w:rPr>
                <w:rFonts w:ascii="Consolas" w:hAnsi="Consolas"/>
                <w:sz w:val="16"/>
              </w:rPr>
              <w:t>CA_FAILURE_MODE</w:t>
            </w:r>
            <w:r>
              <w:rPr>
                <w:sz w:val="17"/>
              </w:rPr>
              <w:t xml:space="preserve">; GPS wrong leaves position untouched; </w:t>
            </w:r>
            <w:r>
              <w:rPr>
                <w:rFonts w:ascii="Consolas" w:hAnsi="Consolas"/>
                <w:sz w:val="16"/>
              </w:rPr>
              <w:t>mavlink_signal</w:t>
            </w:r>
            <w:r>
              <w:rPr>
                <w:sz w:val="17"/>
              </w:rPr>
              <w:t xml:space="preserve"> and </w:t>
            </w:r>
            <w:r>
              <w:rPr>
                <w:rFonts w:ascii="Consolas" w:hAnsi="Consolas"/>
                <w:sz w:val="16"/>
              </w:rPr>
              <w:t>rc_signal</w:t>
            </w:r>
            <w:r>
              <w:rPr>
                <w:sz w:val="17"/>
              </w:rPr>
              <w:t xml:space="preserve"> are rejected.</w:t>
            </w:r>
          </w:p>
        </w:tc>
        <w:tc>
          <w:tcPr>
            <w:tcW w:type="dxa" w:w="3024"/>
          </w:tcPr>
          <w:p>
            <w:pPr>
              <w:keepNext/>
              <w:spacing w:after="20" w:line="240" w:lineRule="auto"/>
            </w:pPr>
            <w:r>
              <w:rPr>
                <w:sz w:val="17"/>
              </w:rPr>
              <w:t>System Failure Injection</w:t>
            </w:r>
          </w:p>
        </w:tc>
      </w:tr>
      <w:tr>
        <w:trPr>
          <w:cantSplit/>
        </w:trPr>
        <w:tc>
          <w:tcPr>
            <w:tcW w:type="dxa" w:w="7056"/>
          </w:tcPr>
          <w:p>
            <w:pPr>
              <w:keepNext/>
              <w:spacing w:after="20" w:line="240" w:lineRule="auto"/>
            </w:pPr>
            <w:r>
              <w:rPr>
                <w:sz w:val="17"/>
              </w:rPr>
              <w:t xml:space="preserve">SIH runs as SITL, headless, in lockstep, with </w:t>
            </w:r>
            <w:r>
              <w:rPr>
                <w:rFonts w:ascii="Consolas" w:hAnsi="Consolas"/>
                <w:sz w:val="16"/>
              </w:rPr>
              <w:t>PX4_SIM_SPEED_FACTOR</w:t>
            </w:r>
            <w:r>
              <w:rPr>
                <w:sz w:val="17"/>
              </w:rPr>
              <w:t xml:space="preserve"> and multiple instances; only the quadrotor is stable, other vehicles are experimental.</w:t>
            </w:r>
          </w:p>
        </w:tc>
        <w:tc>
          <w:tcPr>
            <w:tcW w:type="dxa" w:w="3024"/>
          </w:tcPr>
          <w:p>
            <w:pPr>
              <w:keepNext/>
              <w:spacing w:after="20" w:line="240" w:lineRule="auto"/>
            </w:pPr>
            <w:r>
              <w:rPr>
                <w:sz w:val="17"/>
              </w:rPr>
              <w:t>SIH Simulation</w:t>
            </w:r>
          </w:p>
        </w:tc>
      </w:tr>
      <w:tr>
        <w:trPr>
          <w:cantSplit/>
        </w:trPr>
        <w:tc>
          <w:tcPr>
            <w:tcW w:type="dxa" w:w="7056"/>
          </w:tcPr>
          <w:p>
            <w:pPr>
              <w:keepNext/>
              <w:spacing w:after="20" w:line="240" w:lineRule="auto"/>
            </w:pPr>
            <w:r>
              <w:rPr>
                <w:sz w:val="17"/>
              </w:rPr>
              <w:t xml:space="preserve">Gazebo Harmonic, Ionic and Jetty are supported on Ubuntu 24.04; </w:t>
            </w:r>
            <w:r>
              <w:rPr>
                <w:rFonts w:ascii="Consolas" w:hAnsi="Consolas"/>
                <w:sz w:val="16"/>
              </w:rPr>
              <w:t>gz_x500_vision</w:t>
            </w:r>
            <w:r>
              <w:rPr>
                <w:sz w:val="17"/>
              </w:rPr>
              <w:t xml:space="preserve"> exists; </w:t>
            </w:r>
            <w:r>
              <w:rPr>
                <w:rFonts w:ascii="Consolas" w:hAnsi="Consolas"/>
                <w:sz w:val="16"/>
              </w:rPr>
              <w:t>HEADLESS=1</w:t>
            </w:r>
            <w:r>
              <w:rPr>
                <w:sz w:val="17"/>
              </w:rPr>
              <w:t xml:space="preserve"> runs without the GUI; lockstep can't be disabled.</w:t>
            </w:r>
          </w:p>
        </w:tc>
        <w:tc>
          <w:tcPr>
            <w:tcW w:type="dxa" w:w="3024"/>
          </w:tcPr>
          <w:p>
            <w:pPr>
              <w:keepNext/>
              <w:spacing w:after="20" w:line="240" w:lineRule="auto"/>
            </w:pPr>
            <w:r>
              <w:rPr>
                <w:sz w:val="17"/>
              </w:rPr>
              <w:t>Gazebo Simulation</w:t>
            </w:r>
          </w:p>
        </w:tc>
      </w:tr>
      <w:tr>
        <w:trPr>
          <w:cantSplit/>
        </w:trPr>
        <w:tc>
          <w:tcPr>
            <w:tcW w:type="dxa" w:w="7056"/>
          </w:tcPr>
          <w:p>
            <w:pPr>
              <w:keepNext/>
              <w:spacing w:after="20" w:line="240" w:lineRule="auto"/>
            </w:pPr>
            <w:r>
              <w:rPr>
                <w:sz w:val="17"/>
              </w:rPr>
              <w:t>ROS 2 Jazzy on Ubuntu 24.04 is the recommended pairing; px4_msgs must match the firmware or the translation node (v1.16+) must run.</w:t>
            </w:r>
          </w:p>
        </w:tc>
        <w:tc>
          <w:tcPr>
            <w:tcW w:type="dxa" w:w="3024"/>
          </w:tcPr>
          <w:p>
            <w:pPr>
              <w:keepNext/>
              <w:spacing w:after="20" w:line="240" w:lineRule="auto"/>
            </w:pPr>
            <w:r>
              <w:rPr>
                <w:sz w:val="17"/>
              </w:rPr>
              <w:t>ROS 2 User Guide</w:t>
            </w:r>
          </w:p>
        </w:tc>
      </w:tr>
      <w:tr>
        <w:trPr>
          <w:cantSplit/>
        </w:trPr>
        <w:tc>
          <w:tcPr>
            <w:tcW w:type="dxa" w:w="7056"/>
          </w:tcPr>
          <w:p>
            <w:pPr>
              <w:keepNext/>
              <w:spacing w:after="20" w:line="240" w:lineRule="auto"/>
            </w:pPr>
            <w:r>
              <w:rPr>
                <w:sz w:val="17"/>
              </w:rPr>
              <w:t>The position-loss failsafe tries Return, then Land, then Descend.</w:t>
            </w:r>
          </w:p>
        </w:tc>
        <w:tc>
          <w:tcPr>
            <w:tcW w:type="dxa" w:w="3024"/>
          </w:tcPr>
          <w:p>
            <w:pPr>
              <w:keepNext/>
              <w:spacing w:after="20" w:line="240" w:lineRule="auto"/>
            </w:pPr>
            <w:r>
              <w:rPr>
                <w:sz w:val="17"/>
              </w:rPr>
              <w:t>Safety (Failsafe) Configuration</w:t>
            </w:r>
          </w:p>
        </w:tc>
      </w:tr>
      <w:tr>
        <w:trPr>
          <w:cantSplit/>
        </w:trPr>
        <w:tc>
          <w:tcPr>
            <w:tcW w:type="dxa" w:w="7056"/>
          </w:tcPr>
          <w:p>
            <w:pPr>
              <w:spacing w:after="20" w:line="240" w:lineRule="auto"/>
            </w:pPr>
            <w:r>
              <w:rPr>
                <w:sz w:val="17"/>
              </w:rPr>
              <w:t>ROS 2 modes can replace internal modes and fall back if they fail; mode executors can defer non-essential failsafes.</w:t>
            </w:r>
          </w:p>
        </w:tc>
        <w:tc>
          <w:tcPr>
            <w:tcW w:type="dxa" w:w="3024"/>
          </w:tcPr>
          <w:p>
            <w:pPr>
              <w:spacing w:after="20" w:line="240" w:lineRule="auto"/>
            </w:pPr>
            <w:r>
              <w:rPr>
                <w:sz w:val="17"/>
              </w:rPr>
              <w:t>PX4 ROS 2 Control Interface</w:t>
            </w:r>
          </w:p>
        </w:tc>
      </w:tr>
    </w:tbl>
    <w:p>
      <w:pPr>
        <w:spacing w:after="40"/>
      </w:pPr>
    </w:p>
    <w:p>
      <w:pPr>
        <w:pStyle w:val="Heading1"/>
      </w:pPr>
      <w:r>
        <w:t>10. Next actions for the first two weeks</w:t>
      </w:r>
    </w:p>
    <w:p>
      <w:pPr>
        <w:pStyle w:val="ListNumber"/>
        <w:numPr>
          <w:ilvl w:val="0"/>
          <w:numId w:val="10"/>
        </w:numPr>
      </w:pPr>
      <w:r>
        <w:t>Install Ubuntu 24.04 (WSL2 or dual boot), PX4 v1.17 with the SIH target, ROS 2 Jazzy and the uXRCE-DDS agent. Fly the SIH quadrotor from a script.</w:t>
      </w:r>
    </w:p>
    <w:p>
      <w:pPr>
        <w:pStyle w:val="ListNumber"/>
        <w:numPr>
          <w:ilvl w:val="0"/>
          <w:numId w:val="10"/>
        </w:numPr>
      </w:pPr>
      <w:r>
        <w:t>Measure the SIH speed factor with a ROS 2 node attached. That number sets the campaign size.</w:t>
      </w:r>
    </w:p>
    <w:p>
      <w:pPr>
        <w:pStyle w:val="ListNumber"/>
        <w:numPr>
          <w:ilvl w:val="0"/>
          <w:numId w:val="10"/>
        </w:numPr>
      </w:pPr>
      <w:r>
        <w:t>Trigger every native PX4 failure once and confirm the fault catalogue's injection column against what actually happens.</w:t>
      </w:r>
    </w:p>
    <w:p>
      <w:pPr>
        <w:pStyle w:val="ListNumber"/>
        <w:numPr>
          <w:ilvl w:val="0"/>
          <w:numId w:val="10"/>
        </w:numPr>
      </w:pPr>
      <w:r>
        <w:t>Write the three configurations (A, B, C) and the success criteria into the repository before writing any detector code.</w:t>
      </w:r>
    </w:p>
    <w:p>
      <w:pPr>
        <w:pStyle w:val="ListNumber"/>
        <w:numPr>
          <w:ilvl w:val="0"/>
          <w:numId w:val="10"/>
        </w:numPr>
      </w:pPr>
      <w:r>
        <w:t>Set up CI and the dev container in the first week, not the ninth.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AERIS design review   |   11 September 2026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AERIS design review</dc:title>
  <dc:subject>Diagnosis of the AERIS concept document v1</dc:subject>
  <dc:creator>python-docx</dc:creator>
  <cp:keywords/>
  <dc:description/>
  <cp:lastModifiedBy/>
  <cp:revision>1</cp:revision>
  <dcterms:created xsi:type="dcterms:W3CDTF">2026-09-11T12:00:00Z</dcterms:created>
  <dcterms:modified xsi:type="dcterms:W3CDTF">2026-09-11T12:00:00Z</dcterms:modified>
  <cp:category/>
</cp:coreProperties>
</file>