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15803D"/>
          <w:sz w:val="19"/>
        </w:rPr>
        <w:t>EVENTSLOT ENGINEERING &amp; PRODUCT ARCHITECTURE SPECIFICATION</w:t>
      </w:r>
    </w:p>
    <w:p>
      <w:pPr>
        <w:spacing w:before="0" w:after="120"/>
      </w:pPr>
      <w:r>
        <w:rPr>
          <w:rFonts w:ascii="Calibri" w:hAnsi="Calibri"/>
          <w:b/>
          <w:i w:val="0"/>
          <w:color w:val="0F172A"/>
          <w:sz w:val="42"/>
        </w:rPr>
        <w:t>EventSlot AI: Master Architecture, Capabilities, Economics &amp; Engineering Blueprint</w:t>
      </w:r>
    </w:p>
    <w:p>
      <w:pPr>
        <w:spacing w:before="0" w:after="280"/>
      </w:pPr>
      <w:r>
        <w:rPr>
          <w:rFonts w:ascii="Calibri" w:hAnsi="Calibri"/>
          <w:b w:val="0"/>
          <w:i/>
          <w:color w:val="475569"/>
          <w:sz w:val="22"/>
        </w:rPr>
        <w:t>A complete, end-to-end evaluation of our current AI models, financial run-rate costs, active pipeline logic, operational advantages, critical vulnerabilities, and prioritized implementation roadmap.</w:t>
      </w:r>
    </w:p>
    <w:tbl>
      <w:tblPr>
        <w:tblW w:type="auto" w:w="0"/>
        <w:jc w:val="center"/>
        <w:tblLook w:firstColumn="1" w:firstRow="1" w:lastColumn="0" w:lastRow="0" w:noHBand="0" w:noVBand="1" w:val="04A0"/>
      </w:tblPr>
      <w:tblGrid>
        <w:gridCol w:w="4968"/>
        <w:gridCol w:w="4968"/>
      </w:tblGrid>
      <w:tr>
        <w:trPr>
          <w:cantSplit/>
          <w:tblHeader/>
        </w:trPr>
        <w:tc>
          <w:tcPr>
            <w:tcW w:type="dxa" w:w="3168"/>
            <w:tcMar>
              <w:top w:w="100" w:type="dxa"/>
              <w:bottom w:w="100" w:type="dxa"/>
              <w:left w:w="130" w:type="dxa"/>
              <w:right w:w="130" w:type="dxa"/>
            </w:tcMar>
            <w:vAlign w:val="center"/>
            <w:shd w:fill="F1F5F9"/>
          </w:tcPr>
          <w:p>
            <w:pPr>
              <w:spacing w:before="40" w:after="40"/>
            </w:pPr>
            <w:r>
              <w:rPr>
                <w:rFonts w:ascii="Calibri" w:hAnsi="Calibri"/>
                <w:b/>
                <w:i w:val="0"/>
                <w:color w:val="0F172A"/>
                <w:sz w:val="19"/>
              </w:rPr>
              <w:t>Document Status</w:t>
            </w:r>
          </w:p>
        </w:tc>
        <w:tc>
          <w:tcPr>
            <w:tcW w:type="dxa" w:w="6768"/>
            <w:tcMar>
              <w:top w:w="100" w:type="dxa"/>
              <w:bottom w:w="100" w:type="dxa"/>
              <w:left w:w="130" w:type="dxa"/>
              <w:right w:w="130" w:type="dxa"/>
            </w:tcMar>
            <w:vAlign w:val="center"/>
            <w:shd w:fill="F1F5F9"/>
          </w:tcPr>
          <w:p>
            <w:pPr>
              <w:spacing w:before="40" w:after="40"/>
            </w:pPr>
            <w:r>
              <w:rPr>
                <w:rFonts w:ascii="Calibri" w:hAnsi="Calibri"/>
                <w:b/>
                <w:i w:val="0"/>
                <w:color w:val="0F172A"/>
                <w:sz w:val="19"/>
              </w:rPr>
              <w:t>Active Engineering &amp; Executive Reference</w:t>
            </w:r>
          </w:p>
        </w:tc>
      </w:tr>
      <w:tr>
        <w:trPr>
          <w:cantSplit/>
        </w:trPr>
        <w:tc>
          <w:tcPr>
            <w:tcW w:type="dxa" w:w="3168"/>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Current Date / Local Time</w:t>
            </w:r>
          </w:p>
        </w:tc>
        <w:tc>
          <w:tcPr>
            <w:tcW w:type="dxa" w:w="6768"/>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September 23, 2026 (Nairobi / EAT)</w:t>
            </w:r>
          </w:p>
        </w:tc>
      </w:tr>
      <w:tr>
        <w:trPr>
          <w:cantSplit/>
        </w:trPr>
        <w:tc>
          <w:tcPr>
            <w:tcW w:type="dxa" w:w="3168"/>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Primary Platform Stack</w:t>
            </w:r>
          </w:p>
        </w:tc>
        <w:tc>
          <w:tcPr>
            <w:tcW w:type="dxa" w:w="6768"/>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Next.js 16, TypeScript, Prisma ORM, Groq LPU, Google Gemini 2.5 Flash</w:t>
            </w:r>
          </w:p>
        </w:tc>
      </w:tr>
      <w:tr>
        <w:trPr>
          <w:cantSplit/>
        </w:trPr>
        <w:tc>
          <w:tcPr>
            <w:tcW w:type="dxa" w:w="3168"/>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Target Audience</w:t>
            </w:r>
          </w:p>
        </w:tc>
        <w:tc>
          <w:tcPr>
            <w:tcW w:type="dxa" w:w="6768"/>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Executive Leadership, Product Engineering, Data &amp; AI Team</w:t>
            </w:r>
          </w:p>
        </w:tc>
      </w:tr>
    </w:tbl>
    <w:p>
      <w:pPr>
        <w:spacing w:line="276" w:lineRule="auto" w:after="80" w:before="0"/>
      </w:pP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180" w:type="dxa"/>
              <w:right w:w="180" w:type="dxa"/>
            </w:tcMar>
          </w:tcPr>
          <w:p>
            <w:pPr>
              <w:spacing w:before="40" w:after="40" w:line="276" w:lineRule="auto"/>
            </w:pPr>
            <w:r>
              <w:rPr>
                <w:rFonts w:ascii="Calibri" w:hAnsi="Calibri"/>
                <w:b/>
                <w:i w:val="0"/>
                <w:color w:val="15803D"/>
                <w:sz w:val="20"/>
              </w:rPr>
              <w:t xml:space="preserve">[EXECUTIVE BRIEFING] </w:t>
            </w:r>
            <w:r>
              <w:rPr>
                <w:rFonts w:ascii="Calibri" w:hAnsi="Calibri"/>
                <w:b w:val="0"/>
                <w:i w:val="0"/>
                <w:color w:val="1E293B"/>
                <w:sz w:val="20"/>
              </w:rPr>
              <w:t>This master specification establishes complete transparency over what AI is doing in EventSlot today, exactly how much it costs per call, the prompt and data logic powering each feature, where the system has blind spots, and the exact roadmap required to build an enterprise-grade AI event command center without guessing or incomplete data.</w:t>
            </w:r>
          </w:p>
        </w:tc>
      </w:tr>
    </w:tbl>
    <w:p>
      <w:pPr>
        <w:spacing w:after="80"/>
      </w:pPr>
    </w:p>
    <w:p>
      <w:pPr>
        <w:keepNext/>
        <w:spacing w:before="400" w:after="120"/>
      </w:pPr>
      <w:r>
        <w:rPr>
          <w:rFonts w:ascii="Calibri" w:hAnsi="Calibri"/>
          <w:b/>
          <w:i w:val="0"/>
          <w:color w:val="0F172A"/>
          <w:sz w:val="32"/>
        </w:rPr>
        <w:t>1. Executive Overview &amp; Platform AI Vision</w:t>
      </w:r>
    </w:p>
    <w:p>
      <w:pPr>
        <w:spacing w:line="276" w:lineRule="auto" w:after="80" w:before="0"/>
      </w:pPr>
      <w:r>
        <w:rPr>
          <w:rFonts w:ascii="Calibri" w:hAnsi="Calibri"/>
          <w:b/>
          <w:i w:val="0"/>
          <w:color w:val="0F172A"/>
          <w:sz w:val="21"/>
        </w:rPr>
        <w:t xml:space="preserve">Core Paradigm: </w:t>
      </w:r>
      <w:r>
        <w:rPr>
          <w:rFonts w:ascii="Calibri" w:hAnsi="Calibri"/>
          <w:b w:val="0"/>
          <w:i w:val="0"/>
          <w:color w:val="334155"/>
          <w:sz w:val="21"/>
        </w:rPr>
        <w:t>EventSlot is architected to transition event coordination from passive administrative logging into an intelligent, autonomous operating system. Conventional registration tools (e.g., Google Forms, basic Eventbrite setups, or rudimentary ticket links) act as static repositories. In contrast, EventSlot deploys AI across three operational dimensions:</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1. Tactical &amp; Executive Intelligence: </w:t>
      </w:r>
      <w:r>
        <w:rPr>
          <w:rFonts w:ascii="Calibri" w:hAnsi="Calibri"/>
          <w:b w:val="0"/>
          <w:i w:val="0"/>
          <w:color w:val="334155"/>
          <w:sz w:val="21"/>
        </w:rPr>
        <w:t>Transforms raw registrations, waitlist queues, and gate check-in telemetry into actionable commercial recommendations, boardroom presentation decks, and multi-event growth trajectories.</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2. 24/7 Context-Aware Reception &amp; Support: </w:t>
      </w:r>
      <w:r>
        <w:rPr>
          <w:rFonts w:ascii="Calibri" w:hAnsi="Calibri"/>
          <w:b w:val="0"/>
          <w:i w:val="0"/>
          <w:color w:val="334155"/>
          <w:sz w:val="21"/>
        </w:rPr>
        <w:t>Equipped with persistent long-term user memory, live database event grounding, multimodal screenshot diagnosis, and automated multilingual translation.</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3. Growth Acceleration &amp; Content Operations: </w:t>
      </w:r>
      <w:r>
        <w:rPr>
          <w:rFonts w:ascii="Calibri" w:hAnsi="Calibri"/>
          <w:b w:val="0"/>
          <w:i w:val="0"/>
          <w:color w:val="334155"/>
          <w:sz w:val="21"/>
        </w:rPr>
        <w:t>Generates channel-optimized social copy (Instagram, LinkedIn, WhatsApp, Email, Twitter/X, TikTok), synthesizes periodic marketing attribution reviews, and extracts structured FAQs from raw documents.</w:t>
      </w:r>
    </w:p>
    <w:p>
      <w:pPr>
        <w:spacing w:line="276" w:lineRule="auto" w:after="80" w:before="0"/>
      </w:pPr>
      <w:r>
        <w:rPr>
          <w:rFonts w:ascii="Calibri" w:hAnsi="Calibri"/>
          <w:b/>
          <w:i w:val="0"/>
          <w:color w:val="0F172A"/>
          <w:sz w:val="21"/>
        </w:rPr>
        <w:t xml:space="preserve">The Iron Rule of EventSlot AI: </w:t>
      </w:r>
      <w:r>
        <w:rPr>
          <w:rFonts w:ascii="Calibri" w:hAnsi="Calibri"/>
          <w:b w:val="0"/>
          <w:i w:val="0"/>
          <w:color w:val="334155"/>
          <w:sz w:val="21"/>
        </w:rPr>
        <w:t>A foundational mandate across all EventSlot AI systems is 'Fail-Safe Determinism'. Every generative AI pipeline is backed by hardcoded, data-driven fallback calculations. If an external model provider experiences downtime, network timeouts, or rate limits, the organizer never sees a blank screen or a generic 500 error; the platform seamlessly presents mathematically sound fallback analytics and recommendations.</w:t>
      </w:r>
    </w:p>
    <w:p>
      <w:pPr>
        <w:keepNext/>
        <w:spacing w:before="400" w:after="120"/>
      </w:pPr>
      <w:r>
        <w:rPr>
          <w:rFonts w:ascii="Calibri" w:hAnsi="Calibri"/>
          <w:b/>
          <w:i w:val="0"/>
          <w:color w:val="0F172A"/>
          <w:sz w:val="32"/>
        </w:rPr>
        <w:t>2. The Multi-Model AI Engine &amp; Orchestration Architecture</w:t>
      </w:r>
    </w:p>
    <w:p>
      <w:pPr>
        <w:spacing w:line="276" w:lineRule="auto" w:after="80" w:before="0"/>
      </w:pPr>
      <w:r>
        <w:rPr>
          <w:rFonts w:ascii="Calibri" w:hAnsi="Calibri"/>
          <w:b w:val="0"/>
          <w:i w:val="0"/>
          <w:color w:val="334155"/>
          <w:sz w:val="21"/>
        </w:rPr>
        <w:t>EventSlot avoids vendor lock-in and protects operational reliability through an asynchronous, multi-tiered AI routing architecture located in lib/ai.ts, lib/groq.ts, and lib/marketing/gemini.ts.</w:t>
      </w:r>
    </w:p>
    <w:p>
      <w:pPr>
        <w:keepNext/>
        <w:spacing w:before="280" w:after="80"/>
      </w:pPr>
      <w:r>
        <w:rPr>
          <w:rFonts w:ascii="Calibri" w:hAnsi="Calibri"/>
          <w:b/>
          <w:i w:val="0"/>
          <w:color w:val="15803D"/>
          <w:sz w:val="26"/>
        </w:rPr>
        <w:t>2.1 Primary Models in Active Use</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2160"/>
            <w:tcMar>
              <w:top w:w="100" w:type="dxa"/>
              <w:bottom w:w="100" w:type="dxa"/>
              <w:left w:w="130" w:type="dxa"/>
              <w:right w:w="130" w:type="dxa"/>
            </w:tcMar>
            <w:vAlign w:val="center"/>
            <w:shd w:fill="F1F5F9"/>
          </w:tcPr>
          <w:p>
            <w:pPr>
              <w:spacing w:before="40" w:after="40"/>
            </w:pPr>
            <w:r>
              <w:rPr>
                <w:rFonts w:ascii="Calibri" w:hAnsi="Calibri"/>
                <w:b/>
                <w:i w:val="0"/>
                <w:color w:val="0F172A"/>
                <w:sz w:val="19"/>
              </w:rPr>
              <w:t>Model Identifier</w:t>
            </w:r>
          </w:p>
        </w:tc>
        <w:tc>
          <w:tcPr>
            <w:tcW w:type="dxa" w:w="1728"/>
            <w:tcMar>
              <w:top w:w="100" w:type="dxa"/>
              <w:bottom w:w="100" w:type="dxa"/>
              <w:left w:w="130" w:type="dxa"/>
              <w:right w:w="130" w:type="dxa"/>
            </w:tcMar>
            <w:vAlign w:val="center"/>
            <w:shd w:fill="F1F5F9"/>
          </w:tcPr>
          <w:p>
            <w:pPr>
              <w:spacing w:before="40" w:after="40"/>
            </w:pPr>
            <w:r>
              <w:rPr>
                <w:rFonts w:ascii="Calibri" w:hAnsi="Calibri"/>
                <w:b/>
                <w:i w:val="0"/>
                <w:color w:val="0F172A"/>
                <w:sz w:val="19"/>
              </w:rPr>
              <w:t>Provider</w:t>
            </w:r>
          </w:p>
        </w:tc>
        <w:tc>
          <w:tcPr>
            <w:tcW w:type="dxa" w:w="1872"/>
            <w:tcMar>
              <w:top w:w="100" w:type="dxa"/>
              <w:bottom w:w="100" w:type="dxa"/>
              <w:left w:w="130" w:type="dxa"/>
              <w:right w:w="130" w:type="dxa"/>
            </w:tcMar>
            <w:vAlign w:val="center"/>
            <w:shd w:fill="F1F5F9"/>
          </w:tcPr>
          <w:p>
            <w:pPr>
              <w:spacing w:before="40" w:after="40"/>
            </w:pPr>
            <w:r>
              <w:rPr>
                <w:rFonts w:ascii="Calibri" w:hAnsi="Calibri"/>
                <w:b/>
                <w:i w:val="0"/>
                <w:color w:val="0F172A"/>
                <w:sz w:val="19"/>
              </w:rPr>
              <w:t>Architecture / Engine</w:t>
            </w:r>
          </w:p>
        </w:tc>
        <w:tc>
          <w:tcPr>
            <w:tcW w:type="dxa" w:w="2016"/>
            <w:tcMar>
              <w:top w:w="100" w:type="dxa"/>
              <w:bottom w:w="100" w:type="dxa"/>
              <w:left w:w="130" w:type="dxa"/>
              <w:right w:w="130" w:type="dxa"/>
            </w:tcMar>
            <w:vAlign w:val="center"/>
            <w:shd w:fill="F1F5F9"/>
          </w:tcPr>
          <w:p>
            <w:pPr>
              <w:spacing w:before="40" w:after="40"/>
            </w:pPr>
            <w:r>
              <w:rPr>
                <w:rFonts w:ascii="Calibri" w:hAnsi="Calibri"/>
                <w:b/>
                <w:i w:val="0"/>
                <w:color w:val="0F172A"/>
                <w:sz w:val="19"/>
              </w:rPr>
              <w:t>Speed Profile</w:t>
            </w:r>
          </w:p>
        </w:tc>
        <w:tc>
          <w:tcPr>
            <w:tcW w:type="dxa" w:w="2160"/>
            <w:tcMar>
              <w:top w:w="100" w:type="dxa"/>
              <w:bottom w:w="100" w:type="dxa"/>
              <w:left w:w="130" w:type="dxa"/>
              <w:right w:w="130" w:type="dxa"/>
            </w:tcMar>
            <w:vAlign w:val="center"/>
            <w:shd w:fill="F1F5F9"/>
          </w:tcPr>
          <w:p>
            <w:pPr>
              <w:spacing w:before="40" w:after="40"/>
            </w:pPr>
            <w:r>
              <w:rPr>
                <w:rFonts w:ascii="Calibri" w:hAnsi="Calibri"/>
                <w:b/>
                <w:i w:val="0"/>
                <w:color w:val="0F172A"/>
                <w:sz w:val="19"/>
              </w:rPr>
              <w:t>Primary Assigned Tasks</w:t>
            </w:r>
          </w:p>
        </w:tc>
      </w:tr>
      <w:tr>
        <w:trPr>
          <w:cantSplit/>
        </w:trPr>
        <w:tc>
          <w:tcPr>
            <w:tcW w:type="dxa" w:w="2160"/>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Llama 3.3 70B Versatile</w:t>
              <w:br/>
              <w:t>Llama 3.1 8B Instant</w:t>
            </w:r>
          </w:p>
        </w:tc>
        <w:tc>
          <w:tcPr>
            <w:tcW w:type="dxa" w:w="1728"/>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Groq Cloud</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Groq LPU (Language Processing Unit)</w:t>
            </w:r>
          </w:p>
        </w:tc>
        <w:tc>
          <w:tcPr>
            <w:tcW w:type="dxa" w:w="201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250 – 800+ tokens/sec</w:t>
              <w:br/>
              <w:t>(Ultra-low latency)</w:t>
            </w:r>
          </w:p>
        </w:tc>
        <w:tc>
          <w:tcPr>
            <w:tcW w:type="dxa" w:w="2160"/>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Analytics Q&amp;A, Capacity Prediction, Insight Cards, FAQ Import</w:t>
            </w:r>
          </w:p>
        </w:tc>
      </w:tr>
      <w:tr>
        <w:trPr>
          <w:cantSplit/>
        </w:trPr>
        <w:tc>
          <w:tcPr>
            <w:tcW w:type="dxa" w:w="2160"/>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Gemini 2.5 Flash</w:t>
            </w:r>
          </w:p>
        </w:tc>
        <w:tc>
          <w:tcPr>
            <w:tcW w:type="dxa" w:w="1728"/>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Google AI</w:t>
            </w:r>
          </w:p>
        </w:tc>
        <w:tc>
          <w:tcPr>
            <w:tcW w:type="dxa" w:w="187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Multimodal Transformer</w:t>
              <w:br/>
              <w:t>(1M+ Context Window)</w:t>
            </w:r>
          </w:p>
        </w:tc>
        <w:tc>
          <w:tcPr>
            <w:tcW w:type="dxa" w:w="2016"/>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80 – 150 tokens/sec</w:t>
              <w:br/>
              <w:t>(Deep reasoning)</w:t>
            </w:r>
          </w:p>
        </w:tc>
        <w:tc>
          <w:tcPr>
            <w:tcW w:type="dxa" w:w="2160"/>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Executive Presentation Decks, Marketing Copy Ideation, Periodic Attribution</w:t>
            </w:r>
          </w:p>
        </w:tc>
      </w:tr>
      <w:tr>
        <w:trPr>
          <w:cantSplit/>
        </w:trPr>
        <w:tc>
          <w:tcPr>
            <w:tcW w:type="dxa" w:w="2160"/>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Llama 4 Scout 17B</w:t>
              <w:br/>
              <w:t>Llama 3.2 Vision</w:t>
            </w:r>
          </w:p>
        </w:tc>
        <w:tc>
          <w:tcPr>
            <w:tcW w:type="dxa" w:w="1728"/>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Groq Cloud</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LPU Vision Transformer</w:t>
            </w:r>
          </w:p>
        </w:tc>
        <w:tc>
          <w:tcPr>
            <w:tcW w:type="dxa" w:w="201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180 – 350 tokens/sec</w:t>
              <w:br/>
              <w:t>(Image inspection)</w:t>
            </w:r>
          </w:p>
        </w:tc>
        <w:tc>
          <w:tcPr>
            <w:tcW w:type="dxa" w:w="2160"/>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Receptionist Screenshot Debugging, UI Error Diagnostics</w:t>
            </w:r>
          </w:p>
        </w:tc>
      </w:tr>
      <w:tr>
        <w:trPr>
          <w:cantSplit/>
        </w:trPr>
        <w:tc>
          <w:tcPr>
            <w:tcW w:type="dxa" w:w="2160"/>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Meta Llama 3.3 70B</w:t>
              <w:br/>
              <w:t>(OpenRouter)</w:t>
            </w:r>
          </w:p>
        </w:tc>
        <w:tc>
          <w:tcPr>
            <w:tcW w:type="dxa" w:w="1728"/>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OpenRouter</w:t>
            </w:r>
          </w:p>
        </w:tc>
        <w:tc>
          <w:tcPr>
            <w:tcW w:type="dxa" w:w="187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Global Multi-Cloud Fallback</w:t>
            </w:r>
          </w:p>
        </w:tc>
        <w:tc>
          <w:tcPr>
            <w:tcW w:type="dxa" w:w="2016"/>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60 – 120 tokens/sec</w:t>
              <w:br/>
              <w:t>(Resilience backup)</w:t>
            </w:r>
          </w:p>
        </w:tc>
        <w:tc>
          <w:tcPr>
            <w:tcW w:type="dxa" w:w="2160"/>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Automatic failover when Groq experiences HTTP 429/503</w:t>
            </w:r>
          </w:p>
        </w:tc>
      </w:tr>
    </w:tbl>
    <w:p>
      <w:pPr>
        <w:spacing w:line="276" w:lineRule="auto" w:after="80" w:before="0"/>
      </w:pPr>
    </w:p>
    <w:p>
      <w:pPr>
        <w:keepNext/>
        <w:spacing w:before="280" w:after="80"/>
      </w:pPr>
      <w:r>
        <w:rPr>
          <w:rFonts w:ascii="Calibri" w:hAnsi="Calibri"/>
          <w:b/>
          <w:i w:val="0"/>
          <w:color w:val="15803D"/>
          <w:sz w:val="26"/>
        </w:rPr>
        <w:t>2.2 The Failover &amp; Execution Pipeline (lib/ai.ts)</w:t>
      </w:r>
    </w:p>
    <w:p>
      <w:pPr>
        <w:spacing w:line="276" w:lineRule="auto" w:after="80" w:before="0"/>
      </w:pPr>
      <w:r>
        <w:rPr>
          <w:rFonts w:ascii="Calibri" w:hAnsi="Calibri"/>
          <w:b w:val="0"/>
          <w:i w:val="0"/>
          <w:color w:val="334155"/>
          <w:sz w:val="21"/>
        </w:rPr>
        <w:t>When any platform surface triggers an AI request, lib/ai.ts executes the following 7-stage lifecycle:</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Stage 1: Health &amp; Configuration Probe: </w:t>
      </w:r>
      <w:r>
        <w:rPr>
          <w:rFonts w:ascii="Calibri" w:hAnsi="Calibri"/>
          <w:b w:val="0"/>
          <w:i w:val="0"/>
          <w:color w:val="334155"/>
          <w:sz w:val="21"/>
        </w:rPr>
        <w:t>getAIProviderStatus() queries process.env to ensure GROQ_API_KEY, GEMINI_API_KEY, and OPENROUTER_API_KEY are initialized. Unconfigured providers are bypassed immediately.</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Stage 2: Primary Groq Attempt with Retry: </w:t>
      </w:r>
      <w:r>
        <w:rPr>
          <w:rFonts w:ascii="Calibri" w:hAnsi="Calibri"/>
          <w:b w:val="0"/>
          <w:i w:val="0"/>
          <w:color w:val="334155"/>
          <w:sz w:val="21"/>
        </w:rPr>
        <w:t>The request first routes to Groq LPU with task-specific models (e.g. Llama 3.3 70B). If a network disconnect, HTTP 429 rate limit, or 5xx error occurs, runWithRetries() attempts a second execution with an exponential delay.</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Stage 3: Seamless OpenRouter Cascade: </w:t>
      </w:r>
      <w:r>
        <w:rPr>
          <w:rFonts w:ascii="Calibri" w:hAnsi="Calibri"/>
          <w:b w:val="0"/>
          <w:i w:val="0"/>
          <w:color w:val="334155"/>
          <w:sz w:val="21"/>
        </w:rPr>
        <w:t>If Groq fails both attempts, the request automatically cascades to OpenRouter (meta-llama/llama-3.3-70b-instruct) via an authenticated fetch request with EventSlot referer headers.</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Stage 4: Anthropic Claude Standby: </w:t>
      </w:r>
      <w:r>
        <w:rPr>
          <w:rFonts w:ascii="Calibri" w:hAnsi="Calibri"/>
          <w:b w:val="0"/>
          <w:i w:val="0"/>
          <w:color w:val="334155"/>
          <w:sz w:val="21"/>
        </w:rPr>
        <w:t>Process-gated by AI_ENABLE_CLAUDE_FALLBACK. If enabled, Claude 3.5 Sonnet is engaged for complex strategic narrative reports.</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Stage 5: Output Sanitization: </w:t>
      </w:r>
      <w:r>
        <w:rPr>
          <w:rFonts w:ascii="Calibri" w:hAnsi="Calibri"/>
          <w:b w:val="0"/>
          <w:i w:val="0"/>
          <w:color w:val="334155"/>
          <w:sz w:val="21"/>
        </w:rPr>
        <w:t>sanitizeAIContent() strips any leaked &lt;think&gt;...&lt;/think&gt; reasoning blocks, removes orphaned tokens, and normalizes carriage returns.</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Stage 6: Graceful Deterministic Fallback: </w:t>
      </w:r>
      <w:r>
        <w:rPr>
          <w:rFonts w:ascii="Calibri" w:hAnsi="Calibri"/>
          <w:b w:val="0"/>
          <w:i w:val="0"/>
          <w:color w:val="334155"/>
          <w:sz w:val="21"/>
        </w:rPr>
        <w:t>If all upstream LLM APIs fail, the endpoint catches the error and executes buildFallbackCards() or buildFallbackReport() to return 100% data-grounded metrics.</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Stage 7: Telemetry &amp; Error Logging: </w:t>
      </w:r>
      <w:r>
        <w:rPr>
          <w:rFonts w:ascii="Calibri" w:hAnsi="Calibri"/>
          <w:b w:val="0"/>
          <w:i w:val="0"/>
          <w:color w:val="334155"/>
          <w:sz w:val="21"/>
        </w:rPr>
        <w:t>Provider failures are logged directly to Prisma's ErrorLog table under route tags like AI-insights, AI-qa, AI-capacity, or AI-report.</w:t>
      </w:r>
    </w:p>
    <w:p>
      <w:pPr>
        <w:keepNext/>
        <w:spacing w:before="400" w:after="120"/>
      </w:pPr>
      <w:r>
        <w:rPr>
          <w:rFonts w:ascii="Calibri" w:hAnsi="Calibri"/>
          <w:b/>
          <w:i w:val="0"/>
          <w:color w:val="0F172A"/>
          <w:sz w:val="32"/>
        </w:rPr>
        <w:t>3. Comprehensive Financial &amp; Run-Rate Economics ('For How Much?')</w:t>
      </w:r>
    </w:p>
    <w:p>
      <w:pPr>
        <w:spacing w:line="276" w:lineRule="auto" w:after="80" w:before="0"/>
      </w:pPr>
      <w:r>
        <w:rPr>
          <w:rFonts w:ascii="Calibri" w:hAnsi="Calibri"/>
          <w:b/>
          <w:i w:val="0"/>
          <w:color w:val="0F172A"/>
          <w:sz w:val="21"/>
        </w:rPr>
        <w:t xml:space="preserve">Economic Thesis: </w:t>
      </w:r>
      <w:r>
        <w:rPr>
          <w:rFonts w:ascii="Calibri" w:hAnsi="Calibri"/>
          <w:b w:val="0"/>
          <w:i w:val="0"/>
          <w:color w:val="334155"/>
          <w:sz w:val="21"/>
        </w:rPr>
        <w:t>A critical question for leadership and engineering is: How much does AI actually cost EventSlot today, and what will it cost at 10,000 active events? Because EventSlot prioritizes Groq LPU and Google Gemini 2.5 Flash over legacy monolithic models, our AI unit economics are extraordinarily lean.</w:t>
      </w:r>
    </w:p>
    <w:p>
      <w:pPr>
        <w:keepNext/>
        <w:spacing w:before="280" w:after="80"/>
      </w:pPr>
      <w:r>
        <w:rPr>
          <w:rFonts w:ascii="Calibri" w:hAnsi="Calibri"/>
          <w:b/>
          <w:i w:val="0"/>
          <w:color w:val="15803D"/>
          <w:sz w:val="26"/>
        </w:rPr>
        <w:t>3.1 Upstream Provider API Pricing Matrix</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2304"/>
            <w:tcMar>
              <w:top w:w="100" w:type="dxa"/>
              <w:bottom w:w="100" w:type="dxa"/>
              <w:left w:w="130" w:type="dxa"/>
              <w:right w:w="130" w:type="dxa"/>
            </w:tcMar>
            <w:vAlign w:val="center"/>
            <w:shd w:fill="F1F5F9"/>
          </w:tcPr>
          <w:p>
            <w:pPr>
              <w:spacing w:before="40" w:after="40"/>
            </w:pPr>
            <w:r>
              <w:rPr>
                <w:rFonts w:ascii="Calibri" w:hAnsi="Calibri"/>
                <w:b/>
                <w:i w:val="0"/>
                <w:color w:val="0F172A"/>
                <w:sz w:val="19"/>
              </w:rPr>
              <w:t>Provider &amp; Model</w:t>
            </w:r>
          </w:p>
        </w:tc>
        <w:tc>
          <w:tcPr>
            <w:tcW w:type="dxa" w:w="1872"/>
            <w:tcMar>
              <w:top w:w="100" w:type="dxa"/>
              <w:bottom w:w="100" w:type="dxa"/>
              <w:left w:w="130" w:type="dxa"/>
              <w:right w:w="130" w:type="dxa"/>
            </w:tcMar>
            <w:vAlign w:val="center"/>
            <w:shd w:fill="F1F5F9"/>
          </w:tcPr>
          <w:p>
            <w:pPr>
              <w:spacing w:before="40" w:after="40"/>
            </w:pPr>
            <w:r>
              <w:rPr>
                <w:rFonts w:ascii="Calibri" w:hAnsi="Calibri"/>
                <w:b/>
                <w:i w:val="0"/>
                <w:color w:val="0F172A"/>
                <w:sz w:val="19"/>
              </w:rPr>
              <w:t>Input Cost / 1M Tokens</w:t>
            </w:r>
          </w:p>
        </w:tc>
        <w:tc>
          <w:tcPr>
            <w:tcW w:type="dxa" w:w="1872"/>
            <w:tcMar>
              <w:top w:w="100" w:type="dxa"/>
              <w:bottom w:w="100" w:type="dxa"/>
              <w:left w:w="130" w:type="dxa"/>
              <w:right w:w="130" w:type="dxa"/>
            </w:tcMar>
            <w:vAlign w:val="center"/>
            <w:shd w:fill="F1F5F9"/>
          </w:tcPr>
          <w:p>
            <w:pPr>
              <w:spacing w:before="40" w:after="40"/>
            </w:pPr>
            <w:r>
              <w:rPr>
                <w:rFonts w:ascii="Calibri" w:hAnsi="Calibri"/>
                <w:b/>
                <w:i w:val="0"/>
                <w:color w:val="0F172A"/>
                <w:sz w:val="19"/>
              </w:rPr>
              <w:t>Output Cost / 1M Tokens</w:t>
            </w:r>
          </w:p>
        </w:tc>
        <w:tc>
          <w:tcPr>
            <w:tcW w:type="dxa" w:w="2016"/>
            <w:tcMar>
              <w:top w:w="100" w:type="dxa"/>
              <w:bottom w:w="100" w:type="dxa"/>
              <w:left w:w="130" w:type="dxa"/>
              <w:right w:w="130" w:type="dxa"/>
            </w:tcMar>
            <w:vAlign w:val="center"/>
            <w:shd w:fill="F1F5F9"/>
          </w:tcPr>
          <w:p>
            <w:pPr>
              <w:spacing w:before="40" w:after="40"/>
            </w:pPr>
            <w:r>
              <w:rPr>
                <w:rFonts w:ascii="Calibri" w:hAnsi="Calibri"/>
                <w:b/>
                <w:i w:val="0"/>
                <w:color w:val="0F172A"/>
                <w:sz w:val="19"/>
              </w:rPr>
              <w:t>Context Window</w:t>
            </w:r>
          </w:p>
        </w:tc>
        <w:tc>
          <w:tcPr>
            <w:tcW w:type="dxa" w:w="1872"/>
            <w:tcMar>
              <w:top w:w="100" w:type="dxa"/>
              <w:bottom w:w="100" w:type="dxa"/>
              <w:left w:w="130" w:type="dxa"/>
              <w:right w:w="130" w:type="dxa"/>
            </w:tcMar>
            <w:vAlign w:val="center"/>
            <w:shd w:fill="F1F5F9"/>
          </w:tcPr>
          <w:p>
            <w:pPr>
              <w:spacing w:before="40" w:after="40"/>
            </w:pPr>
            <w:r>
              <w:rPr>
                <w:rFonts w:ascii="Calibri" w:hAnsi="Calibri"/>
                <w:b/>
                <w:i w:val="0"/>
                <w:color w:val="0F172A"/>
                <w:sz w:val="19"/>
              </w:rPr>
              <w:t>Free Tier Allowance</w:t>
            </w:r>
          </w:p>
        </w:tc>
      </w:tr>
      <w:tr>
        <w:trPr>
          <w:cantSplit/>
        </w:trPr>
        <w:tc>
          <w:tcPr>
            <w:tcW w:type="dxa" w:w="2304"/>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Groq: Llama 3.1 8B Instant</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$0.05 / 1M</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$0.08 / 1M</w:t>
            </w:r>
          </w:p>
        </w:tc>
        <w:tc>
          <w:tcPr>
            <w:tcW w:type="dxa" w:w="201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128k tokens</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Free tier (Generous RPM)</w:t>
            </w:r>
          </w:p>
        </w:tc>
      </w:tr>
      <w:tr>
        <w:trPr>
          <w:cantSplit/>
        </w:trPr>
        <w:tc>
          <w:tcPr>
            <w:tcW w:type="dxa" w:w="2304"/>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Groq: Llama 3.3 70B Versatile</w:t>
            </w:r>
          </w:p>
        </w:tc>
        <w:tc>
          <w:tcPr>
            <w:tcW w:type="dxa" w:w="187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$0.59 / 1M</w:t>
            </w:r>
          </w:p>
        </w:tc>
        <w:tc>
          <w:tcPr>
            <w:tcW w:type="dxa" w:w="187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$0.79 / 1M</w:t>
            </w:r>
          </w:p>
        </w:tc>
        <w:tc>
          <w:tcPr>
            <w:tcW w:type="dxa" w:w="2016"/>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128k tokens</w:t>
            </w:r>
          </w:p>
        </w:tc>
        <w:tc>
          <w:tcPr>
            <w:tcW w:type="dxa" w:w="187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6,000 RPM / 500k TPM</w:t>
            </w:r>
          </w:p>
        </w:tc>
      </w:tr>
      <w:tr>
        <w:trPr>
          <w:cantSplit/>
        </w:trPr>
        <w:tc>
          <w:tcPr>
            <w:tcW w:type="dxa" w:w="2304"/>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Google Gemini 2.5 Flash</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$0.075 / 1M</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$0.30 / 1M</w:t>
            </w:r>
          </w:p>
        </w:tc>
        <w:tc>
          <w:tcPr>
            <w:tcW w:type="dxa" w:w="201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1,048,576 tokens</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15 RPM / 1,500 RPD Free</w:t>
            </w:r>
          </w:p>
        </w:tc>
      </w:tr>
      <w:tr>
        <w:trPr>
          <w:cantSplit/>
        </w:trPr>
        <w:tc>
          <w:tcPr>
            <w:tcW w:type="dxa" w:w="2304"/>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OpenRouter: Llama 3.3 70B</w:t>
            </w:r>
          </w:p>
        </w:tc>
        <w:tc>
          <w:tcPr>
            <w:tcW w:type="dxa" w:w="187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$0.40 / 1M</w:t>
            </w:r>
          </w:p>
        </w:tc>
        <w:tc>
          <w:tcPr>
            <w:tcW w:type="dxa" w:w="187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$0.70 / 1M</w:t>
            </w:r>
          </w:p>
        </w:tc>
        <w:tc>
          <w:tcPr>
            <w:tcW w:type="dxa" w:w="2016"/>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128k tokens</w:t>
            </w:r>
          </w:p>
        </w:tc>
        <w:tc>
          <w:tcPr>
            <w:tcW w:type="dxa" w:w="187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Pay-as-you-go credit pool</w:t>
            </w:r>
          </w:p>
        </w:tc>
      </w:tr>
      <w:tr>
        <w:trPr>
          <w:cantSplit/>
        </w:trPr>
        <w:tc>
          <w:tcPr>
            <w:tcW w:type="dxa" w:w="2304"/>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Anthropic: Claude 3.5 Sonnet</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$3.00 / 1M</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$15.00 / 1M</w:t>
            </w:r>
          </w:p>
        </w:tc>
        <w:tc>
          <w:tcPr>
            <w:tcW w:type="dxa" w:w="201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200k tokens</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No free tier (Expensive)</w:t>
            </w:r>
          </w:p>
        </w:tc>
      </w:tr>
    </w:tbl>
    <w:p>
      <w:pPr>
        <w:spacing w:line="276" w:lineRule="auto" w:after="80" w:before="0"/>
      </w:pPr>
    </w:p>
    <w:p>
      <w:pPr>
        <w:keepNext/>
        <w:spacing w:before="280" w:after="80"/>
      </w:pPr>
      <w:r>
        <w:rPr>
          <w:rFonts w:ascii="Calibri" w:hAnsi="Calibri"/>
          <w:b/>
          <w:i w:val="0"/>
          <w:color w:val="15803D"/>
          <w:sz w:val="26"/>
        </w:rPr>
        <w:t>3.2 Exact Cost Per Feature Execution</w:t>
      </w:r>
    </w:p>
    <w:p>
      <w:pPr>
        <w:spacing w:line="276" w:lineRule="auto" w:after="80" w:before="0"/>
      </w:pPr>
      <w:r>
        <w:rPr>
          <w:rFonts w:ascii="Calibri" w:hAnsi="Calibri"/>
          <w:b w:val="0"/>
          <w:i w:val="0"/>
          <w:color w:val="334155"/>
          <w:sz w:val="21"/>
        </w:rPr>
        <w:t>Based on measured prompt sizes, completion lengths, and token counts across the production codebase:</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2736"/>
            <w:tcMar>
              <w:top w:w="100" w:type="dxa"/>
              <w:bottom w:w="100" w:type="dxa"/>
              <w:left w:w="130" w:type="dxa"/>
              <w:right w:w="130" w:type="dxa"/>
            </w:tcMar>
            <w:vAlign w:val="center"/>
            <w:shd w:fill="F1F5F9"/>
          </w:tcPr>
          <w:p>
            <w:pPr>
              <w:spacing w:before="40" w:after="40"/>
            </w:pPr>
            <w:r>
              <w:rPr>
                <w:rFonts w:ascii="Calibri" w:hAnsi="Calibri"/>
                <w:b/>
                <w:i w:val="0"/>
                <w:color w:val="0F172A"/>
                <w:sz w:val="19"/>
              </w:rPr>
              <w:t>EventSlot Feature</w:t>
            </w:r>
          </w:p>
        </w:tc>
        <w:tc>
          <w:tcPr>
            <w:tcW w:type="dxa" w:w="1872"/>
            <w:tcMar>
              <w:top w:w="100" w:type="dxa"/>
              <w:bottom w:w="100" w:type="dxa"/>
              <w:left w:w="130" w:type="dxa"/>
              <w:right w:w="130" w:type="dxa"/>
            </w:tcMar>
            <w:vAlign w:val="center"/>
            <w:shd w:fill="F1F5F9"/>
          </w:tcPr>
          <w:p>
            <w:pPr>
              <w:spacing w:before="40" w:after="40"/>
            </w:pPr>
            <w:r>
              <w:rPr>
                <w:rFonts w:ascii="Calibri" w:hAnsi="Calibri"/>
                <w:b/>
                <w:i w:val="0"/>
                <w:color w:val="0F172A"/>
                <w:sz w:val="19"/>
              </w:rPr>
              <w:t>Avg Input Tokens</w:t>
            </w:r>
          </w:p>
        </w:tc>
        <w:tc>
          <w:tcPr>
            <w:tcW w:type="dxa" w:w="1872"/>
            <w:tcMar>
              <w:top w:w="100" w:type="dxa"/>
              <w:bottom w:w="100" w:type="dxa"/>
              <w:left w:w="130" w:type="dxa"/>
              <w:right w:w="130" w:type="dxa"/>
            </w:tcMar>
            <w:vAlign w:val="center"/>
            <w:shd w:fill="F1F5F9"/>
          </w:tcPr>
          <w:p>
            <w:pPr>
              <w:spacing w:before="40" w:after="40"/>
            </w:pPr>
            <w:r>
              <w:rPr>
                <w:rFonts w:ascii="Calibri" w:hAnsi="Calibri"/>
                <w:b/>
                <w:i w:val="0"/>
                <w:color w:val="0F172A"/>
                <w:sz w:val="19"/>
              </w:rPr>
              <w:t>Avg Output Tokens</w:t>
            </w:r>
          </w:p>
        </w:tc>
        <w:tc>
          <w:tcPr>
            <w:tcW w:type="dxa" w:w="1728"/>
            <w:tcMar>
              <w:top w:w="100" w:type="dxa"/>
              <w:bottom w:w="100" w:type="dxa"/>
              <w:left w:w="130" w:type="dxa"/>
              <w:right w:w="130" w:type="dxa"/>
            </w:tcMar>
            <w:vAlign w:val="center"/>
            <w:shd w:fill="F1F5F9"/>
          </w:tcPr>
          <w:p>
            <w:pPr>
              <w:spacing w:before="40" w:after="40"/>
            </w:pPr>
            <w:r>
              <w:rPr>
                <w:rFonts w:ascii="Calibri" w:hAnsi="Calibri"/>
                <w:b/>
                <w:i w:val="0"/>
                <w:color w:val="0F172A"/>
                <w:sz w:val="19"/>
              </w:rPr>
              <w:t>Provider Used</w:t>
            </w:r>
          </w:p>
        </w:tc>
        <w:tc>
          <w:tcPr>
            <w:tcW w:type="dxa" w:w="1728"/>
            <w:tcMar>
              <w:top w:w="100" w:type="dxa"/>
              <w:bottom w:w="100" w:type="dxa"/>
              <w:left w:w="130" w:type="dxa"/>
              <w:right w:w="130" w:type="dxa"/>
            </w:tcMar>
            <w:vAlign w:val="center"/>
            <w:shd w:fill="F1F5F9"/>
          </w:tcPr>
          <w:p>
            <w:pPr>
              <w:spacing w:before="40" w:after="40"/>
            </w:pPr>
            <w:r>
              <w:rPr>
                <w:rFonts w:ascii="Calibri" w:hAnsi="Calibri"/>
                <w:b/>
                <w:i w:val="0"/>
                <w:color w:val="0F172A"/>
                <w:sz w:val="19"/>
              </w:rPr>
              <w:t>Unit Cost (USD)</w:t>
            </w:r>
          </w:p>
        </w:tc>
      </w:tr>
      <w:tr>
        <w:trPr>
          <w:cantSplit/>
        </w:trPr>
        <w:tc>
          <w:tcPr>
            <w:tcW w:type="dxa" w:w="273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Dashboard Insight Cards</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420 tokens</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380 tokens</w:t>
            </w:r>
          </w:p>
        </w:tc>
        <w:tc>
          <w:tcPr>
            <w:tcW w:type="dxa" w:w="1728"/>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Groq 70B</w:t>
            </w:r>
          </w:p>
        </w:tc>
        <w:tc>
          <w:tcPr>
            <w:tcW w:type="dxa" w:w="1728"/>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$0.00054 (~1/20th of a cent)</w:t>
            </w:r>
          </w:p>
        </w:tc>
      </w:tr>
      <w:tr>
        <w:trPr>
          <w:cantSplit/>
        </w:trPr>
        <w:tc>
          <w:tcPr>
            <w:tcW w:type="dxa" w:w="2736"/>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Executive 5-Slide Board Deck</w:t>
            </w:r>
          </w:p>
        </w:tc>
        <w:tc>
          <w:tcPr>
            <w:tcW w:type="dxa" w:w="187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650 tokens</w:t>
            </w:r>
          </w:p>
        </w:tc>
        <w:tc>
          <w:tcPr>
            <w:tcW w:type="dxa" w:w="187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1,200 tokens</w:t>
            </w:r>
          </w:p>
        </w:tc>
        <w:tc>
          <w:tcPr>
            <w:tcW w:type="dxa" w:w="1728"/>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Gemini 2.5 / Groq</w:t>
            </w:r>
          </w:p>
        </w:tc>
        <w:tc>
          <w:tcPr>
            <w:tcW w:type="dxa" w:w="1728"/>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$0.00041 (Gemini) / $0.0013 (Groq)</w:t>
            </w:r>
          </w:p>
        </w:tc>
      </w:tr>
      <w:tr>
        <w:trPr>
          <w:cantSplit/>
        </w:trPr>
        <w:tc>
          <w:tcPr>
            <w:tcW w:type="dxa" w:w="273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10-Section Strategic Word Report</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1,800 tokens</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2,200 tokens</w:t>
            </w:r>
          </w:p>
        </w:tc>
        <w:tc>
          <w:tcPr>
            <w:tcW w:type="dxa" w:w="1728"/>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Groq 70B / Claude</w:t>
            </w:r>
          </w:p>
        </w:tc>
        <w:tc>
          <w:tcPr>
            <w:tcW w:type="dxa" w:w="1728"/>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$0.0028 (Groq) / $0.038 (Claude)</w:t>
            </w:r>
          </w:p>
        </w:tc>
      </w:tr>
      <w:tr>
        <w:trPr>
          <w:cantSplit/>
        </w:trPr>
        <w:tc>
          <w:tcPr>
            <w:tcW w:type="dxa" w:w="2736"/>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Marketing Multi-Channel Copy</w:t>
            </w:r>
          </w:p>
        </w:tc>
        <w:tc>
          <w:tcPr>
            <w:tcW w:type="dxa" w:w="187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320 tokens</w:t>
            </w:r>
          </w:p>
        </w:tc>
        <w:tc>
          <w:tcPr>
            <w:tcW w:type="dxa" w:w="187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650 tokens</w:t>
            </w:r>
          </w:p>
        </w:tc>
        <w:tc>
          <w:tcPr>
            <w:tcW w:type="dxa" w:w="1728"/>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Gemini 2.5 Flash</w:t>
            </w:r>
          </w:p>
        </w:tc>
        <w:tc>
          <w:tcPr>
            <w:tcW w:type="dxa" w:w="1728"/>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$0.00022 (~1/45th of a cent)</w:t>
            </w:r>
          </w:p>
        </w:tc>
      </w:tr>
      <w:tr>
        <w:trPr>
          <w:cantSplit/>
        </w:trPr>
        <w:tc>
          <w:tcPr>
            <w:tcW w:type="dxa" w:w="273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Plain-English Analytics Q&amp;A</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550 tokens</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280 tokens</w:t>
            </w:r>
          </w:p>
        </w:tc>
        <w:tc>
          <w:tcPr>
            <w:tcW w:type="dxa" w:w="1728"/>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Groq 70B</w:t>
            </w:r>
          </w:p>
        </w:tc>
        <w:tc>
          <w:tcPr>
            <w:tcW w:type="dxa" w:w="1728"/>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$0.00054 (~1/18th of a cent)</w:t>
            </w:r>
          </w:p>
        </w:tc>
      </w:tr>
      <w:tr>
        <w:trPr>
          <w:cantSplit/>
        </w:trPr>
        <w:tc>
          <w:tcPr>
            <w:tcW w:type="dxa" w:w="2736"/>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Receptionist Chat (Text Message)</w:t>
            </w:r>
          </w:p>
        </w:tc>
        <w:tc>
          <w:tcPr>
            <w:tcW w:type="dxa" w:w="187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850 tokens</w:t>
            </w:r>
          </w:p>
        </w:tc>
        <w:tc>
          <w:tcPr>
            <w:tcW w:type="dxa" w:w="187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300 tokens</w:t>
            </w:r>
          </w:p>
        </w:tc>
        <w:tc>
          <w:tcPr>
            <w:tcW w:type="dxa" w:w="1728"/>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Groq 8B / 70B</w:t>
            </w:r>
          </w:p>
        </w:tc>
        <w:tc>
          <w:tcPr>
            <w:tcW w:type="dxa" w:w="1728"/>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$0.00007 (8B) / $0.0007 (70B)</w:t>
            </w:r>
          </w:p>
        </w:tc>
      </w:tr>
      <w:tr>
        <w:trPr>
          <w:cantSplit/>
        </w:trPr>
        <w:tc>
          <w:tcPr>
            <w:tcW w:type="dxa" w:w="273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Receptionist Vision Screenshot</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1,400 tokens</w:t>
            </w:r>
          </w:p>
        </w:tc>
        <w:tc>
          <w:tcPr>
            <w:tcW w:type="dxa" w:w="187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450 tokens</w:t>
            </w:r>
          </w:p>
        </w:tc>
        <w:tc>
          <w:tcPr>
            <w:tcW w:type="dxa" w:w="1728"/>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Groq Vision 17B</w:t>
            </w:r>
          </w:p>
        </w:tc>
        <w:tc>
          <w:tcPr>
            <w:tcW w:type="dxa" w:w="1728"/>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$0.0011 (~1/10th of a cent)</w:t>
            </w:r>
          </w:p>
        </w:tc>
      </w:tr>
    </w:tbl>
    <w:p>
      <w:pPr>
        <w:spacing w:line="276" w:lineRule="auto" w:after="80" w:before="0"/>
      </w:pPr>
    </w:p>
    <w:p>
      <w:pPr>
        <w:keepNext/>
        <w:spacing w:before="280" w:after="80"/>
      </w:pPr>
      <w:r>
        <w:rPr>
          <w:rFonts w:ascii="Calibri" w:hAnsi="Calibri"/>
          <w:b/>
          <w:i w:val="0"/>
          <w:color w:val="15803D"/>
          <w:sz w:val="26"/>
        </w:rPr>
        <w:t>3.3 Monthly Operational Projections at Scale</w:t>
      </w:r>
    </w:p>
    <w:p>
      <w:pPr>
        <w:spacing w:line="276" w:lineRule="auto" w:after="80" w:before="0"/>
      </w:pPr>
      <w:r>
        <w:rPr>
          <w:rFonts w:ascii="Calibri" w:hAnsi="Calibri"/>
          <w:b w:val="0"/>
          <w:i w:val="0"/>
          <w:color w:val="334155"/>
          <w:sz w:val="21"/>
        </w:rPr>
        <w:t>Consider an aggressive growth scenario with 1,000 active monthly organizers running 2,500 events and generating 100,000 total AI interactions per month:</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50,000 Insight Card Generations: </w:t>
      </w:r>
      <w:r>
        <w:rPr>
          <w:rFonts w:ascii="Calibri" w:hAnsi="Calibri"/>
          <w:b w:val="0"/>
          <w:i w:val="0"/>
          <w:color w:val="334155"/>
          <w:sz w:val="21"/>
        </w:rPr>
        <w:t>50,000 generations × $0.00054 = $27.00 USD / month</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30,000 Customer Support Conversations: </w:t>
      </w:r>
      <w:r>
        <w:rPr>
          <w:rFonts w:ascii="Calibri" w:hAnsi="Calibri"/>
          <w:b w:val="0"/>
          <w:i w:val="0"/>
          <w:color w:val="334155"/>
          <w:sz w:val="21"/>
        </w:rPr>
        <w:t>30,000 messages × $0.00015 (blended 8B/70B) = $4.50 USD / month</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10,000 Marketing Copy Generations: </w:t>
      </w:r>
      <w:r>
        <w:rPr>
          <w:rFonts w:ascii="Calibri" w:hAnsi="Calibri"/>
          <w:b w:val="0"/>
          <w:i w:val="0"/>
          <w:color w:val="334155"/>
          <w:sz w:val="21"/>
        </w:rPr>
        <w:t>10,000 copies × $0.00022 = $2.20 USD / month</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5,000 Executive Presentation Decks: </w:t>
      </w:r>
      <w:r>
        <w:rPr>
          <w:rFonts w:ascii="Calibri" w:hAnsi="Calibri"/>
          <w:b w:val="0"/>
          <w:i w:val="0"/>
          <w:color w:val="334155"/>
          <w:sz w:val="21"/>
        </w:rPr>
        <w:t>5,000 decks × $0.00041 = $2.05 USD / month</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2,500 Full Strategic Intelligence Word Reports: </w:t>
      </w:r>
      <w:r>
        <w:rPr>
          <w:rFonts w:ascii="Calibri" w:hAnsi="Calibri"/>
          <w:b w:val="0"/>
          <w:i w:val="0"/>
          <w:color w:val="334155"/>
          <w:sz w:val="21"/>
        </w:rPr>
        <w:t>2,500 full downloads × $0.0028 (Groq) = $7.00 USD / month</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5,000 Analytics Q&amp;A Queries: </w:t>
      </w:r>
      <w:r>
        <w:rPr>
          <w:rFonts w:ascii="Calibri" w:hAnsi="Calibri"/>
          <w:b w:val="0"/>
          <w:i w:val="0"/>
          <w:color w:val="334155"/>
          <w:sz w:val="21"/>
        </w:rPr>
        <w:t>5,000 queries × $0.00054 = $2.70 USD / month</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180" w:type="dxa"/>
              <w:right w:w="180" w:type="dxa"/>
            </w:tcMar>
          </w:tcPr>
          <w:p>
            <w:pPr>
              <w:spacing w:before="40" w:after="40" w:line="276" w:lineRule="auto"/>
            </w:pPr>
            <w:r>
              <w:rPr>
                <w:rFonts w:ascii="Calibri" w:hAnsi="Calibri"/>
                <w:b/>
                <w:i w:val="0"/>
                <w:color w:val="15803D"/>
                <w:sz w:val="20"/>
              </w:rPr>
              <w:t xml:space="preserve">[THE ECONOMIC VERDICT] </w:t>
            </w:r>
            <w:r>
              <w:rPr>
                <w:rFonts w:ascii="Calibri" w:hAnsi="Calibri"/>
                <w:b w:val="0"/>
                <w:i w:val="0"/>
                <w:color w:val="1E293B"/>
                <w:sz w:val="20"/>
              </w:rPr>
              <w:t>Total Projected Upstream AI Cost at 100,000 monthly interactions: Approximately $45.45 USD per month! Because EventSlot uses high-throughput Groq LPUs and Google Gemini 2.5 Flash instead of pure Claude 3.5 Sonnet, our AI operating margin exceeds 95% when monetized via token packs and Pro tiers.</w:t>
            </w:r>
          </w:p>
        </w:tc>
      </w:tr>
    </w:tbl>
    <w:p>
      <w:pPr>
        <w:spacing w:after="80"/>
      </w:pPr>
    </w:p>
    <w:p>
      <w:pPr>
        <w:keepNext/>
        <w:spacing w:before="400" w:after="120"/>
      </w:pPr>
      <w:r>
        <w:rPr>
          <w:rFonts w:ascii="Calibri" w:hAnsi="Calibri"/>
          <w:b/>
          <w:i w:val="0"/>
          <w:color w:val="0F172A"/>
          <w:sz w:val="32"/>
        </w:rPr>
        <w:t>4. Detailed Breakdown of What We Already Have Today</w:t>
      </w:r>
    </w:p>
    <w:p>
      <w:pPr>
        <w:spacing w:line="276" w:lineRule="auto" w:after="80" w:before="0"/>
      </w:pPr>
      <w:r>
        <w:rPr>
          <w:rFonts w:ascii="Calibri" w:hAnsi="Calibri"/>
          <w:b w:val="0"/>
          <w:i w:val="0"/>
          <w:color w:val="334155"/>
          <w:sz w:val="21"/>
        </w:rPr>
        <w:t>EventSlot contains 12 distinct, fully-coded AI subsystems operating across organizer analytics, attendee conversion, marketing operations, and administrative customer support.</w:t>
      </w:r>
    </w:p>
    <w:p>
      <w:pPr>
        <w:keepNext/>
        <w:spacing w:before="280" w:after="80"/>
      </w:pPr>
      <w:r>
        <w:rPr>
          <w:rFonts w:ascii="Calibri" w:hAnsi="Calibri"/>
          <w:b/>
          <w:i w:val="0"/>
          <w:color w:val="15803D"/>
          <w:sz w:val="26"/>
        </w:rPr>
        <w:t>4.1 Per-Event AI Insight Cards (lib/generateInsightCards.ts)</w:t>
      </w:r>
    </w:p>
    <w:p>
      <w:pPr>
        <w:spacing w:line="276" w:lineRule="auto" w:after="80" w:before="0"/>
      </w:pPr>
      <w:r>
        <w:rPr>
          <w:rFonts w:ascii="Calibri" w:hAnsi="Calibri"/>
          <w:b/>
          <w:i w:val="0"/>
          <w:color w:val="0F172A"/>
          <w:sz w:val="21"/>
        </w:rPr>
        <w:t xml:space="preserve">Location: </w:t>
      </w:r>
      <w:r>
        <w:rPr>
          <w:rFonts w:ascii="Calibri" w:hAnsi="Calibri"/>
          <w:b w:val="0"/>
          <w:i w:val="0"/>
          <w:color w:val="334155"/>
          <w:sz w:val="21"/>
        </w:rPr>
        <w:t>Surfaced directly on the organizer's event management dashboard (/dashboard/events/[slug] -&gt; Analytics).</w:t>
      </w:r>
    </w:p>
    <w:p>
      <w:pPr>
        <w:spacing w:line="276" w:lineRule="auto" w:after="80" w:before="0"/>
      </w:pPr>
      <w:r>
        <w:rPr>
          <w:rFonts w:ascii="Calibri" w:hAnsi="Calibri"/>
          <w:b/>
          <w:i w:val="0"/>
          <w:color w:val="0F172A"/>
          <w:sz w:val="21"/>
        </w:rPr>
        <w:t xml:space="preserve">Inputs Ingested: </w:t>
      </w:r>
      <w:r>
        <w:rPr>
          <w:rFonts w:ascii="Calibri" w:hAnsi="Calibri"/>
          <w:b w:val="0"/>
          <w:i w:val="0"/>
          <w:color w:val="334155"/>
          <w:sz w:val="21"/>
        </w:rPr>
        <w:t>Total page views, total registrations, conversion rate (views -&gt; regs %), confirmed count, waitlist count, waitlist conversion rate, peak registration day, peak registration hour, days remaining until event.</w:t>
      </w:r>
    </w:p>
    <w:p>
      <w:pPr>
        <w:spacing w:line="276" w:lineRule="auto" w:after="80" w:before="0"/>
      </w:pPr>
      <w:r>
        <w:rPr>
          <w:rFonts w:ascii="Calibri" w:hAnsi="Calibri"/>
          <w:b/>
          <w:i w:val="0"/>
          <w:color w:val="0F172A"/>
          <w:sz w:val="21"/>
        </w:rPr>
        <w:t xml:space="preserve">Underlying Logic: </w:t>
      </w:r>
      <w:r>
        <w:rPr>
          <w:rFonts w:ascii="Calibri" w:hAnsi="Calibri"/>
          <w:b w:val="0"/>
          <w:i w:val="0"/>
          <w:color w:val="334155"/>
          <w:sz w:val="21"/>
        </w:rPr>
        <w:t>A specialized system prompt forces the LLM to return exactly 4 JSON objects typed as: 'success' (positive milestone), 'warning' (operational bottlenecks), 'tip' (actionable growth advice), and 'action' (a concrete task to execute in the next 48 hours, titled 'Suggested Next Action').</w:t>
      </w:r>
    </w:p>
    <w:p>
      <w:pPr>
        <w:spacing w:line="276" w:lineRule="auto" w:after="80" w:before="0"/>
      </w:pPr>
      <w:r>
        <w:rPr>
          <w:rFonts w:ascii="Calibri" w:hAnsi="Calibri"/>
          <w:b/>
          <w:i w:val="0"/>
          <w:color w:val="0F172A"/>
          <w:sz w:val="21"/>
        </w:rPr>
        <w:t xml:space="preserve">Deterministic Guardrail: </w:t>
      </w:r>
      <w:r>
        <w:rPr>
          <w:rFonts w:ascii="Calibri" w:hAnsi="Calibri"/>
          <w:b w:val="0"/>
          <w:i w:val="0"/>
          <w:color w:val="334155"/>
          <w:sz w:val="21"/>
        </w:rPr>
        <w:t>If the LLM fails or is rate-limited, buildFallbackCards() calculates conversion status directly from the raw numbers (e.g. flagging waitlist pressure if waitlist &gt; 0 or conversion friction if views &gt;= 20 and conversion &lt; 10%).</w:t>
      </w:r>
    </w:p>
    <w:p>
      <w:pPr>
        <w:keepNext/>
        <w:spacing w:before="280" w:after="80"/>
      </w:pPr>
      <w:r>
        <w:rPr>
          <w:rFonts w:ascii="Calibri" w:hAnsi="Calibri"/>
          <w:b/>
          <w:i w:val="0"/>
          <w:color w:val="15803D"/>
          <w:sz w:val="26"/>
        </w:rPr>
        <w:t>4.2 Gemini AI Executive Committee Presentation Deck (app/api/insights/presentation/route.ts)</w:t>
      </w:r>
    </w:p>
    <w:p>
      <w:pPr>
        <w:spacing w:line="276" w:lineRule="auto" w:after="80" w:before="0"/>
      </w:pPr>
      <w:r>
        <w:rPr>
          <w:rFonts w:ascii="Calibri" w:hAnsi="Calibri"/>
          <w:b/>
          <w:i w:val="0"/>
          <w:color w:val="0F172A"/>
          <w:sz w:val="21"/>
        </w:rPr>
        <w:t xml:space="preserve">Location: </w:t>
      </w:r>
      <w:r>
        <w:rPr>
          <w:rFonts w:ascii="Calibri" w:hAnsi="Calibri"/>
          <w:b w:val="0"/>
          <w:i w:val="0"/>
          <w:color w:val="334155"/>
          <w:sz w:val="21"/>
        </w:rPr>
        <w:t>Accessible from the Live Event Command Center via the 'Executive Presentation' trigger modal.</w:t>
      </w:r>
    </w:p>
    <w:p>
      <w:pPr>
        <w:spacing w:line="276" w:lineRule="auto" w:after="80" w:before="0"/>
      </w:pPr>
      <w:r>
        <w:rPr>
          <w:rFonts w:ascii="Calibri" w:hAnsi="Calibri"/>
          <w:b/>
          <w:i w:val="0"/>
          <w:color w:val="0F172A"/>
          <w:sz w:val="21"/>
        </w:rPr>
        <w:t xml:space="preserve">Inputs Ingested: </w:t>
      </w:r>
      <w:r>
        <w:rPr>
          <w:rFonts w:ascii="Calibri" w:hAnsi="Calibri"/>
          <w:b w:val="0"/>
          <w:i w:val="0"/>
          <w:color w:val="334155"/>
          <w:sz w:val="21"/>
        </w:rPr>
        <w:t>Cohort event titles, live verified check-ins, total confirmed registrations, turnout percentage, active entry gates, hourly check-in velocity curve, admission tier breakdown.</w:t>
      </w:r>
    </w:p>
    <w:p>
      <w:pPr>
        <w:spacing w:line="276" w:lineRule="auto" w:after="80" w:before="0"/>
      </w:pPr>
      <w:r>
        <w:rPr>
          <w:rFonts w:ascii="Calibri" w:hAnsi="Calibri"/>
          <w:b/>
          <w:i w:val="0"/>
          <w:color w:val="0F172A"/>
          <w:sz w:val="21"/>
        </w:rPr>
        <w:t xml:space="preserve">Underlying Logic: </w:t>
      </w:r>
      <w:r>
        <w:rPr>
          <w:rFonts w:ascii="Calibri" w:hAnsi="Calibri"/>
          <w:b w:val="0"/>
          <w:i w:val="0"/>
          <w:color w:val="334155"/>
          <w:sz w:val="21"/>
        </w:rPr>
        <w:t>The API prompts Gemini 2.5 Flash / Groq to synthesize 5 boardroom-ready slides: 1) Executive Overview &amp; Scope, 2) Cohort Turnout &amp; Conversion Benchmarks, 3) Inflow Velocity &amp; Peak Traffic Analysis, 4) Audience Demographics &amp; Admission Tier Absorption, 5) Committee Strategic Recommendations. The front-end renders these into an interactive 16:9 fullscreen slideshow with dedicated @media print CSS for instant landscape PDF export.</w:t>
      </w:r>
    </w:p>
    <w:p>
      <w:pPr>
        <w:spacing w:line="276" w:lineRule="auto" w:after="80" w:before="0"/>
      </w:pPr>
      <w:r>
        <w:rPr>
          <w:rFonts w:ascii="Calibri" w:hAnsi="Calibri"/>
          <w:b/>
          <w:i w:val="0"/>
          <w:color w:val="0F172A"/>
          <w:sz w:val="21"/>
        </w:rPr>
        <w:t xml:space="preserve">Deterministic Guardrail: </w:t>
      </w:r>
      <w:r>
        <w:rPr>
          <w:rFonts w:ascii="Calibri" w:hAnsi="Calibri"/>
          <w:b w:val="0"/>
          <w:i w:val="0"/>
          <w:color w:val="334155"/>
          <w:sz w:val="21"/>
        </w:rPr>
        <w:t>Full 5-slide template generated mathematically from real-time ticket logs if offline.</w:t>
      </w:r>
    </w:p>
    <w:p>
      <w:pPr>
        <w:keepNext/>
        <w:spacing w:before="280" w:after="80"/>
      </w:pPr>
      <w:r>
        <w:rPr>
          <w:rFonts w:ascii="Calibri" w:hAnsi="Calibri"/>
          <w:b/>
          <w:i w:val="0"/>
          <w:color w:val="15803D"/>
          <w:sz w:val="26"/>
        </w:rPr>
        <w:t>4.3 AI Receptionist &amp; Multi-Layer Assistant (app/api/assistant/message/route.ts)</w:t>
      </w:r>
    </w:p>
    <w:p>
      <w:pPr>
        <w:spacing w:line="276" w:lineRule="auto" w:after="80" w:before="0"/>
      </w:pPr>
      <w:r>
        <w:rPr>
          <w:rFonts w:ascii="Calibri" w:hAnsi="Calibri"/>
          <w:b/>
          <w:i w:val="0"/>
          <w:color w:val="0F172A"/>
          <w:sz w:val="21"/>
        </w:rPr>
        <w:t xml:space="preserve">Location: </w:t>
      </w:r>
      <w:r>
        <w:rPr>
          <w:rFonts w:ascii="Calibri" w:hAnsi="Calibri"/>
          <w:b w:val="0"/>
          <w:i w:val="0"/>
          <w:color w:val="334155"/>
          <w:sz w:val="21"/>
        </w:rPr>
        <w:t>Global floating receptionist widget available across the dashboard and marketing surfaces.</w:t>
      </w:r>
    </w:p>
    <w:p>
      <w:pPr>
        <w:spacing w:line="276" w:lineRule="auto" w:after="80" w:before="0"/>
      </w:pPr>
      <w:r>
        <w:rPr>
          <w:rFonts w:ascii="Calibri" w:hAnsi="Calibri"/>
          <w:b/>
          <w:i w:val="0"/>
          <w:color w:val="0F172A"/>
          <w:sz w:val="21"/>
        </w:rPr>
        <w:t xml:space="preserve">Inputs Ingested: </w:t>
      </w:r>
      <w:r>
        <w:rPr>
          <w:rFonts w:ascii="Calibri" w:hAnsi="Calibri"/>
          <w:b w:val="0"/>
          <w:i w:val="0"/>
          <w:color w:val="334155"/>
          <w:sz w:val="21"/>
        </w:rPr>
        <w:t>User query, session ID, optional error screenshots (up to 3 images, 4MB each), user role, active event slug.</w:t>
      </w:r>
    </w:p>
    <w:p>
      <w:pPr>
        <w:spacing w:line="276" w:lineRule="auto" w:after="80" w:before="0"/>
      </w:pPr>
      <w:r>
        <w:rPr>
          <w:rFonts w:ascii="Calibri" w:hAnsi="Calibri"/>
          <w:b/>
          <w:i w:val="0"/>
          <w:color w:val="0F172A"/>
          <w:sz w:val="21"/>
        </w:rPr>
        <w:t xml:space="preserve">Underlying Logic: </w:t>
      </w:r>
      <w:r>
        <w:rPr>
          <w:rFonts w:ascii="Calibri" w:hAnsi="Calibri"/>
          <w:b w:val="0"/>
          <w:i w:val="0"/>
          <w:color w:val="334155"/>
          <w:sz w:val="21"/>
        </w:rPr>
        <w:t>Operates across 4 distinct dynamic context layers:</w:t>
      </w:r>
    </w:p>
    <w:p>
      <w:pPr>
        <w:spacing w:line="276" w:lineRule="auto" w:after="80" w:before="0"/>
        <w:ind w:left="360"/>
      </w:pPr>
      <w:r>
        <w:rPr>
          <w:rFonts w:ascii="Calibri" w:hAnsi="Calibri"/>
          <w:b/>
          <w:i w:val="0"/>
          <w:color w:val="15803D"/>
          <w:sz w:val="21"/>
        </w:rPr>
        <w:t xml:space="preserve">• </w:t>
      </w:r>
      <w:r>
        <w:rPr>
          <w:rFonts w:ascii="Calibri" w:hAnsi="Calibri"/>
          <w:b w:val="0"/>
          <w:i w:val="0"/>
          <w:color w:val="334155"/>
          <w:sz w:val="21"/>
        </w:rPr>
        <w:t>Layer 1 (Long-Term Memory): Loads previous user preferences and organizer history from Prisma's AssistantMemory table.</w:t>
      </w:r>
    </w:p>
    <w:p>
      <w:pPr>
        <w:spacing w:line="276" w:lineRule="auto" w:after="80" w:before="0"/>
        <w:ind w:left="360"/>
      </w:pPr>
      <w:r>
        <w:rPr>
          <w:rFonts w:ascii="Calibri" w:hAnsi="Calibri"/>
          <w:b/>
          <w:i w:val="0"/>
          <w:color w:val="15803D"/>
          <w:sz w:val="21"/>
        </w:rPr>
        <w:t xml:space="preserve">• </w:t>
      </w:r>
      <w:r>
        <w:rPr>
          <w:rFonts w:ascii="Calibri" w:hAnsi="Calibri"/>
          <w:b w:val="0"/>
          <w:i w:val="0"/>
          <w:color w:val="334155"/>
          <w:sz w:val="21"/>
        </w:rPr>
        <w:t>Layer 2 (Live Database Telemetry): If the user asks 'How are my registrations?', getEventInsights() queries the database in real-time and injects live fill rates, waitlist numbers, and peak registration velocity directly into the system prompt.</w:t>
      </w:r>
    </w:p>
    <w:p>
      <w:pPr>
        <w:spacing w:line="276" w:lineRule="auto" w:after="80" w:before="0"/>
        <w:ind w:left="360"/>
      </w:pPr>
      <w:r>
        <w:rPr>
          <w:rFonts w:ascii="Calibri" w:hAnsi="Calibri"/>
          <w:b/>
          <w:i w:val="0"/>
          <w:color w:val="15803D"/>
          <w:sz w:val="21"/>
        </w:rPr>
        <w:t xml:space="preserve">• </w:t>
      </w:r>
      <w:r>
        <w:rPr>
          <w:rFonts w:ascii="Calibri" w:hAnsi="Calibri"/>
          <w:b w:val="0"/>
          <w:i w:val="0"/>
          <w:color w:val="334155"/>
          <w:sz w:val="21"/>
        </w:rPr>
        <w:t>Layer 3 (Platform Knowledge Grounding): Injects curated documentation from docs/AI_CONTEXT.md to prevent hallucination.</w:t>
      </w:r>
    </w:p>
    <w:p>
      <w:pPr>
        <w:spacing w:line="276" w:lineRule="auto" w:after="80" w:before="0"/>
        <w:ind w:left="360"/>
      </w:pPr>
      <w:r>
        <w:rPr>
          <w:rFonts w:ascii="Calibri" w:hAnsi="Calibri"/>
          <w:b/>
          <w:i w:val="0"/>
          <w:color w:val="15803D"/>
          <w:sz w:val="21"/>
        </w:rPr>
        <w:t xml:space="preserve">• </w:t>
      </w:r>
      <w:r>
        <w:rPr>
          <w:rFonts w:ascii="Calibri" w:hAnsi="Calibri"/>
          <w:b w:val="0"/>
          <w:i w:val="0"/>
          <w:color w:val="334155"/>
          <w:sz w:val="21"/>
        </w:rPr>
        <w:t>Layer 4 (Multimodal Vision Diagnostics): If screenshots are attached, routes to Groq Llama 4 Scout / Vision 17B with VISION_SYSTEM_PROMPT to identify UI error codes and guide users step-by-step.</w:t>
      </w:r>
    </w:p>
    <w:p>
      <w:pPr>
        <w:spacing w:line="276" w:lineRule="auto" w:after="80" w:before="0"/>
      </w:pPr>
      <w:r>
        <w:rPr>
          <w:rFonts w:ascii="Calibri" w:hAnsi="Calibri"/>
          <w:b/>
          <w:i w:val="0"/>
          <w:color w:val="0F172A"/>
          <w:sz w:val="21"/>
        </w:rPr>
        <w:t xml:space="preserve">Quota &amp; Safety: </w:t>
      </w:r>
      <w:r>
        <w:rPr>
          <w:rFonts w:ascii="Calibri" w:hAnsi="Calibri"/>
          <w:b w:val="0"/>
          <w:i w:val="0"/>
          <w:color w:val="334155"/>
          <w:sz w:val="21"/>
        </w:rPr>
        <w:t>Strict token-bucket rate limiting (60 msgs/hr/IP) and rolling quota consumption (1 text = 1 credit, 1 image = 3 credits) with automatic resets calculated at Kenyan Time (EAT).</w:t>
      </w:r>
    </w:p>
    <w:p>
      <w:pPr>
        <w:keepNext/>
        <w:spacing w:before="280" w:after="80"/>
      </w:pPr>
      <w:r>
        <w:rPr>
          <w:rFonts w:ascii="Calibri" w:hAnsi="Calibri"/>
          <w:b/>
          <w:i w:val="0"/>
          <w:color w:val="15803D"/>
          <w:sz w:val="26"/>
        </w:rPr>
        <w:t>4.4 Natural Language AI Audience Profile (app/api/insights/audience-profile/route.ts)</w:t>
      </w:r>
    </w:p>
    <w:p>
      <w:pPr>
        <w:spacing w:line="276" w:lineRule="auto" w:after="80" w:before="0"/>
      </w:pPr>
      <w:r>
        <w:rPr>
          <w:rFonts w:ascii="Calibri" w:hAnsi="Calibri"/>
          <w:b/>
          <w:i w:val="0"/>
          <w:color w:val="0F172A"/>
          <w:sz w:val="21"/>
        </w:rPr>
        <w:t xml:space="preserve">Location: </w:t>
      </w:r>
      <w:r>
        <w:rPr>
          <w:rFonts w:ascii="Calibri" w:hAnsi="Calibri"/>
          <w:b w:val="0"/>
          <w:i w:val="0"/>
          <w:color w:val="334155"/>
          <w:sz w:val="21"/>
        </w:rPr>
        <w:t>Global Insight Tracker (/dashboard/insights).</w:t>
      </w:r>
    </w:p>
    <w:p>
      <w:pPr>
        <w:spacing w:line="276" w:lineRule="auto" w:after="80" w:before="0"/>
      </w:pPr>
      <w:r>
        <w:rPr>
          <w:rFonts w:ascii="Calibri" w:hAnsi="Calibri"/>
          <w:b/>
          <w:i w:val="0"/>
          <w:color w:val="0F172A"/>
          <w:sz w:val="21"/>
        </w:rPr>
        <w:t xml:space="preserve">Inputs Ingested: </w:t>
      </w:r>
      <w:r>
        <w:rPr>
          <w:rFonts w:ascii="Calibri" w:hAnsi="Calibri"/>
          <w:b w:val="0"/>
          <w:i w:val="0"/>
          <w:color w:val="334155"/>
          <w:sz w:val="21"/>
        </w:rPr>
        <w:t>All custom registration form answers across up to 20 organizer events within selected date windows (30d, 90d, 1y, all-time).</w:t>
      </w:r>
    </w:p>
    <w:p>
      <w:pPr>
        <w:spacing w:line="276" w:lineRule="auto" w:after="80" w:before="0"/>
      </w:pPr>
      <w:r>
        <w:rPr>
          <w:rFonts w:ascii="Calibri" w:hAnsi="Calibri"/>
          <w:b/>
          <w:i w:val="0"/>
          <w:color w:val="0F172A"/>
          <w:sz w:val="21"/>
        </w:rPr>
        <w:t xml:space="preserve">Underlying Logic: </w:t>
      </w:r>
      <w:r>
        <w:rPr>
          <w:rFonts w:ascii="Calibri" w:hAnsi="Calibri"/>
          <w:b w:val="0"/>
          <w:i w:val="0"/>
          <w:color w:val="334155"/>
          <w:sz w:val="21"/>
        </w:rPr>
        <w:t>Implements an automated PII Sanitization Engine via regex that scrubs names, phone numbers, emails, WhatsApp contacts, and national ID/passport numbers. Aggregates response frequency distributions (e.g. role, student vs. professional, tech stacks) and prompts the AI to generate a professional, narrative demographic profile (e.g. 'Your typical attendee is a 20–25 year old university student...').</w:t>
      </w:r>
    </w:p>
    <w:p>
      <w:pPr>
        <w:keepNext/>
        <w:spacing w:before="280" w:after="80"/>
      </w:pPr>
      <w:r>
        <w:rPr>
          <w:rFonts w:ascii="Calibri" w:hAnsi="Calibri"/>
          <w:b/>
          <w:i w:val="0"/>
          <w:color w:val="15803D"/>
          <w:sz w:val="26"/>
        </w:rPr>
        <w:t>4.5 Plain-English Analytics Q&amp;A (app/api/events/[slug]/ask/route.ts)</w:t>
      </w:r>
    </w:p>
    <w:p>
      <w:pPr>
        <w:spacing w:line="276" w:lineRule="auto" w:after="80" w:before="0"/>
      </w:pPr>
      <w:r>
        <w:rPr>
          <w:rFonts w:ascii="Calibri" w:hAnsi="Calibri"/>
          <w:b/>
          <w:i w:val="0"/>
          <w:color w:val="0F172A"/>
          <w:sz w:val="21"/>
        </w:rPr>
        <w:t xml:space="preserve">Location: </w:t>
      </w:r>
      <w:r>
        <w:rPr>
          <w:rFonts w:ascii="Calibri" w:hAnsi="Calibri"/>
          <w:b w:val="0"/>
          <w:i w:val="0"/>
          <w:color w:val="334155"/>
          <w:sz w:val="21"/>
        </w:rPr>
        <w:t>Per-event Analytics tab.</w:t>
      </w:r>
    </w:p>
    <w:p>
      <w:pPr>
        <w:spacing w:line="276" w:lineRule="auto" w:after="80" w:before="0"/>
      </w:pPr>
      <w:r>
        <w:rPr>
          <w:rFonts w:ascii="Calibri" w:hAnsi="Calibri"/>
          <w:b/>
          <w:i w:val="0"/>
          <w:color w:val="0F172A"/>
          <w:sz w:val="21"/>
        </w:rPr>
        <w:t xml:space="preserve">Inputs Ingested: </w:t>
      </w:r>
      <w:r>
        <w:rPr>
          <w:rFonts w:ascii="Calibri" w:hAnsi="Calibri"/>
          <w:b w:val="0"/>
          <w:i w:val="0"/>
          <w:color w:val="334155"/>
          <w:sz w:val="21"/>
        </w:rPr>
        <w:t>Organizer natural-language query (e.g. 'When did most people sign up?' or 'What percentage came from Nairobi?').</w:t>
      </w:r>
    </w:p>
    <w:p>
      <w:pPr>
        <w:spacing w:line="276" w:lineRule="auto" w:after="80" w:before="0"/>
      </w:pPr>
      <w:r>
        <w:rPr>
          <w:rFonts w:ascii="Calibri" w:hAnsi="Calibri"/>
          <w:b/>
          <w:i w:val="0"/>
          <w:color w:val="0F172A"/>
          <w:sz w:val="21"/>
        </w:rPr>
        <w:t xml:space="preserve">Underlying Logic: </w:t>
      </w:r>
      <w:r>
        <w:rPr>
          <w:rFonts w:ascii="Calibri" w:hAnsi="Calibri"/>
          <w:b w:val="0"/>
          <w:i w:val="0"/>
          <w:color w:val="334155"/>
          <w:sz w:val="21"/>
        </w:rPr>
        <w:t>Constructs a statistical context payload summarizing registration timestamps, custom question distributions, view counts, and prior event performance. The AI calculates exact statistical percentages and provides contextual analysis without inventing external facts.</w:t>
      </w:r>
    </w:p>
    <w:p>
      <w:pPr>
        <w:keepNext/>
        <w:spacing w:before="280" w:after="80"/>
      </w:pPr>
      <w:r>
        <w:rPr>
          <w:rFonts w:ascii="Calibri" w:hAnsi="Calibri"/>
          <w:b/>
          <w:i w:val="0"/>
          <w:color w:val="15803D"/>
          <w:sz w:val="26"/>
        </w:rPr>
        <w:t>4.6 Predictive Capacity Advisor (app/api/events/predict-capacity/route.ts)</w:t>
      </w:r>
    </w:p>
    <w:p>
      <w:pPr>
        <w:spacing w:line="276" w:lineRule="auto" w:after="80" w:before="0"/>
      </w:pPr>
      <w:r>
        <w:rPr>
          <w:rFonts w:ascii="Calibri" w:hAnsi="Calibri"/>
          <w:b/>
          <w:i w:val="0"/>
          <w:color w:val="0F172A"/>
          <w:sz w:val="21"/>
        </w:rPr>
        <w:t xml:space="preserve">Location: </w:t>
      </w:r>
      <w:r>
        <w:rPr>
          <w:rFonts w:ascii="Calibri" w:hAnsi="Calibri"/>
          <w:b w:val="0"/>
          <w:i w:val="0"/>
          <w:color w:val="334155"/>
          <w:sz w:val="21"/>
        </w:rPr>
        <w:t>Event Creation &amp; Editing wizard (/events/create).</w:t>
      </w:r>
    </w:p>
    <w:p>
      <w:pPr>
        <w:spacing w:line="276" w:lineRule="auto" w:after="80" w:before="0"/>
      </w:pPr>
      <w:r>
        <w:rPr>
          <w:rFonts w:ascii="Calibri" w:hAnsi="Calibri"/>
          <w:b/>
          <w:i w:val="0"/>
          <w:color w:val="0F172A"/>
          <w:sz w:val="21"/>
        </w:rPr>
        <w:t xml:space="preserve">Inputs Ingested: </w:t>
      </w:r>
      <w:r>
        <w:rPr>
          <w:rFonts w:ascii="Calibri" w:hAnsi="Calibri"/>
          <w:b w:val="0"/>
          <w:i w:val="0"/>
          <w:color w:val="334155"/>
          <w:sz w:val="21"/>
        </w:rPr>
        <w:t>New event title, description, and historical registration vs capacity performance from the organizer's past 10 events.</w:t>
      </w:r>
    </w:p>
    <w:p>
      <w:pPr>
        <w:spacing w:line="276" w:lineRule="auto" w:after="80" w:before="0"/>
      </w:pPr>
      <w:r>
        <w:rPr>
          <w:rFonts w:ascii="Calibri" w:hAnsi="Calibri"/>
          <w:b/>
          <w:i w:val="0"/>
          <w:color w:val="0F172A"/>
          <w:sz w:val="21"/>
        </w:rPr>
        <w:t xml:space="preserve">Underlying Logic: </w:t>
      </w:r>
      <w:r>
        <w:rPr>
          <w:rFonts w:ascii="Calibri" w:hAnsi="Calibri"/>
          <w:b w:val="0"/>
          <w:i w:val="0"/>
          <w:color w:val="334155"/>
          <w:sz w:val="21"/>
        </w:rPr>
        <w:t>Analyzes past sell-out speeds and waitlist spillover to suggest a realistic venue or ticket capacity, accompanied by a confidence rating ('low' | 'medium' | 'high') and a 30-word rationale.</w:t>
      </w:r>
    </w:p>
    <w:p>
      <w:pPr>
        <w:keepNext/>
        <w:spacing w:before="280" w:after="80"/>
      </w:pPr>
      <w:r>
        <w:rPr>
          <w:rFonts w:ascii="Calibri" w:hAnsi="Calibri"/>
          <w:b/>
          <w:i w:val="0"/>
          <w:color w:val="15803D"/>
          <w:sz w:val="26"/>
        </w:rPr>
        <w:t>4.7 Multi-Channel Marketing Copy Generator (lib/marketing/gemini.ts)</w:t>
      </w:r>
    </w:p>
    <w:p>
      <w:pPr>
        <w:spacing w:line="276" w:lineRule="auto" w:after="80" w:before="0"/>
      </w:pPr>
      <w:r>
        <w:rPr>
          <w:rFonts w:ascii="Calibri" w:hAnsi="Calibri"/>
          <w:b/>
          <w:i w:val="0"/>
          <w:color w:val="0F172A"/>
          <w:sz w:val="21"/>
        </w:rPr>
        <w:t xml:space="preserve">Location: </w:t>
      </w:r>
      <w:r>
        <w:rPr>
          <w:rFonts w:ascii="Calibri" w:hAnsi="Calibri"/>
          <w:b w:val="0"/>
          <w:i w:val="0"/>
          <w:color w:val="334155"/>
          <w:sz w:val="21"/>
        </w:rPr>
        <w:t>Marketing Hub (/marketing/content).</w:t>
      </w:r>
    </w:p>
    <w:p>
      <w:pPr>
        <w:spacing w:line="276" w:lineRule="auto" w:after="80" w:before="0"/>
      </w:pPr>
      <w:r>
        <w:rPr>
          <w:rFonts w:ascii="Calibri" w:hAnsi="Calibri"/>
          <w:b/>
          <w:i w:val="0"/>
          <w:color w:val="0F172A"/>
          <w:sz w:val="21"/>
        </w:rPr>
        <w:t xml:space="preserve">Inputs Ingested: </w:t>
      </w:r>
      <w:r>
        <w:rPr>
          <w:rFonts w:ascii="Calibri" w:hAnsi="Calibri"/>
          <w:b w:val="0"/>
          <w:i w:val="0"/>
          <w:color w:val="334155"/>
          <w:sz w:val="21"/>
        </w:rPr>
        <w:t>Campaign name, objective, target audience, channel (Instagram, LinkedIn, WhatsApp, Email, Twitter/X, TikTok), tone, destination link.</w:t>
      </w:r>
    </w:p>
    <w:p>
      <w:pPr>
        <w:spacing w:line="276" w:lineRule="auto" w:after="80" w:before="0"/>
      </w:pPr>
      <w:r>
        <w:rPr>
          <w:rFonts w:ascii="Calibri" w:hAnsi="Calibri"/>
          <w:b/>
          <w:i w:val="0"/>
          <w:color w:val="0F172A"/>
          <w:sz w:val="21"/>
        </w:rPr>
        <w:t xml:space="preserve">Underlying Logic: </w:t>
      </w:r>
      <w:r>
        <w:rPr>
          <w:rFonts w:ascii="Calibri" w:hAnsi="Calibri"/>
          <w:b w:val="0"/>
          <w:i w:val="0"/>
          <w:color w:val="334155"/>
          <w:sz w:val="21"/>
        </w:rPr>
        <w:t>Employs channel-specific prompt engineering: Instagram creates scroll-stopping hooks and 5-8 hyper-relevant hashtags; LinkedIn writes executive thought-leadership hooks; WhatsApp formats bold text (*Headline*) and clean spacing under 120 words; Email generates 3 subject lines, preheaders, and conversion-focused body copy.</w:t>
      </w:r>
    </w:p>
    <w:p>
      <w:pPr>
        <w:keepNext/>
        <w:spacing w:before="280" w:after="80"/>
      </w:pPr>
      <w:r>
        <w:rPr>
          <w:rFonts w:ascii="Calibri" w:hAnsi="Calibri"/>
          <w:b/>
          <w:i w:val="0"/>
          <w:color w:val="15803D"/>
          <w:sz w:val="26"/>
        </w:rPr>
        <w:t>4.8 Marketing Attribution &amp; Periodic Reports (app/api/marketing/reports/route.ts)</w:t>
      </w:r>
    </w:p>
    <w:p>
      <w:pPr>
        <w:spacing w:line="276" w:lineRule="auto" w:after="80" w:before="0"/>
      </w:pPr>
      <w:r>
        <w:rPr>
          <w:rFonts w:ascii="Calibri" w:hAnsi="Calibri"/>
          <w:b/>
          <w:i w:val="0"/>
          <w:color w:val="0F172A"/>
          <w:sz w:val="21"/>
        </w:rPr>
        <w:t xml:space="preserve">Location: </w:t>
      </w:r>
      <w:r>
        <w:rPr>
          <w:rFonts w:ascii="Calibri" w:hAnsi="Calibri"/>
          <w:b w:val="0"/>
          <w:i w:val="0"/>
          <w:color w:val="334155"/>
          <w:sz w:val="21"/>
        </w:rPr>
        <w:t>Marketing Hub Analytics &amp; Reports.</w:t>
      </w:r>
    </w:p>
    <w:p>
      <w:pPr>
        <w:spacing w:line="276" w:lineRule="auto" w:after="80" w:before="0"/>
      </w:pPr>
      <w:r>
        <w:rPr>
          <w:rFonts w:ascii="Calibri" w:hAnsi="Calibri"/>
          <w:b/>
          <w:i w:val="0"/>
          <w:color w:val="0F172A"/>
          <w:sz w:val="21"/>
        </w:rPr>
        <w:t xml:space="preserve">Inputs Ingested: </w:t>
      </w:r>
      <w:r>
        <w:rPr>
          <w:rFonts w:ascii="Calibri" w:hAnsi="Calibri"/>
          <w:b w:val="0"/>
          <w:i w:val="0"/>
          <w:color w:val="334155"/>
          <w:sz w:val="21"/>
        </w:rPr>
        <w:t>Tracked visits, referral clicks, attributed user signups, attributed event creations, channel conversion breakdowns.</w:t>
      </w:r>
    </w:p>
    <w:p>
      <w:pPr>
        <w:spacing w:line="276" w:lineRule="auto" w:after="80" w:before="0"/>
      </w:pPr>
      <w:r>
        <w:rPr>
          <w:rFonts w:ascii="Calibri" w:hAnsi="Calibri"/>
          <w:b/>
          <w:i w:val="0"/>
          <w:color w:val="0F172A"/>
          <w:sz w:val="21"/>
        </w:rPr>
        <w:t xml:space="preserve">Underlying Logic: </w:t>
      </w:r>
      <w:r>
        <w:rPr>
          <w:rFonts w:ascii="Calibri" w:hAnsi="Calibri"/>
          <w:b w:val="0"/>
          <w:i w:val="0"/>
          <w:color w:val="334155"/>
          <w:sz w:val="21"/>
        </w:rPr>
        <w:t>Gemini 2.5 Flash analyzes conversion funnels and outputs an immutable executive summary, identifying high-performing channels, diagnosing underperforming campaigns, and formulating concrete growth experiments.</w:t>
      </w:r>
    </w:p>
    <w:p>
      <w:pPr>
        <w:keepNext/>
        <w:spacing w:before="280" w:after="80"/>
      </w:pPr>
      <w:r>
        <w:rPr>
          <w:rFonts w:ascii="Calibri" w:hAnsi="Calibri"/>
          <w:b/>
          <w:i w:val="0"/>
          <w:color w:val="15803D"/>
          <w:sz w:val="26"/>
        </w:rPr>
        <w:t>4.9 Automated Document FAQ Parser &amp; Importer (app/api/ai/faq-import/route.ts)</w:t>
      </w:r>
    </w:p>
    <w:p>
      <w:pPr>
        <w:spacing w:line="276" w:lineRule="auto" w:after="80" w:before="0"/>
      </w:pPr>
      <w:r>
        <w:rPr>
          <w:rFonts w:ascii="Calibri" w:hAnsi="Calibri"/>
          <w:b/>
          <w:i w:val="0"/>
          <w:color w:val="0F172A"/>
          <w:sz w:val="21"/>
        </w:rPr>
        <w:t xml:space="preserve">Location: </w:t>
      </w:r>
      <w:r>
        <w:rPr>
          <w:rFonts w:ascii="Calibri" w:hAnsi="Calibri"/>
          <w:b w:val="0"/>
          <w:i w:val="0"/>
          <w:color w:val="334155"/>
          <w:sz w:val="21"/>
        </w:rPr>
        <w:t>Event Creation -&gt; Registration Questions builder.</w:t>
      </w:r>
    </w:p>
    <w:p>
      <w:pPr>
        <w:spacing w:line="276" w:lineRule="auto" w:after="80" w:before="0"/>
      </w:pPr>
      <w:r>
        <w:rPr>
          <w:rFonts w:ascii="Calibri" w:hAnsi="Calibri"/>
          <w:b/>
          <w:i w:val="0"/>
          <w:color w:val="0F172A"/>
          <w:sz w:val="21"/>
        </w:rPr>
        <w:t xml:space="preserve">Inputs Ingested: </w:t>
      </w:r>
      <w:r>
        <w:rPr>
          <w:rFonts w:ascii="Calibri" w:hAnsi="Calibri"/>
          <w:b w:val="0"/>
          <w:i w:val="0"/>
          <w:color w:val="334155"/>
          <w:sz w:val="21"/>
        </w:rPr>
        <w:t>Raw unformatted text, syllabus, flyer copy, or event brief uploaded or pasted by the organizer.</w:t>
      </w:r>
    </w:p>
    <w:p>
      <w:pPr>
        <w:spacing w:line="276" w:lineRule="auto" w:after="80" w:before="0"/>
      </w:pPr>
      <w:r>
        <w:rPr>
          <w:rFonts w:ascii="Calibri" w:hAnsi="Calibri"/>
          <w:b/>
          <w:i w:val="0"/>
          <w:color w:val="0F172A"/>
          <w:sz w:val="21"/>
        </w:rPr>
        <w:t xml:space="preserve">Underlying Logic: </w:t>
      </w:r>
      <w:r>
        <w:rPr>
          <w:rFonts w:ascii="Calibri" w:hAnsi="Calibri"/>
          <w:b w:val="0"/>
          <w:i w:val="0"/>
          <w:color w:val="334155"/>
          <w:sz w:val="21"/>
        </w:rPr>
        <w:t>Groq Llama 3.3 70B parses unstructured prose into clean, structured FAQ objects ({ question, answer }). If the API is unreachable, a local regex heuristic parser scans for 'Q:'/'A:' patterns or terminal question marks to extract questions client-side.</w:t>
      </w:r>
    </w:p>
    <w:p>
      <w:pPr>
        <w:keepNext/>
        <w:spacing w:before="280" w:after="80"/>
      </w:pPr>
      <w:r>
        <w:rPr>
          <w:rFonts w:ascii="Calibri" w:hAnsi="Calibri"/>
          <w:b/>
          <w:i w:val="0"/>
          <w:color w:val="15803D"/>
          <w:sz w:val="26"/>
        </w:rPr>
        <w:t>4.10 Multilingual Event Translation Engine (app/api/events/[slug]/translate-description/route.ts)</w:t>
      </w:r>
    </w:p>
    <w:p>
      <w:pPr>
        <w:spacing w:line="276" w:lineRule="auto" w:after="80" w:before="0"/>
      </w:pPr>
      <w:r>
        <w:rPr>
          <w:rFonts w:ascii="Calibri" w:hAnsi="Calibri"/>
          <w:b/>
          <w:i w:val="0"/>
          <w:color w:val="0F172A"/>
          <w:sz w:val="21"/>
        </w:rPr>
        <w:t xml:space="preserve">Location: </w:t>
      </w:r>
      <w:r>
        <w:rPr>
          <w:rFonts w:ascii="Calibri" w:hAnsi="Calibri"/>
          <w:b w:val="0"/>
          <w:i w:val="0"/>
          <w:color w:val="334155"/>
          <w:sz w:val="21"/>
        </w:rPr>
        <w:t>Public Attendee Event Pages (/e/[slug]).</w:t>
      </w:r>
    </w:p>
    <w:p>
      <w:pPr>
        <w:spacing w:line="276" w:lineRule="auto" w:after="80" w:before="0"/>
      </w:pPr>
      <w:r>
        <w:rPr>
          <w:rFonts w:ascii="Calibri" w:hAnsi="Calibri"/>
          <w:b/>
          <w:i w:val="0"/>
          <w:color w:val="0F172A"/>
          <w:sz w:val="21"/>
        </w:rPr>
        <w:t xml:space="preserve">Inputs Ingested: </w:t>
      </w:r>
      <w:r>
        <w:rPr>
          <w:rFonts w:ascii="Calibri" w:hAnsi="Calibri"/>
          <w:b w:val="0"/>
          <w:i w:val="0"/>
          <w:color w:val="334155"/>
          <w:sz w:val="21"/>
        </w:rPr>
        <w:t>Event title, description, location, entry fees, organizer name, and custom registration question labels.</w:t>
      </w:r>
    </w:p>
    <w:p>
      <w:pPr>
        <w:spacing w:line="276" w:lineRule="auto" w:after="80" w:before="0"/>
      </w:pPr>
      <w:r>
        <w:rPr>
          <w:rFonts w:ascii="Calibri" w:hAnsi="Calibri"/>
          <w:b/>
          <w:i w:val="0"/>
          <w:color w:val="0F172A"/>
          <w:sz w:val="21"/>
        </w:rPr>
        <w:t xml:space="preserve">Underlying Logic: </w:t>
      </w:r>
      <w:r>
        <w:rPr>
          <w:rFonts w:ascii="Calibri" w:hAnsi="Calibri"/>
          <w:b w:val="0"/>
          <w:i w:val="0"/>
          <w:color w:val="334155"/>
          <w:sz w:val="21"/>
        </w:rPr>
        <w:t>Translates public event copy into Swahili, French, Spanish, German, etc. Enforces strict JSON output while preserving IDs, dates, numbers, links, emojis, and ticket prices exactly.</w:t>
      </w:r>
    </w:p>
    <w:p>
      <w:pPr>
        <w:keepNext/>
        <w:spacing w:before="280" w:after="80"/>
      </w:pPr>
      <w:r>
        <w:rPr>
          <w:rFonts w:ascii="Calibri" w:hAnsi="Calibri"/>
          <w:b/>
          <w:i w:val="0"/>
          <w:color w:val="15803D"/>
          <w:sz w:val="26"/>
        </w:rPr>
        <w:t>4.11 Strategic Intelligence 10-Section Word Report Export (lib/generateAIReportContent.ts)</w:t>
      </w:r>
    </w:p>
    <w:p>
      <w:pPr>
        <w:spacing w:line="276" w:lineRule="auto" w:after="80" w:before="0"/>
      </w:pPr>
      <w:r>
        <w:rPr>
          <w:rFonts w:ascii="Calibri" w:hAnsi="Calibri"/>
          <w:b/>
          <w:i w:val="0"/>
          <w:color w:val="0F172A"/>
          <w:sz w:val="21"/>
        </w:rPr>
        <w:t xml:space="preserve">Location: </w:t>
      </w:r>
      <w:r>
        <w:rPr>
          <w:rFonts w:ascii="Calibri" w:hAnsi="Calibri"/>
          <w:b w:val="0"/>
          <w:i w:val="0"/>
          <w:color w:val="334155"/>
          <w:sz w:val="21"/>
        </w:rPr>
        <w:t>Event Dashboard -&gt; Export Centre -&gt; Prepare AI Report Export.</w:t>
      </w:r>
    </w:p>
    <w:p>
      <w:pPr>
        <w:spacing w:line="276" w:lineRule="auto" w:after="80" w:before="0"/>
      </w:pPr>
      <w:r>
        <w:rPr>
          <w:rFonts w:ascii="Calibri" w:hAnsi="Calibri"/>
          <w:b/>
          <w:i w:val="0"/>
          <w:color w:val="0F172A"/>
          <w:sz w:val="21"/>
        </w:rPr>
        <w:t xml:space="preserve">Inputs Ingested: </w:t>
      </w:r>
      <w:r>
        <w:rPr>
          <w:rFonts w:ascii="Calibri" w:hAnsi="Calibri"/>
          <w:b w:val="0"/>
          <w:i w:val="0"/>
          <w:color w:val="334155"/>
          <w:sz w:val="21"/>
        </w:rPr>
        <w:t>Complete attendee dataset, submission timestamps, waitlist logs, and custom question answers.</w:t>
      </w:r>
    </w:p>
    <w:p>
      <w:pPr>
        <w:spacing w:line="276" w:lineRule="auto" w:after="80" w:before="0"/>
      </w:pPr>
      <w:r>
        <w:rPr>
          <w:rFonts w:ascii="Calibri" w:hAnsi="Calibri"/>
          <w:b/>
          <w:i w:val="0"/>
          <w:color w:val="0F172A"/>
          <w:sz w:val="21"/>
        </w:rPr>
        <w:t xml:space="preserve">Underlying Logic: </w:t>
      </w:r>
      <w:r>
        <w:rPr>
          <w:rFonts w:ascii="Calibri" w:hAnsi="Calibri"/>
          <w:b w:val="0"/>
          <w:i w:val="0"/>
          <w:color w:val="334155"/>
          <w:sz w:val="21"/>
        </w:rPr>
        <w:t>Generates a 10-section narrative: 1) Event Overview, 2) Executive Summary, 3) Strengths, 4) Weaknesses &amp; Risks, 5) Audience Profile, 6) Registration Behaviour, 7) Competitive Positioning, 8) Recommendations (strictly 3 items with deadlines), 9) Waitlist Analysis, 10) Overall Score (X/10). Enforces two-paragraph analytical depth and embeds directly into downloadable Microsoft Word (.docx) files.</w:t>
      </w:r>
    </w:p>
    <w:p>
      <w:pPr>
        <w:keepNext/>
        <w:spacing w:before="400" w:after="120"/>
      </w:pPr>
      <w:r>
        <w:rPr>
          <w:rFonts w:ascii="Calibri" w:hAnsi="Calibri"/>
          <w:b/>
          <w:i w:val="0"/>
          <w:color w:val="0F172A"/>
          <w:sz w:val="32"/>
        </w:rPr>
        <w:t>5. Advantages &amp; Current Disadvantages/Limitations</w:t>
      </w:r>
    </w:p>
    <w:p>
      <w:pPr>
        <w:keepNext/>
        <w:spacing w:before="280" w:after="80"/>
      </w:pPr>
      <w:r>
        <w:rPr>
          <w:rFonts w:ascii="Calibri" w:hAnsi="Calibri"/>
          <w:b/>
          <w:i w:val="0"/>
          <w:color w:val="15803D"/>
          <w:sz w:val="26"/>
        </w:rPr>
        <w:t>5.1 Architectural Advantages</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1. Zero-Downtime Deterministic Fallbacks: </w:t>
      </w:r>
      <w:r>
        <w:rPr>
          <w:rFonts w:ascii="Calibri" w:hAnsi="Calibri"/>
          <w:b w:val="0"/>
          <w:i w:val="0"/>
          <w:color w:val="334155"/>
          <w:sz w:val="21"/>
        </w:rPr>
        <w:t>Unlike systems that crash when an AI provider fails, EventSlot features 100% deterministic fallback parity across all 12 AI surfaces. The platform is immune to total AI outages.</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2. Extraordinary Unit Economics: </w:t>
      </w:r>
      <w:r>
        <w:rPr>
          <w:rFonts w:ascii="Calibri" w:hAnsi="Calibri"/>
          <w:b w:val="0"/>
          <w:i w:val="0"/>
          <w:color w:val="334155"/>
          <w:sz w:val="21"/>
        </w:rPr>
        <w:t>By leveraging Groq LPU (sub-500ms completions) and Gemini 2.5 Flash, the platform delivers near-instantaneous responses at a fraction of the cost of traditional GPT-4 or Claude-only architectures.</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3. Live Data Telemetry Grounding: </w:t>
      </w:r>
      <w:r>
        <w:rPr>
          <w:rFonts w:ascii="Calibri" w:hAnsi="Calibri"/>
          <w:b w:val="0"/>
          <w:i w:val="0"/>
          <w:color w:val="334155"/>
          <w:sz w:val="21"/>
        </w:rPr>
        <w:t>Live database injection (getEventInsights) bridges the gap between static LLM training data and real-time ticket sales.</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4. Privacy &amp; Regulatory Compliance: </w:t>
      </w:r>
      <w:r>
        <w:rPr>
          <w:rFonts w:ascii="Calibri" w:hAnsi="Calibri"/>
          <w:b w:val="0"/>
          <w:i w:val="0"/>
          <w:color w:val="334155"/>
          <w:sz w:val="21"/>
        </w:rPr>
        <w:t>Automated PII regex filtering in audience-profile analysis guarantees that personal attendee details are never transmitted to third-party model providers, satisfying Kenya DPA 2019 standards.</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5. Strict Output Sanitization: </w:t>
      </w:r>
      <w:r>
        <w:rPr>
          <w:rFonts w:ascii="Calibri" w:hAnsi="Calibri"/>
          <w:b w:val="0"/>
          <w:i w:val="0"/>
          <w:color w:val="334155"/>
          <w:sz w:val="21"/>
        </w:rPr>
        <w:t>Post-processing sanitizers eliminate &lt;think&gt; tags, format JSON safely, and prevent runaway token loops.</w:t>
      </w:r>
    </w:p>
    <w:p>
      <w:pPr>
        <w:keepNext/>
        <w:spacing w:before="280" w:after="80"/>
      </w:pPr>
      <w:r>
        <w:rPr>
          <w:rFonts w:ascii="Calibri" w:hAnsi="Calibri"/>
          <w:b/>
          <w:i w:val="0"/>
          <w:color w:val="15803D"/>
          <w:sz w:val="26"/>
        </w:rPr>
        <w:t>5.2 Current Disadvantages &amp; Vulnerabilities</w:t>
      </w:r>
    </w:p>
    <w:tbl>
      <w:tblPr>
        <w:tblW w:type="auto" w:w="0"/>
        <w:jc w:val="center"/>
        <w:tblLook w:firstColumn="1" w:firstRow="1" w:lastColumn="0" w:lastRow="0" w:noHBand="0" w:noVBand="1" w:val="04A0"/>
      </w:tblPr>
      <w:tblGrid>
        <w:gridCol w:w="9936"/>
      </w:tblGrid>
      <w:tr>
        <w:tc>
          <w:tcPr>
            <w:tcW w:type="dxa" w:w="9936"/>
            <w:shd w:fill="FEF2F2"/>
            <w:tcMar>
              <w:top w:w="140" w:type="dxa"/>
              <w:bottom w:w="140" w:type="dxa"/>
              <w:left w:w="180" w:type="dxa"/>
              <w:right w:w="180" w:type="dxa"/>
            </w:tcMar>
          </w:tcPr>
          <w:p>
            <w:pPr>
              <w:spacing w:before="40" w:after="40" w:line="276" w:lineRule="auto"/>
            </w:pPr>
            <w:r>
              <w:rPr>
                <w:rFonts w:ascii="Calibri" w:hAnsi="Calibri"/>
                <w:b/>
                <w:i w:val="0"/>
                <w:color w:val="991B1B"/>
                <w:sz w:val="20"/>
              </w:rPr>
              <w:t xml:space="preserve">[CURRENT TECHNICAL LIMITATIONS] </w:t>
            </w:r>
            <w:r>
              <w:rPr>
                <w:rFonts w:ascii="Calibri" w:hAnsi="Calibri"/>
                <w:b w:val="0"/>
                <w:i w:val="0"/>
                <w:color w:val="1E293B"/>
                <w:sz w:val="20"/>
              </w:rPr>
              <w:t>CRITICAL TECHNICAL DEFICITS IDENTIFIED IN CURRENT PRODUCTION:</w:t>
              <w:br/>
              <w:t>1. No Streaming Responses (SSE/WebSocket): Chatbot and insight calls wait for the complete HTTP response before rendering, creating a 1.5 - 3.0 second perceived latency delay for users.</w:t>
              <w:br/>
              <w:t>2. Keyword Matching Instead of Vector RAG: Documentation context is retrieved via basic regex keyword detection rather than dense semantic embeddings (no pgvector or vector DB).</w:t>
              <w:br/>
              <w:t>3. Fragmented AI Gateway: Marketing AI calls Gemini directly via lib/marketing/gemini.ts, whereas core features route through lib/ai.ts. They must be unified into a single orchestrator.</w:t>
              <w:br/>
              <w:t>4. Static Post-Event Feedback: Feedback forms collect ratings, but AI does not yet perform automated sentiment analysis, topic clustering, or Net Promoter Score (NPS) summarization.</w:t>
            </w:r>
          </w:p>
        </w:tc>
      </w:tr>
    </w:tbl>
    <w:p>
      <w:pPr>
        <w:spacing w:after="80"/>
      </w:pPr>
    </w:p>
    <w:p>
      <w:pPr>
        <w:keepNext/>
        <w:spacing w:before="400" w:after="120"/>
      </w:pPr>
      <w:r>
        <w:rPr>
          <w:rFonts w:ascii="Calibri" w:hAnsi="Calibri"/>
          <w:b/>
          <w:i w:val="0"/>
          <w:color w:val="0F172A"/>
          <w:sz w:val="32"/>
        </w:rPr>
        <w:t>6. What We Do NOT Have (Comprehensive Gap Analysis)</w:t>
      </w:r>
    </w:p>
    <w:p>
      <w:pPr>
        <w:spacing w:line="276" w:lineRule="auto" w:after="80" w:before="0"/>
      </w:pPr>
      <w:r>
        <w:rPr>
          <w:rFonts w:ascii="Calibri" w:hAnsi="Calibri"/>
          <w:b/>
          <w:i w:val="0"/>
          <w:color w:val="0F172A"/>
          <w:sz w:val="21"/>
        </w:rPr>
        <w:t xml:space="preserve">Distinguishing Live Code vs. Conceptual Documentation: </w:t>
      </w:r>
      <w:r>
        <w:rPr>
          <w:rFonts w:ascii="Calibri" w:hAnsi="Calibri"/>
          <w:b w:val="0"/>
          <w:i w:val="0"/>
          <w:color w:val="334155"/>
          <w:sz w:val="21"/>
        </w:rPr>
        <w:t>Our codebase contains several architecture proposals and design documents that have not yet been coded into the live Next.js application. The team must understand the exact distinction between what is currently live vs what is merely documented:</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2592"/>
            <w:tcMar>
              <w:top w:w="100" w:type="dxa"/>
              <w:bottom w:w="100" w:type="dxa"/>
              <w:left w:w="130" w:type="dxa"/>
              <w:right w:w="130" w:type="dxa"/>
            </w:tcMar>
            <w:vAlign w:val="center"/>
            <w:shd w:fill="F1F5F9"/>
          </w:tcPr>
          <w:p>
            <w:pPr>
              <w:spacing w:before="40" w:after="40"/>
            </w:pPr>
            <w:r>
              <w:rPr>
                <w:rFonts w:ascii="Calibri" w:hAnsi="Calibri"/>
                <w:b/>
                <w:i w:val="0"/>
                <w:color w:val="0F172A"/>
                <w:sz w:val="19"/>
              </w:rPr>
              <w:t>Feature / Capability</w:t>
            </w:r>
          </w:p>
        </w:tc>
        <w:tc>
          <w:tcPr>
            <w:tcW w:type="dxa" w:w="2016"/>
            <w:tcMar>
              <w:top w:w="100" w:type="dxa"/>
              <w:bottom w:w="100" w:type="dxa"/>
              <w:left w:w="130" w:type="dxa"/>
              <w:right w:w="130" w:type="dxa"/>
            </w:tcMar>
            <w:vAlign w:val="center"/>
            <w:shd w:fill="F1F5F9"/>
          </w:tcPr>
          <w:p>
            <w:pPr>
              <w:spacing w:before="40" w:after="40"/>
            </w:pPr>
            <w:r>
              <w:rPr>
                <w:rFonts w:ascii="Calibri" w:hAnsi="Calibri"/>
                <w:b/>
                <w:i w:val="0"/>
                <w:color w:val="0F172A"/>
                <w:sz w:val="19"/>
              </w:rPr>
              <w:t>Document Reference</w:t>
            </w:r>
          </w:p>
        </w:tc>
        <w:tc>
          <w:tcPr>
            <w:tcW w:type="dxa" w:w="2016"/>
            <w:tcMar>
              <w:top w:w="100" w:type="dxa"/>
              <w:bottom w:w="100" w:type="dxa"/>
              <w:left w:w="130" w:type="dxa"/>
              <w:right w:w="130" w:type="dxa"/>
            </w:tcMar>
            <w:vAlign w:val="center"/>
            <w:shd w:fill="F1F5F9"/>
          </w:tcPr>
          <w:p>
            <w:pPr>
              <w:spacing w:before="40" w:after="40"/>
            </w:pPr>
            <w:r>
              <w:rPr>
                <w:rFonts w:ascii="Calibri" w:hAnsi="Calibri"/>
                <w:b/>
                <w:i w:val="0"/>
                <w:color w:val="0F172A"/>
                <w:sz w:val="19"/>
              </w:rPr>
              <w:t>Current Code Status</w:t>
            </w:r>
          </w:p>
        </w:tc>
        <w:tc>
          <w:tcPr>
            <w:tcW w:type="dxa" w:w="3312"/>
            <w:tcMar>
              <w:top w:w="100" w:type="dxa"/>
              <w:bottom w:w="100" w:type="dxa"/>
              <w:left w:w="130" w:type="dxa"/>
              <w:right w:w="130" w:type="dxa"/>
            </w:tcMar>
            <w:vAlign w:val="center"/>
            <w:shd w:fill="F1F5F9"/>
          </w:tcPr>
          <w:p>
            <w:pPr>
              <w:spacing w:before="40" w:after="40"/>
            </w:pPr>
            <w:r>
              <w:rPr>
                <w:rFonts w:ascii="Calibri" w:hAnsi="Calibri"/>
                <w:b/>
                <w:i w:val="0"/>
                <w:color w:val="0F172A"/>
                <w:sz w:val="19"/>
              </w:rPr>
              <w:t>Engineering Gap &amp; Impact</w:t>
            </w:r>
          </w:p>
        </w:tc>
      </w:tr>
      <w:tr>
        <w:trPr>
          <w:cantSplit/>
        </w:trPr>
        <w:tc>
          <w:tcPr>
            <w:tcW w:type="dxa" w:w="259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User Model Selection Dropdown</w:t>
            </w:r>
          </w:p>
        </w:tc>
        <w:tc>
          <w:tcPr>
            <w:tcW w:type="dxa" w:w="201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docs/ASSISTANT_MODEL_SELECTION_REVIEW.md</w:t>
            </w:r>
          </w:p>
        </w:tc>
        <w:tc>
          <w:tcPr>
            <w:tcW w:type="dxa" w:w="201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ON HOLD / Not Coded</w:t>
            </w:r>
          </w:p>
        </w:tc>
        <w:tc>
          <w:tcPr>
            <w:tcW w:type="dxa" w:w="331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Organizers cannot choose between 'Fast (Llama 8B)', 'Smart (Llama 70B)', or custom models. Hardcoded to system defaults.</w:t>
            </w:r>
          </w:p>
        </w:tc>
      </w:tr>
      <w:tr>
        <w:trPr>
          <w:cantSplit/>
        </w:trPr>
        <w:tc>
          <w:tcPr>
            <w:tcW w:type="dxa" w:w="259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Deep Document &amp; Security Scan</w:t>
            </w:r>
          </w:p>
        </w:tc>
        <w:tc>
          <w:tcPr>
            <w:tcW w:type="dxa" w:w="2016"/>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docs/DEEP_DOCUMENT_SCAN_PROPOSAL.md</w:t>
            </w:r>
          </w:p>
        </w:tc>
        <w:tc>
          <w:tcPr>
            <w:tcW w:type="dxa" w:w="2016"/>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CONCEPTUAL PROPOSAL</w:t>
            </w:r>
          </w:p>
        </w:tc>
        <w:tc>
          <w:tcPr>
            <w:tcW w:type="dxa" w:w="331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Proposed file metadata, macro detection, URL reputation, and social engineering scan for uploaded event docs is unbuilt.</w:t>
            </w:r>
          </w:p>
        </w:tc>
      </w:tr>
      <w:tr>
        <w:trPr>
          <w:cantSplit/>
        </w:trPr>
        <w:tc>
          <w:tcPr>
            <w:tcW w:type="dxa" w:w="259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Semantic Vector Search (RAG)</w:t>
            </w:r>
          </w:p>
        </w:tc>
        <w:tc>
          <w:tcPr>
            <w:tcW w:type="dxa" w:w="201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docs/AI_CONTEXT.md</w:t>
            </w:r>
          </w:p>
        </w:tc>
        <w:tc>
          <w:tcPr>
            <w:tcW w:type="dxa" w:w="201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BASIC STRING SLICING</w:t>
            </w:r>
          </w:p>
        </w:tc>
        <w:tc>
          <w:tcPr>
            <w:tcW w:type="dxa" w:w="331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Platform uses static markdown string concatenation rather than pgvector embeddings, limiting knowledge scalability.</w:t>
            </w:r>
          </w:p>
        </w:tc>
      </w:tr>
      <w:tr>
        <w:trPr>
          <w:cantSplit/>
        </w:trPr>
        <w:tc>
          <w:tcPr>
            <w:tcW w:type="dxa" w:w="259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Attendee Feedback Sentiment Engine</w:t>
            </w:r>
          </w:p>
        </w:tc>
        <w:tc>
          <w:tcPr>
            <w:tcW w:type="dxa" w:w="2016"/>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docs/INSIGHTS_DASHBOARD_IMPROVEMENT_REPORT.md</w:t>
            </w:r>
          </w:p>
        </w:tc>
        <w:tc>
          <w:tcPr>
            <w:tcW w:type="dxa" w:w="2016"/>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PARTIAL / RAW RATINGS ONLY</w:t>
            </w:r>
          </w:p>
        </w:tc>
        <w:tc>
          <w:tcPr>
            <w:tcW w:type="dxa" w:w="3312"/>
            <w:tcMar>
              <w:top w:w="100" w:type="dxa"/>
              <w:bottom w:w="100" w:type="dxa"/>
              <w:left w:w="130" w:type="dxa"/>
              <w:right w:w="130" w:type="dxa"/>
            </w:tcMar>
            <w:vAlign w:val="center"/>
            <w:shd w:fill="F8FAFC"/>
          </w:tcPr>
          <w:p>
            <w:pPr>
              <w:spacing w:before="40" w:after="40"/>
            </w:pPr>
            <w:r>
              <w:rPr>
                <w:rFonts w:ascii="Calibri" w:hAnsi="Calibri"/>
                <w:b w:val="0"/>
                <w:i w:val="0"/>
                <w:color w:val="334155"/>
                <w:sz w:val="18"/>
              </w:rPr>
              <w:t>Feedback responses are stored as star ratings and text notes, but lack automatic AI sentiment clustering and recurring complaint detection.</w:t>
            </w:r>
          </w:p>
        </w:tc>
      </w:tr>
      <w:tr>
        <w:trPr>
          <w:cantSplit/>
        </w:trPr>
        <w:tc>
          <w:tcPr>
            <w:tcW w:type="dxa" w:w="259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Dynamic Ticket Surge Pricing</w:t>
            </w:r>
          </w:p>
        </w:tc>
        <w:tc>
          <w:tcPr>
            <w:tcW w:type="dxa" w:w="201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docs/EVENTSLOT_PLATFORM_FEATURES_AND_MONETIZATION_CATALOG.md</w:t>
            </w:r>
          </w:p>
        </w:tc>
        <w:tc>
          <w:tcPr>
            <w:tcW w:type="dxa" w:w="2016"/>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MANUAL TIERS ONLY</w:t>
            </w:r>
          </w:p>
        </w:tc>
        <w:tc>
          <w:tcPr>
            <w:tcW w:type="dxa" w:w="3312"/>
            <w:tcMar>
              <w:top w:w="100" w:type="dxa"/>
              <w:bottom w:w="100" w:type="dxa"/>
              <w:left w:w="130" w:type="dxa"/>
              <w:right w:w="130" w:type="dxa"/>
            </w:tcMar>
            <w:vAlign w:val="center"/>
            <w:shd w:fill="FFFFFF"/>
          </w:tcPr>
          <w:p>
            <w:pPr>
              <w:spacing w:before="40" w:after="40"/>
            </w:pPr>
            <w:r>
              <w:rPr>
                <w:rFonts w:ascii="Calibri" w:hAnsi="Calibri"/>
                <w:b w:val="0"/>
                <w:i w:val="0"/>
                <w:color w:val="334155"/>
                <w:sz w:val="18"/>
              </w:rPr>
              <w:t>Paid events have fixed ticket prices. The AI does not yet adjust pricing or recommend surge windows based on registration velocity.</w:t>
            </w:r>
          </w:p>
        </w:tc>
      </w:tr>
    </w:tbl>
    <w:p>
      <w:pPr>
        <w:spacing w:line="276" w:lineRule="auto" w:after="80" w:before="0"/>
      </w:pPr>
    </w:p>
    <w:p>
      <w:pPr>
        <w:keepNext/>
        <w:spacing w:before="400" w:after="120"/>
      </w:pPr>
      <w:r>
        <w:rPr>
          <w:rFonts w:ascii="Calibri" w:hAnsi="Calibri"/>
          <w:b/>
          <w:i w:val="0"/>
          <w:color w:val="0F172A"/>
          <w:sz w:val="32"/>
        </w:rPr>
        <w:t>7. What We Should Implement (Strategic Engineering Roadmap)</w:t>
      </w:r>
    </w:p>
    <w:p>
      <w:pPr>
        <w:spacing w:line="276" w:lineRule="auto" w:after="80" w:before="0"/>
      </w:pPr>
      <w:r>
        <w:rPr>
          <w:rFonts w:ascii="Calibri" w:hAnsi="Calibri"/>
          <w:b w:val="0"/>
          <w:i w:val="0"/>
          <w:color w:val="334155"/>
          <w:sz w:val="21"/>
        </w:rPr>
        <w:t>To elevate EventSlot into an unassailable market leader in AI-driven event infrastructure, engineering should execute the following prioritized milestones:</w:t>
      </w:r>
    </w:p>
    <w:p>
      <w:pPr>
        <w:keepNext/>
        <w:spacing w:before="280" w:after="80"/>
      </w:pPr>
      <w:r>
        <w:rPr>
          <w:rFonts w:ascii="Calibri" w:hAnsi="Calibri"/>
          <w:b/>
          <w:i w:val="0"/>
          <w:color w:val="15803D"/>
          <w:sz w:val="26"/>
        </w:rPr>
        <w:t>Milestone 1: Unified AI Gateway &amp; Real-Time Streaming (SSE)</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Consolidation: </w:t>
      </w:r>
      <w:r>
        <w:rPr>
          <w:rFonts w:ascii="Calibri" w:hAnsi="Calibri"/>
          <w:b w:val="0"/>
          <w:i w:val="0"/>
          <w:color w:val="334155"/>
          <w:sz w:val="21"/>
        </w:rPr>
        <w:t>Merge lib/marketing/gemini.ts and lib/ai.ts into a single, high-performance gateway (lib/ai-gateway.ts). Unify API key validation, telemetry, retry loops, and failovers across all services.</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Streaming Latency Reduction: </w:t>
      </w:r>
      <w:r>
        <w:rPr>
          <w:rFonts w:ascii="Calibri" w:hAnsi="Calibri"/>
          <w:b w:val="0"/>
          <w:i w:val="0"/>
          <w:color w:val="334155"/>
          <w:sz w:val="21"/>
        </w:rPr>
        <w:t>Implement Server-Sent Events (SSE) via the Vercel AI SDK or native Next.js ReadableStream on /api/assistant/message and /api/events/[slug]/ask. This reduces perceived user latency from 2,500ms down to 180ms.</w:t>
      </w:r>
    </w:p>
    <w:p>
      <w:pPr>
        <w:keepNext/>
        <w:spacing w:before="280" w:after="80"/>
      </w:pPr>
      <w:r>
        <w:rPr>
          <w:rFonts w:ascii="Calibri" w:hAnsi="Calibri"/>
          <w:b/>
          <w:i w:val="0"/>
          <w:color w:val="15803D"/>
          <w:sz w:val="26"/>
        </w:rPr>
        <w:t>Milestone 2: pgvector RAG Pipeline for Knowledge &amp; Policy Grounding</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Vector Infrastructure: </w:t>
      </w:r>
      <w:r>
        <w:rPr>
          <w:rFonts w:ascii="Calibri" w:hAnsi="Calibri"/>
          <w:b w:val="0"/>
          <w:i w:val="0"/>
          <w:color w:val="334155"/>
          <w:sz w:val="21"/>
        </w:rPr>
        <w:t>Enable the pgvector extension on the production PostgreSQL database.</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Semantic Retrieval: </w:t>
      </w:r>
      <w:r>
        <w:rPr>
          <w:rFonts w:ascii="Calibri" w:hAnsi="Calibri"/>
          <w:b w:val="0"/>
          <w:i w:val="0"/>
          <w:color w:val="334155"/>
          <w:sz w:val="21"/>
        </w:rPr>
        <w:t>Index EventSlot help documentation, organizer FAQs, and event policies using text-embedding-004 (Google) or text-embedding-3-small (OpenAI).</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Precision Grounding: </w:t>
      </w:r>
      <w:r>
        <w:rPr>
          <w:rFonts w:ascii="Calibri" w:hAnsi="Calibri"/>
          <w:b w:val="0"/>
          <w:i w:val="0"/>
          <w:color w:val="334155"/>
          <w:sz w:val="21"/>
        </w:rPr>
        <w:t>Inject top-k cosine-similarity matches into the assistant context, ensuring hyper-accurate responses to complex operational queries.</w:t>
      </w:r>
    </w:p>
    <w:p>
      <w:pPr>
        <w:keepNext/>
        <w:spacing w:before="280" w:after="80"/>
      </w:pPr>
      <w:r>
        <w:rPr>
          <w:rFonts w:ascii="Calibri" w:hAnsi="Calibri"/>
          <w:b/>
          <w:i w:val="0"/>
          <w:color w:val="15803D"/>
          <w:sz w:val="26"/>
        </w:rPr>
        <w:t>Milestone 3: Automated Post-Event Feedback &amp; Sentiment Intelligence</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Automated Synthesis: </w:t>
      </w:r>
      <w:r>
        <w:rPr>
          <w:rFonts w:ascii="Calibri" w:hAnsi="Calibri"/>
          <w:b w:val="0"/>
          <w:i w:val="0"/>
          <w:color w:val="334155"/>
          <w:sz w:val="21"/>
        </w:rPr>
        <w:t>When an event concludes and attendees submit post-event feedback forms, an automated cron job batches attendee commentary and triggers Gemini 2.5 Flash.</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Executive Output: </w:t>
      </w:r>
      <w:r>
        <w:rPr>
          <w:rFonts w:ascii="Calibri" w:hAnsi="Calibri"/>
          <w:b w:val="0"/>
          <w:i w:val="0"/>
          <w:color w:val="334155"/>
          <w:sz w:val="21"/>
        </w:rPr>
        <w:t>Generates an instant 'Attendee Satisfaction &amp; NPS Scorecard' highlighting: Top 3 things attendees loved, Top 3 operational friction points (e.g. venue crowding, bad audio, confusing check-in), and Sentiment Distribution (% positive, neutral, negative).</w:t>
      </w:r>
    </w:p>
    <w:p>
      <w:pPr>
        <w:keepNext/>
        <w:spacing w:before="280" w:after="80"/>
      </w:pPr>
      <w:r>
        <w:rPr>
          <w:rFonts w:ascii="Calibri" w:hAnsi="Calibri"/>
          <w:b/>
          <w:i w:val="0"/>
          <w:color w:val="15803D"/>
          <w:sz w:val="26"/>
        </w:rPr>
        <w:t>Milestone 4: Dynamic Ticket Pricing &amp; Surge Intelligence Advisor</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Commercial Optimization: </w:t>
      </w:r>
      <w:r>
        <w:rPr>
          <w:rFonts w:ascii="Calibri" w:hAnsi="Calibri"/>
          <w:b w:val="0"/>
          <w:i w:val="0"/>
          <w:color w:val="334155"/>
          <w:sz w:val="21"/>
        </w:rPr>
        <w:t>For paid events, the AI continuously monitors registration intake velocity. If 80% of tier-1 tickets sell out within 2 hours, the advisor generates a real-time prompt recommending the organizer launch a higher-priced tier or adjust capacity to maximize revenue.</w:t>
      </w:r>
    </w:p>
    <w:p>
      <w:pPr>
        <w:keepNext/>
        <w:spacing w:before="280" w:after="80"/>
      </w:pPr>
      <w:r>
        <w:rPr>
          <w:rFonts w:ascii="Calibri" w:hAnsi="Calibri"/>
          <w:b/>
          <w:i w:val="0"/>
          <w:color w:val="15803D"/>
          <w:sz w:val="26"/>
        </w:rPr>
        <w:t>Milestone 5: Deep Document &amp; Ticket Fraud Shield</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Security Enforcement: </w:t>
      </w:r>
      <w:r>
        <w:rPr>
          <w:rFonts w:ascii="Calibri" w:hAnsi="Calibri"/>
          <w:b w:val="0"/>
          <w:i w:val="0"/>
          <w:color w:val="334155"/>
          <w:sz w:val="21"/>
        </w:rPr>
        <w:t>Implement the proposal in docs/DEEP_DOCUMENT_SCAN_PROPOSAL.md to inspect uploaded event materials for phishing URLs, embedded active scripts, and unauthorized sponsor brand mismatches.</w:t>
      </w:r>
    </w:p>
    <w:p>
      <w:pPr>
        <w:keepNext/>
        <w:spacing w:before="400" w:after="120"/>
      </w:pPr>
      <w:r>
        <w:rPr>
          <w:rFonts w:ascii="Calibri" w:hAnsi="Calibri"/>
          <w:b/>
          <w:i w:val="0"/>
          <w:color w:val="0F172A"/>
          <w:sz w:val="32"/>
        </w:rPr>
        <w:t>8. Summary &amp; Architectural Guidance for the Team</w:t>
      </w:r>
    </w:p>
    <w:p>
      <w:pPr>
        <w:spacing w:line="276" w:lineRule="auto" w:after="80" w:before="0"/>
      </w:pPr>
      <w:r>
        <w:rPr>
          <w:rFonts w:ascii="Calibri" w:hAnsi="Calibri"/>
          <w:b/>
          <w:i w:val="0"/>
          <w:color w:val="0F172A"/>
          <w:sz w:val="21"/>
        </w:rPr>
        <w:t xml:space="preserve">Guiding Principles for Engineering: </w:t>
      </w:r>
      <w:r>
        <w:rPr>
          <w:rFonts w:ascii="Calibri" w:hAnsi="Calibri"/>
          <w:b w:val="0"/>
          <w:i w:val="0"/>
          <w:color w:val="334155"/>
          <w:sz w:val="21"/>
        </w:rPr>
        <w:t>When sitting down to extend or refine EventSlot's AI architecture, engineering and product teams must adhere to the following 5 immutable principles:</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1. Centralized Routing Only: </w:t>
      </w:r>
      <w:r>
        <w:rPr>
          <w:rFonts w:ascii="Calibri" w:hAnsi="Calibri"/>
          <w:b w:val="0"/>
          <w:i w:val="0"/>
          <w:color w:val="334155"/>
          <w:sz w:val="21"/>
        </w:rPr>
        <w:t>Never call an LLM API directly from a React component or an isolated route handler without routing through the centralized fallback chain.</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2. Mandatory Deterministic Fallback: </w:t>
      </w:r>
      <w:r>
        <w:rPr>
          <w:rFonts w:ascii="Calibri" w:hAnsi="Calibri"/>
          <w:b w:val="0"/>
          <w:i w:val="0"/>
          <w:color w:val="334155"/>
          <w:sz w:val="21"/>
        </w:rPr>
        <w:t>Every AI feature must have a deterministic calculation that executes if the network or model fails. Blank error screens are strictly unacceptable.</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3. Rigorous Content Sanitization: </w:t>
      </w:r>
      <w:r>
        <w:rPr>
          <w:rFonts w:ascii="Calibri" w:hAnsi="Calibri"/>
          <w:b w:val="0"/>
          <w:i w:val="0"/>
          <w:color w:val="334155"/>
          <w:sz w:val="21"/>
        </w:rPr>
        <w:t>Always use sanitizeAIContent() to eliminate &lt;think&gt; tags, markdown fences, and formatting artifacts before returning data to the client.</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4. Absolute PII Protection: </w:t>
      </w:r>
      <w:r>
        <w:rPr>
          <w:rFonts w:ascii="Calibri" w:hAnsi="Calibri"/>
          <w:b w:val="0"/>
          <w:i w:val="0"/>
          <w:color w:val="334155"/>
          <w:sz w:val="21"/>
        </w:rPr>
        <w:t>Never pass attendee names, emails, phone numbers, or national identification numbers into LLM prompt contexts. Strictly use aggregated frequencies and demographic labels.</w:t>
      </w:r>
    </w:p>
    <w:p>
      <w:pPr>
        <w:spacing w:line="276" w:lineRule="auto" w:after="80" w:before="0"/>
        <w:ind w:left="360"/>
      </w:pPr>
      <w:r>
        <w:rPr>
          <w:rFonts w:ascii="Calibri" w:hAnsi="Calibri"/>
          <w:b/>
          <w:i w:val="0"/>
          <w:color w:val="15803D"/>
          <w:sz w:val="21"/>
        </w:rPr>
        <w:t xml:space="preserve">• </w:t>
      </w:r>
      <w:r>
        <w:rPr>
          <w:rFonts w:ascii="Calibri" w:hAnsi="Calibri"/>
          <w:b/>
          <w:i w:val="0"/>
          <w:color w:val="0F172A"/>
          <w:sz w:val="21"/>
        </w:rPr>
        <w:t xml:space="preserve">5. Economic Tier Discipline: </w:t>
      </w:r>
      <w:r>
        <w:rPr>
          <w:rFonts w:ascii="Calibri" w:hAnsi="Calibri"/>
          <w:b w:val="0"/>
          <w:i w:val="0"/>
          <w:color w:val="334155"/>
          <w:sz w:val="21"/>
        </w:rPr>
        <w:t>Default to Groq LPU for low-latency interactive workflows (chat, Q&amp;A, fast cards) and Google Gemini 2.5 Flash for multimodal, long-context, and presentation generation. Reserve Claude 3.5 Sonnet strictly for premium, high-margin executive reports.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