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111A2C"/>
          <w:sz w:val="40"/>
        </w:rPr>
        <w:t>EventSlot AI Strategy Proposal</w:t>
      </w:r>
    </w:p>
    <w:p>
      <w:r>
        <w:rPr>
          <w:rFonts w:ascii="Arial" w:hAnsi="Arial"/>
          <w:color w:val="555555"/>
          <w:sz w:val="20"/>
        </w:rPr>
        <w:t>Prepared on 7 August 2026. Scope: public event discovery, organizer productivity, attendee support, reporting quality, and cost-conscious rollout decisions.</w:t>
      </w:r>
    </w:p>
    <w:p>
      <w:pPr>
        <w:pStyle w:val="Heading1"/>
      </w:pPr>
      <w:r>
        <w:t>1. Executive recommendation</w:t>
      </w:r>
    </w:p>
    <w:p>
      <w:r>
        <w:t>EventSlot should not build its own foundation model at this stage. The best near-term path is to use existing API models and add EventSlot-owned orchestration around them: retrieval, guardrails, event search logic, prompt templates, moderation, and analytics-specific post-processing. This gives EventSlot faster time to market, lower risk, lower operating overhead, and the freedom to switch providers as usage grows.</w:t>
      </w:r>
    </w:p>
    <w:p>
      <w:r>
        <w:t>In practical terms, EventSlot should treat AI as a platform layer inside the product, not as a standalone research project. The product advantage will come from EventSlot data, workflows, and event-specific UX rather than from training a new model from scratch.</w:t>
      </w:r>
    </w:p>
    <w:p>
      <w:pPr>
        <w:pStyle w:val="Heading1"/>
      </w:pPr>
      <w:r>
        <w:t>2. Build vs buy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</w:tcPr>
          <w:p>
            <w:r>
              <w:t>Option</w:t>
            </w:r>
          </w:p>
        </w:tc>
        <w:tc>
          <w:tcPr>
            <w:tcW w:type="dxa" w:w="3120"/>
            <w:shd w:fill="E8EEF5"/>
          </w:tcPr>
          <w:p>
            <w:r>
              <w:t>What it means</w:t>
            </w:r>
          </w:p>
        </w:tc>
        <w:tc>
          <w:tcPr>
            <w:tcW w:type="dxa" w:w="3120"/>
            <w:shd w:fill="E8EEF5"/>
          </w:tcPr>
          <w:p>
            <w:r>
              <w:t>Recommendation</w:t>
            </w:r>
          </w:p>
        </w:tc>
      </w:tr>
      <w:tr>
        <w:tc>
          <w:tcPr>
            <w:tcW w:type="dxa" w:w="3120"/>
          </w:tcPr>
          <w:p>
            <w:r>
              <w:t>Train our own model</w:t>
            </w:r>
          </w:p>
        </w:tc>
        <w:tc>
          <w:tcPr>
            <w:tcW w:type="dxa" w:w="3120"/>
          </w:tcPr>
          <w:p>
            <w:r>
              <w:t>Collect large datasets, hire ML infrastructure talent, run evaluation pipelines, and carry continuous tuning plus hosting cost.</w:t>
            </w:r>
          </w:p>
        </w:tc>
        <w:tc>
          <w:tcPr>
            <w:tcW w:type="dxa" w:w="3120"/>
          </w:tcPr>
          <w:p>
            <w:r>
              <w:t>Not recommended now. Too slow, too costly, and unnecessary for EventSlot's current needs.</w:t>
            </w:r>
          </w:p>
        </w:tc>
      </w:tr>
      <w:tr>
        <w:tc>
          <w:tcPr>
            <w:tcW w:type="dxa" w:w="3120"/>
          </w:tcPr>
          <w:p>
            <w:r>
              <w:t>Use one external provider only</w:t>
            </w:r>
          </w:p>
        </w:tc>
        <w:tc>
          <w:tcPr>
            <w:tcW w:type="dxa" w:w="3120"/>
          </w:tcPr>
          <w:p>
            <w:r>
              <w:t>Simpler implementation but weaker resilience if quality, cost, or rate limits change.</w:t>
            </w:r>
          </w:p>
        </w:tc>
        <w:tc>
          <w:tcPr>
            <w:tcW w:type="dxa" w:w="3120"/>
          </w:tcPr>
          <w:p>
            <w:r>
              <w:t>Good for a first pilot, but not ideal for the medium term.</w:t>
            </w:r>
          </w:p>
        </w:tc>
      </w:tr>
      <w:tr>
        <w:tc>
          <w:tcPr>
            <w:tcW w:type="dxa" w:w="3120"/>
          </w:tcPr>
          <w:p>
            <w:r>
              <w:t>Use a provider mix with routing</w:t>
            </w:r>
          </w:p>
        </w:tc>
        <w:tc>
          <w:tcPr>
            <w:tcW w:type="dxa" w:w="3120"/>
          </w:tcPr>
          <w:p>
            <w:r>
              <w:t>Cheap models for simple work, stronger models for premium workflows, and fallback when one provider has issues.</w:t>
            </w:r>
          </w:p>
        </w:tc>
        <w:tc>
          <w:tcPr>
            <w:tcW w:type="dxa" w:w="3120"/>
          </w:tcPr>
          <w:p>
            <w:r>
              <w:t>Recommended. This fits EventSlot best.</w:t>
            </w:r>
          </w:p>
        </w:tc>
      </w:tr>
    </w:tbl>
    <w:p>
      <w:pPr>
        <w:pStyle w:val="Heading1"/>
      </w:pPr>
      <w:r>
        <w:t>3. What AI should do inside EventSlot</w:t>
      </w:r>
    </w:p>
    <w:p>
      <w:r>
        <w:t>The highest-value AI areas are the ones that reduce organizer effort, improve event discovery, and increase registration conversion without adding operational confusion.</w:t>
      </w:r>
    </w:p>
    <w:p>
      <w:pPr>
        <w:pStyle w:val="Heading2"/>
      </w:pPr>
      <w:r>
        <w:t>3.1 Public event discovery and search</w:t>
      </w:r>
    </w:p>
    <w:p>
      <w:pPr>
        <w:pStyle w:val="ListBullet"/>
      </w:pPr>
      <w:r>
        <w:t>Natural-language event discovery on the public Events page. Example: 'Show me worship events in Nairobi this weekend' or 'Find free business events next month.'</w:t>
      </w:r>
    </w:p>
    <w:p>
      <w:pPr>
        <w:pStyle w:val="ListBullet"/>
      </w:pPr>
      <w:r>
        <w:t>AI-assisted ranking for public events using date relevance, location relevance, capacity urgency, and engagement signals.</w:t>
      </w:r>
    </w:p>
    <w:p>
      <w:pPr>
        <w:pStyle w:val="ListBullet"/>
      </w:pPr>
      <w:r>
        <w:t>AI summaries on event cards or search results when the user asks for quick recommendations instead of browsing manually.</w:t>
      </w:r>
    </w:p>
    <w:p>
      <w:pPr>
        <w:pStyle w:val="ListBullet"/>
      </w:pPr>
      <w:r>
        <w:t>Smart related-events suggestions after a user opens one public event.</w:t>
      </w:r>
    </w:p>
    <w:p>
      <w:pPr>
        <w:pStyle w:val="Heading2"/>
      </w:pPr>
      <w:r>
        <w:t>3.2 Event creation assistance</w:t>
      </w:r>
    </w:p>
    <w:p>
      <w:pPr>
        <w:pStyle w:val="ListBullet"/>
      </w:pPr>
      <w:r>
        <w:t>Generate first-draft event descriptions from event title, venue, date, and target audience.</w:t>
      </w:r>
    </w:p>
    <w:p>
      <w:pPr>
        <w:pStyle w:val="ListBullet"/>
      </w:pPr>
      <w:r>
        <w:t>Rewrite organizer descriptions into clearer, more persuasive public copy while preserving key facts.</w:t>
      </w:r>
    </w:p>
    <w:p>
      <w:pPr>
        <w:pStyle w:val="ListBullet"/>
      </w:pPr>
      <w:r>
        <w:t>Suggest missing information when a description is too vague, such as audience, agenda, dress code, entry instructions, or check-in requirements.</w:t>
      </w:r>
    </w:p>
    <w:p>
      <w:pPr>
        <w:pStyle w:val="ListBullet"/>
      </w:pPr>
      <w:r>
        <w:t>Propose registration questions based on event type, for example transport needs, meal preferences, group affiliation, or attendance day selection.</w:t>
      </w:r>
    </w:p>
    <w:p>
      <w:pPr>
        <w:pStyle w:val="Heading2"/>
      </w:pPr>
      <w:r>
        <w:t>3.3 Organizer operations</w:t>
      </w:r>
    </w:p>
    <w:p>
      <w:pPr>
        <w:pStyle w:val="ListBullet"/>
      </w:pPr>
      <w:r>
        <w:t>Generate attendee emails, WhatsApp reminders, and follow-up messages with event-specific tone control.</w:t>
      </w:r>
    </w:p>
    <w:p>
      <w:pPr>
        <w:pStyle w:val="ListBullet"/>
      </w:pPr>
      <w:r>
        <w:t>Detect risky patterns such as sudden drop in registrations, low form completion, high waitlist pressure, or duplicate/fraud-prone registrations.</w:t>
      </w:r>
    </w:p>
    <w:p>
      <w:pPr>
        <w:pStyle w:val="ListBullet"/>
      </w:pPr>
      <w:r>
        <w:t>Summarize registrations by audience type, source channel, or custom-question answers for organizers who do not want to inspect raw data.</w:t>
      </w:r>
    </w:p>
    <w:p>
      <w:pPr>
        <w:pStyle w:val="ListBullet"/>
      </w:pPr>
      <w:r>
        <w:t>Recommend capacity actions, pricing experiments, deadline extensions, or reminder timing based on registration behavior.</w:t>
      </w:r>
    </w:p>
    <w:p>
      <w:pPr>
        <w:pStyle w:val="Heading2"/>
      </w:pPr>
      <w:r>
        <w:t>3.4 Attendee-facing assistance</w:t>
      </w:r>
    </w:p>
    <w:p>
      <w:pPr>
        <w:pStyle w:val="ListBullet"/>
      </w:pPr>
      <w:r>
        <w:t>Answer attendee questions from structured event data such as date, venue, host, what to carry, whether tickets are active, or whether parking is available.</w:t>
      </w:r>
    </w:p>
    <w:p>
      <w:pPr>
        <w:pStyle w:val="ListBullet"/>
      </w:pPr>
      <w:r>
        <w:t>Offer multilingual help for event details and FAQs.</w:t>
      </w:r>
    </w:p>
    <w:p>
      <w:pPr>
        <w:pStyle w:val="ListBullet"/>
      </w:pPr>
      <w:r>
        <w:t>Guide attendees through public event discovery using conversational search instead of only filters.</w:t>
      </w:r>
    </w:p>
    <w:p>
      <w:pPr>
        <w:pStyle w:val="Heading2"/>
      </w:pPr>
      <w:r>
        <w:t>3.5 Reporting and post-event intelligence</w:t>
      </w:r>
    </w:p>
    <w:p>
      <w:pPr>
        <w:pStyle w:val="ListBullet"/>
      </w:pPr>
      <w:r>
        <w:t>Improve AI report quality with clearer executive summaries, cleaner charts, and sharper action recommendations.</w:t>
      </w:r>
    </w:p>
    <w:p>
      <w:pPr>
        <w:pStyle w:val="ListBullet"/>
      </w:pPr>
      <w:r>
        <w:t>Generate sponsor-ready summaries, church leadership summaries, and internal operations summaries from the same event data.</w:t>
      </w:r>
    </w:p>
    <w:p>
      <w:pPr>
        <w:pStyle w:val="ListBullet"/>
      </w:pPr>
      <w:r>
        <w:t>Produce next-event recommendations after completion: best registration window, likely turnout range, and top audience signals.</w:t>
      </w:r>
    </w:p>
    <w:p>
      <w:pPr>
        <w:pStyle w:val="Heading1"/>
      </w:pPr>
      <w:r>
        <w:t>4. Prioritised rollout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</w:tcPr>
          <w:p>
            <w:r>
              <w:t>Phase</w:t>
            </w:r>
          </w:p>
        </w:tc>
        <w:tc>
          <w:tcPr>
            <w:tcW w:type="dxa" w:w="2340"/>
            <w:shd w:fill="F2F4F7"/>
          </w:tcPr>
          <w:p>
            <w:r>
              <w:t>Feature</w:t>
            </w:r>
          </w:p>
        </w:tc>
        <w:tc>
          <w:tcPr>
            <w:tcW w:type="dxa" w:w="2340"/>
            <w:shd w:fill="F2F4F7"/>
          </w:tcPr>
          <w:p>
            <w:r>
              <w:t>Why it matters</w:t>
            </w:r>
          </w:p>
        </w:tc>
        <w:tc>
          <w:tcPr>
            <w:tcW w:type="dxa" w:w="2340"/>
            <w:shd w:fill="F2F4F7"/>
          </w:tcPr>
          <w:p>
            <w:r>
              <w:t>Release view</w:t>
            </w:r>
          </w:p>
        </w:tc>
      </w:tr>
      <w:tr>
        <w:tc>
          <w:tcPr>
            <w:tcW w:type="dxa" w:w="2340"/>
          </w:tcPr>
          <w:p>
            <w:r>
              <w:t>Phase 1</w:t>
            </w:r>
          </w:p>
        </w:tc>
        <w:tc>
          <w:tcPr>
            <w:tcW w:type="dxa" w:w="2340"/>
          </w:tcPr>
          <w:p>
            <w:r>
              <w:t>AI description generator + event discovery assistant</w:t>
            </w:r>
          </w:p>
        </w:tc>
        <w:tc>
          <w:tcPr>
            <w:tcW w:type="dxa" w:w="2340"/>
          </w:tcPr>
          <w:p>
            <w:r>
              <w:t>Immediate user-visible value with low integration complexity.</w:t>
            </w:r>
          </w:p>
        </w:tc>
        <w:tc>
          <w:tcPr>
            <w:tcW w:type="dxa" w:w="2340"/>
          </w:tcPr>
          <w:p>
            <w:r>
              <w:t>Fastest pilot</w:t>
            </w:r>
          </w:p>
        </w:tc>
      </w:tr>
      <w:tr>
        <w:tc>
          <w:tcPr>
            <w:tcW w:type="dxa" w:w="2340"/>
          </w:tcPr>
          <w:p>
            <w:r>
              <w:t>Phase 2</w:t>
            </w:r>
          </w:p>
        </w:tc>
        <w:tc>
          <w:tcPr>
            <w:tcW w:type="dxa" w:w="2340"/>
          </w:tcPr>
          <w:p>
            <w:r>
              <w:t>Organizer message drafting + AI search/ranking for public events</w:t>
            </w:r>
          </w:p>
        </w:tc>
        <w:tc>
          <w:tcPr>
            <w:tcW w:type="dxa" w:w="2340"/>
          </w:tcPr>
          <w:p>
            <w:r>
              <w:t>Improves conversion and reduces manual work.</w:t>
            </w:r>
          </w:p>
        </w:tc>
        <w:tc>
          <w:tcPr>
            <w:tcW w:type="dxa" w:w="2340"/>
          </w:tcPr>
          <w:p>
            <w:r>
              <w:t>Next release</w:t>
            </w:r>
          </w:p>
        </w:tc>
      </w:tr>
      <w:tr>
        <w:tc>
          <w:tcPr>
            <w:tcW w:type="dxa" w:w="2340"/>
          </w:tcPr>
          <w:p>
            <w:r>
              <w:t>Phase 3</w:t>
            </w:r>
          </w:p>
        </w:tc>
        <w:tc>
          <w:tcPr>
            <w:tcW w:type="dxa" w:w="2340"/>
          </w:tcPr>
          <w:p>
            <w:r>
              <w:t>Operational recommendations and anomaly detection</w:t>
            </w:r>
          </w:p>
        </w:tc>
        <w:tc>
          <w:tcPr>
            <w:tcW w:type="dxa" w:w="2340"/>
          </w:tcPr>
          <w:p>
            <w:r>
              <w:t>Higher strategic value once usage data is richer.</w:t>
            </w:r>
          </w:p>
        </w:tc>
        <w:tc>
          <w:tcPr>
            <w:tcW w:type="dxa" w:w="2340"/>
          </w:tcPr>
          <w:p>
            <w:r>
              <w:t>After usage baseline</w:t>
            </w:r>
          </w:p>
        </w:tc>
      </w:tr>
      <w:tr>
        <w:tc>
          <w:tcPr>
            <w:tcW w:type="dxa" w:w="2340"/>
          </w:tcPr>
          <w:p>
            <w:r>
              <w:t>Phase 4</w:t>
            </w:r>
          </w:p>
        </w:tc>
        <w:tc>
          <w:tcPr>
            <w:tcW w:type="dxa" w:w="2340"/>
          </w:tcPr>
          <w:p>
            <w:r>
              <w:t>Advanced personalized recommendations and cross-event intelligence</w:t>
            </w:r>
          </w:p>
        </w:tc>
        <w:tc>
          <w:tcPr>
            <w:tcW w:type="dxa" w:w="2340"/>
          </w:tcPr>
          <w:p>
            <w:r>
              <w:t>Best long-term moat, but depends on enough event volume and feedback loops.</w:t>
            </w:r>
          </w:p>
        </w:tc>
        <w:tc>
          <w:tcPr>
            <w:tcW w:type="dxa" w:w="2340"/>
          </w:tcPr>
          <w:p>
            <w:r>
              <w:t>Later scale phase</w:t>
            </w:r>
          </w:p>
        </w:tc>
      </w:tr>
    </w:tbl>
    <w:p>
      <w:pPr>
        <w:pStyle w:val="Heading1"/>
      </w:pPr>
      <w:r>
        <w:t>5. Recommended model strategy</w:t>
      </w:r>
    </w:p>
    <w:p>
      <w:r>
        <w:t>Recommendation: use a hybrid routing approach. For low-cost, high-volume tasks such as filtering, classification, tag generation, and first-draft copy, use lower-cost models. For premium outputs such as polished report sections or higher-stakes event summaries, route to a stronger model only when needed.</w:t>
      </w:r>
    </w:p>
    <w:p>
      <w:r>
        <w:t>Based on current official pricing checked on 7 August 2026, OpenAI standard pricing lists GPT-5.6 Luna at $1.00 input and $6.00 output per 1M tokens, GPT-5.6 Terra at $2.50 input and $15.00 output, and GPT-5.6 Sol at $5.00 input and $30.00 output. Groq lists GPT-OSS 20B at $0.075 input and $0.30 output per 1M tokens and GPT-OSS 120B at $0.15 input and $0.60 output. OpenRouter lists a 5.5% platform fee on pay-as-you-go usage.</w:t>
      </w:r>
    </w:p>
    <w:p>
      <w:pPr>
        <w:pStyle w:val="Heading2"/>
      </w:pPr>
      <w:r>
        <w:t>5.1 Cost-conscious recommendation</w:t>
      </w:r>
    </w:p>
    <w:p>
      <w:pPr>
        <w:pStyle w:val="ListBullet"/>
      </w:pPr>
      <w:r>
        <w:t>Default low-cost lane: Groq GPT-OSS 20B for tagging, short classification, lightweight assistant tasks, and rough first drafts.</w:t>
      </w:r>
    </w:p>
    <w:p>
      <w:pPr>
        <w:pStyle w:val="ListBullet"/>
      </w:pPr>
      <w:r>
        <w:t>Higher-quality lane: Groq GPT-OSS 120B or OpenAI GPT-5.6 Luna for organizer-facing copy, executive summaries, and premium event intelligence.</w:t>
      </w:r>
    </w:p>
    <w:p>
      <w:pPr>
        <w:pStyle w:val="ListBullet"/>
      </w:pPr>
      <w:r>
        <w:t>Do not put every request through the strongest model. Add a task router so EventSlot pays premium rates only where quality materially affects conversion or trust.</w:t>
      </w:r>
    </w:p>
    <w:p>
      <w:pPr>
        <w:pStyle w:val="ListBullet"/>
      </w:pPr>
      <w:r>
        <w:t>Use OpenRouter only when provider flexibility is the main goal; otherwise prefer direct-provider calls to avoid the extra platform fee.</w:t>
      </w:r>
    </w:p>
    <w:p>
      <w:pPr>
        <w:pStyle w:val="Heading1"/>
      </w:pPr>
      <w:r>
        <w:t>6. Product architecture recommendation</w:t>
      </w:r>
    </w:p>
    <w:p>
      <w:pPr>
        <w:pStyle w:val="ListBullet"/>
      </w:pPr>
      <w:r>
        <w:t>Keep EventSlot as the source of truth for structured event data, attendees, dates, venue, and organizer permissions.</w:t>
      </w:r>
    </w:p>
    <w:p>
      <w:pPr>
        <w:pStyle w:val="ListBullet"/>
      </w:pPr>
      <w:r>
        <w:t>Add a retrieval layer for public-event discovery so AI answers are grounded in real searchable event records instead of hallucinated answers.</w:t>
      </w:r>
    </w:p>
    <w:p>
      <w:pPr>
        <w:pStyle w:val="ListBullet"/>
      </w:pPr>
      <w:r>
        <w:t>Store prompts, outputs, latency, token usage, and acceptance rates so the team can measure whether AI actually improves organizer outcomes.</w:t>
      </w:r>
    </w:p>
    <w:p>
      <w:pPr>
        <w:pStyle w:val="ListBullet"/>
      </w:pPr>
      <w:r>
        <w:t>Add permission boundaries so AI can only answer from events the current user is allowed to access.</w:t>
      </w:r>
    </w:p>
    <w:p>
      <w:pPr>
        <w:pStyle w:val="ListBullet"/>
      </w:pPr>
      <w:r>
        <w:t>Separate free AI features from premium AI features early, even if billing is temporarily paused.</w:t>
      </w:r>
    </w:p>
    <w:p>
      <w:pPr>
        <w:pStyle w:val="Heading1"/>
      </w:pPr>
      <w:r>
        <w:t>7. Risks and controls</w:t>
      </w:r>
    </w:p>
    <w:p>
      <w:pPr>
        <w:pStyle w:val="ListBullet"/>
      </w:pPr>
      <w:r>
        <w:t>Hallucination risk: require grounding for discovery, event facts, and organizer analytics.</w:t>
      </w:r>
    </w:p>
    <w:p>
      <w:pPr>
        <w:pStyle w:val="ListBullet"/>
      </w:pPr>
      <w:r>
        <w:t>Privacy risk: never let AI answer from events the user does not have permission to access.</w:t>
      </w:r>
    </w:p>
    <w:p>
      <w:pPr>
        <w:pStyle w:val="ListBullet"/>
      </w:pPr>
      <w:r>
        <w:t>Cost risk: cap tokens per workflow, cache repeated context, and route simple tasks to cheaper models.</w:t>
      </w:r>
    </w:p>
    <w:p>
      <w:pPr>
        <w:pStyle w:val="ListBullet"/>
      </w:pPr>
      <w:r>
        <w:t>Trust risk: always show the organizer what AI changed before publishing generated descriptions or messages.</w:t>
      </w:r>
    </w:p>
    <w:p>
      <w:pPr>
        <w:pStyle w:val="ListBullet"/>
      </w:pPr>
      <w:r>
        <w:t>Operational risk: keep hard business rules outside the model, especially dates, ticket validity, registration state, and permissions.</w:t>
      </w:r>
    </w:p>
    <w:p>
      <w:pPr>
        <w:pStyle w:val="Heading1"/>
      </w:pPr>
      <w:r>
        <w:t>8. Success metrics</w:t>
      </w:r>
    </w:p>
    <w:p>
      <w:pPr>
        <w:pStyle w:val="ListBullet"/>
      </w:pPr>
      <w:r>
        <w:t>Percentage of organizers who use AI-generated description drafts and keep them with minimal edits.</w:t>
      </w:r>
    </w:p>
    <w:p>
      <w:pPr>
        <w:pStyle w:val="ListBullet"/>
      </w:pPr>
      <w:r>
        <w:t>Search-to-registration conversion rate on the public Events page.</w:t>
      </w:r>
    </w:p>
    <w:p>
      <w:pPr>
        <w:pStyle w:val="ListBullet"/>
      </w:pPr>
      <w:r>
        <w:t>Reduction in time to publish a new event.</w:t>
      </w:r>
    </w:p>
    <w:p>
      <w:pPr>
        <w:pStyle w:val="ListBullet"/>
      </w:pPr>
      <w:r>
        <w:t>Increase in public event discovery sessions and repeat visits.</w:t>
      </w:r>
    </w:p>
    <w:p>
      <w:pPr>
        <w:pStyle w:val="ListBullet"/>
      </w:pPr>
      <w:r>
        <w:t>AI report open, download, and organizer satisfaction rates.</w:t>
      </w:r>
    </w:p>
    <w:p>
      <w:pPr>
        <w:pStyle w:val="Heading1"/>
      </w:pPr>
      <w:r>
        <w:t>9. Practical next steps</w:t>
      </w:r>
    </w:p>
    <w:p>
      <w:pPr>
        <w:pStyle w:val="ListBullet"/>
      </w:pPr>
      <w:r>
        <w:t>Step 1: ship the new public Events filters and prepare the event index for natural-language retrieval.</w:t>
      </w:r>
    </w:p>
    <w:p>
      <w:pPr>
        <w:pStyle w:val="ListBullet"/>
      </w:pPr>
      <w:r>
        <w:t>Step 2: build AI description generation inside create/edit event flows with organizer review before save.</w:t>
      </w:r>
    </w:p>
    <w:p>
      <w:pPr>
        <w:pStyle w:val="ListBullet"/>
      </w:pPr>
      <w:r>
        <w:t>Step 3: add conversational public-event discovery on the Events page using only public listings.</w:t>
      </w:r>
    </w:p>
    <w:p>
      <w:pPr>
        <w:pStyle w:val="ListBullet"/>
      </w:pPr>
      <w:r>
        <w:t>Step 4: improve report-generation QA and document rendering checks so mobile-generated downloads remain visually clean.</w:t>
      </w:r>
    </w:p>
    <w:p>
      <w:pPr>
        <w:pStyle w:val="ListBullet"/>
      </w:pPr>
      <w:r>
        <w:t>Step 5: add usage tracking and cost dashboards before broad rollout.</w:t>
      </w:r>
    </w:p>
    <w:p>
      <w:pPr>
        <w:pStyle w:val="Heading1"/>
      </w:pPr>
      <w:r>
        <w:t>10. Source notes</w:t>
      </w:r>
    </w:p>
    <w:p>
      <w:r>
        <w:t>Official sources checked on 7 August 2026:</w:t>
      </w:r>
    </w:p>
    <w:p>
      <w:r>
        <w:t>OpenAI API pricing: https://openai.com/api/pricing/</w:t>
      </w:r>
    </w:p>
    <w:p>
      <w:r>
        <w:t>Groq supported models and pricing: https://console.groq.com/docs/models</w:t>
      </w:r>
    </w:p>
    <w:p>
      <w:r>
        <w:t>OpenRouter pricing: https://openrouter.ai/pricing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