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b/>
          <w:color w:val="666666"/>
          <w:sz w:val="22"/>
        </w:rPr>
        <w:t>EVENTSLOT X GOOGLE</w:t>
      </w:r>
    </w:p>
    <w:p>
      <w:pPr>
        <w:spacing w:before="0" w:after="80" w:line="283" w:lineRule="auto"/>
        <w:jc w:val="left"/>
      </w:pPr>
      <w:r>
        <w:rPr>
          <w:rFonts w:ascii="Calibri" w:hAnsi="Calibri"/>
          <w:b w:val="0"/>
          <w:i w:val="0"/>
          <w:color w:val="000000"/>
          <w:sz w:val="52"/>
        </w:rPr>
        <w:t>Strategic Partnership Proposal</w:t>
      </w:r>
    </w:p>
    <w:p>
      <w:pPr>
        <w:spacing w:before="0" w:after="280" w:line="283" w:lineRule="auto"/>
        <w:jc w:val="left"/>
      </w:pPr>
      <w:r>
        <w:rPr>
          <w:rFonts w:ascii="Calibri" w:hAnsi="Calibri"/>
          <w:b w:val="0"/>
          <w:i w:val="0"/>
          <w:color w:val="555555"/>
          <w:sz w:val="28"/>
        </w:rPr>
        <w:t>Cloud, Workspace, Maps, Meet, Forms, AI, and Live Broadcast for the event infrastructure layer</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shd w:fill="F7F9FC"/>
            <w:shd w:fill="E8EEF5"/>
          </w:tcPr>
          <w:p>
            <w:pPr>
              <w:spacing w:before="0" w:after="80" w:line="259" w:lineRule="auto"/>
            </w:pPr>
            <w:r>
              <w:rPr>
                <w:rFonts w:ascii="Calibri" w:hAnsi="Calibri"/>
                <w:b/>
                <w:color w:val="000000"/>
                <w:sz w:val="21"/>
              </w:rPr>
              <w:t>Prepared by</w:t>
            </w:r>
          </w:p>
        </w:tc>
        <w:tc>
          <w:tcPr>
            <w:tcW w:type="dxa" w:w="7200"/>
            <w:vAlign w:val="center"/>
            <w:shd w:fill="F7F9FC"/>
          </w:tcPr>
          <w:p>
            <w:pPr>
              <w:spacing w:before="0" w:after="80" w:line="259" w:lineRule="auto"/>
            </w:pPr>
            <w:r>
              <w:rPr>
                <w:rFonts w:ascii="Calibri" w:hAnsi="Calibri"/>
                <w:b/>
                <w:color w:val="000000"/>
                <w:sz w:val="21"/>
              </w:rPr>
              <w:t>EventSlot</w:t>
            </w:r>
          </w:p>
        </w:tc>
      </w:tr>
      <w:tr>
        <w:tc>
          <w:tcPr>
            <w:tcW w:type="dxa" w:w="2160"/>
            <w:vAlign w:val="center"/>
            <w:shd w:fill="E8EEF5"/>
          </w:tcPr>
          <w:p>
            <w:pPr>
              <w:spacing w:before="0" w:after="80" w:line="259" w:lineRule="auto"/>
            </w:pPr>
            <w:r>
              <w:rPr>
                <w:rFonts w:ascii="Calibri" w:hAnsi="Calibri"/>
                <w:b/>
                <w:color w:val="000000"/>
                <w:sz w:val="21"/>
              </w:rPr>
              <w:t>Prepared for</w:t>
            </w:r>
          </w:p>
        </w:tc>
        <w:tc>
          <w:tcPr>
            <w:tcW w:type="dxa" w:w="7200"/>
            <w:vAlign w:val="center"/>
          </w:tcPr>
          <w:p>
            <w:pPr>
              <w:spacing w:before="0" w:after="80" w:line="259" w:lineRule="auto"/>
            </w:pPr>
            <w:r>
              <w:rPr>
                <w:rFonts w:ascii="Calibri" w:hAnsi="Calibri"/>
                <w:color w:val="000000"/>
                <w:sz w:val="21"/>
              </w:rPr>
              <w:t>Google Cloud, Google Workspace, and Google ecosystem partnerships</w:t>
            </w:r>
          </w:p>
        </w:tc>
      </w:tr>
      <w:tr>
        <w:tc>
          <w:tcPr>
            <w:tcW w:type="dxa" w:w="2160"/>
            <w:vAlign w:val="center"/>
            <w:shd w:fill="E8EEF5"/>
          </w:tcPr>
          <w:p>
            <w:pPr>
              <w:spacing w:before="0" w:after="80" w:line="259" w:lineRule="auto"/>
            </w:pPr>
            <w:r>
              <w:rPr>
                <w:rFonts w:ascii="Calibri" w:hAnsi="Calibri"/>
                <w:b/>
                <w:color w:val="000000"/>
                <w:sz w:val="21"/>
              </w:rPr>
              <w:t>Date</w:t>
            </w:r>
          </w:p>
        </w:tc>
        <w:tc>
          <w:tcPr>
            <w:tcW w:type="dxa" w:w="7200"/>
            <w:vAlign w:val="center"/>
          </w:tcPr>
          <w:p>
            <w:pPr>
              <w:spacing w:before="0" w:after="80" w:line="259" w:lineRule="auto"/>
            </w:pPr>
            <w:r>
              <w:rPr>
                <w:rFonts w:ascii="Calibri" w:hAnsi="Calibri"/>
                <w:color w:val="000000"/>
                <w:sz w:val="21"/>
              </w:rPr>
              <w:t>August 20, 2026</w:t>
            </w:r>
          </w:p>
        </w:tc>
      </w:tr>
      <w:tr>
        <w:tc>
          <w:tcPr>
            <w:tcW w:type="dxa" w:w="2160"/>
            <w:vAlign w:val="center"/>
            <w:shd w:fill="E8EEF5"/>
          </w:tcPr>
          <w:p>
            <w:pPr>
              <w:spacing w:before="0" w:after="80" w:line="259" w:lineRule="auto"/>
            </w:pPr>
            <w:r>
              <w:rPr>
                <w:rFonts w:ascii="Calibri" w:hAnsi="Calibri"/>
                <w:b/>
                <w:color w:val="000000"/>
                <w:sz w:val="21"/>
              </w:rPr>
              <w:t>Partnership goal</w:t>
            </w:r>
          </w:p>
        </w:tc>
        <w:tc>
          <w:tcPr>
            <w:tcW w:type="dxa" w:w="7200"/>
            <w:vAlign w:val="center"/>
          </w:tcPr>
          <w:p>
            <w:pPr>
              <w:spacing w:before="0" w:after="80" w:line="259" w:lineRule="auto"/>
            </w:pPr>
            <w:r>
              <w:rPr>
                <w:rFonts w:ascii="Calibri" w:hAnsi="Calibri"/>
                <w:color w:val="000000"/>
                <w:sz w:val="21"/>
              </w:rPr>
              <w:t>A meaningful infrastructure and ecosystem partnership, not a one-off credits request</w:t>
            </w:r>
          </w:p>
        </w:tc>
      </w:tr>
    </w:tbl>
    <w:tbl>
      <w:tblPr>
        <w:tblW w:type="auto" w:w="0"/>
        <w:jc w:val="center"/>
        <w:tblLayout w:type="fixed"/>
        <w:tblLook w:firstColumn="1" w:firstRow="1" w:lastColumn="0" w:lastRow="0" w:noHBand="0" w:noVBand="1" w:val="04A0"/>
      </w:tblPr>
      <w:tblGrid>
        <w:gridCol w:w="9360"/>
      </w:tblGrid>
      <w:tr>
        <w:tc>
          <w:tcPr>
            <w:tcW w:type="dxa" w:w="9360"/>
            <w:shd w:fill="F4F6F9"/>
          </w:tcPr>
          <w:p>
            <w:pPr>
              <w:spacing w:before="80" w:after="80" w:line="276" w:lineRule="auto"/>
            </w:pPr>
            <w:r>
              <w:rPr>
                <w:rFonts w:ascii="Calibri" w:hAnsi="Calibri"/>
                <w:b/>
                <w:color w:val="1F3A5F"/>
                <w:sz w:val="23"/>
              </w:rPr>
              <w:t>EventSlot is already a working event operations platform. We are not asking Google to fund an idea from zero. We are proposing a partnership that turns Google infrastructure and APIs into a practical event experience for African organizers, starting with churches, conferences, and summits.</w:t>
            </w:r>
          </w:p>
        </w:tc>
      </w:tr>
    </w:tbl>
    <w:p>
      <w:r/>
    </w:p>
    <w:p>
      <w:pPr>
        <w:spacing w:before="0" w:after="120" w:line="283" w:lineRule="auto"/>
        <w:jc w:val="left"/>
      </w:pPr>
      <w:r>
        <w:rPr>
          <w:rFonts w:ascii="Calibri" w:hAnsi="Calibri"/>
          <w:b w:val="0"/>
          <w:i w:val="0"/>
          <w:color w:val="000000"/>
          <w:sz w:val="22"/>
        </w:rPr>
        <w:t xml:space="preserve"> </w:t>
      </w:r>
    </w:p>
    <w:p>
      <w:pPr>
        <w:keepNext/>
        <w:spacing w:before="360" w:after="120"/>
      </w:pPr>
      <w:r>
        <w:rPr>
          <w:rFonts w:ascii="Calibri" w:hAnsi="Calibri"/>
          <w:b/>
          <w:color w:val="2E74B5"/>
          <w:sz w:val="32"/>
        </w:rPr>
        <w:t>Executive Summary</w:t>
      </w:r>
    </w:p>
    <w:p>
      <w:pPr>
        <w:spacing w:before="0" w:after="160" w:line="283" w:lineRule="auto"/>
        <w:jc w:val="left"/>
      </w:pPr>
      <w:r>
        <w:rPr>
          <w:rFonts w:ascii="Calibri" w:hAnsi="Calibri"/>
          <w:b w:val="0"/>
          <w:i w:val="0"/>
          <w:color w:val="000000"/>
          <w:sz w:val="22"/>
        </w:rPr>
        <w:t>EventSlot is building an event operations layer for organizers who need more than a form, more than a ticket page, and more control than a spreadsheet. The product already handles public event creation, capacity limits, waitlists, dynamic promotion, event-day verification, team access, analytics, exports, and organizer communications. The next strategic step is to deepen that platform with Google technology so EventSlot can support registrations, calendars, maps, meetings, AI-assisted operations, and hybrid live broadcast in one coherent workflow.</w:t>
      </w:r>
    </w:p>
    <w:p>
      <w:pPr>
        <w:spacing w:before="0" w:after="160" w:line="283" w:lineRule="auto"/>
        <w:jc w:val="left"/>
      </w:pPr>
      <w:r>
        <w:rPr>
          <w:rFonts w:ascii="Calibri" w:hAnsi="Calibri"/>
          <w:b w:val="0"/>
          <w:i w:val="0"/>
          <w:color w:val="000000"/>
          <w:sz w:val="22"/>
        </w:rPr>
        <w:t>This proposal is intentionally not framed as a request for charity or a one-off sponsorship. We are looking for a meaningful partnership: startup support where eligible, technical guidance, ecosystem access, and room to pilot an event infrastructure stack on Google Cloud and adjacent Google products. In return, Google gets a practical event-tech use case, cloud consumption, Workspace and Maps adoption, and a credible growth story in an African market that is still early but already active.</w:t>
      </w:r>
    </w:p>
    <w:p>
      <w:pPr>
        <w:keepNext/>
        <w:spacing w:before="360" w:after="120"/>
      </w:pPr>
      <w:r>
        <w:rPr>
          <w:rFonts w:ascii="Calibri" w:hAnsi="Calibri"/>
          <w:b/>
          <w:color w:val="2E74B5"/>
          <w:sz w:val="32"/>
        </w:rPr>
        <w:t>Verified Traction Snapshot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shd w:fill="F2F4F7"/>
          </w:tcPr>
          <w:p>
            <w:pPr>
              <w:spacing w:before="0" w:after="80" w:line="259" w:lineRule="auto"/>
            </w:pPr>
            <w:r>
              <w:rPr>
                <w:rFonts w:ascii="Calibri" w:hAnsi="Calibri"/>
                <w:b/>
                <w:color w:val="000000"/>
                <w:sz w:val="21"/>
              </w:rPr>
              <w:t>Metric</w:t>
            </w:r>
          </w:p>
        </w:tc>
        <w:tc>
          <w:tcPr>
            <w:tcW w:type="dxa" w:w="2448"/>
            <w:vAlign w:val="center"/>
            <w:shd w:fill="F2F4F7"/>
          </w:tcPr>
          <w:p>
            <w:pPr>
              <w:spacing w:before="0" w:after="80" w:line="259" w:lineRule="auto"/>
            </w:pPr>
            <w:r>
              <w:rPr>
                <w:rFonts w:ascii="Calibri" w:hAnsi="Calibri"/>
                <w:b/>
                <w:color w:val="000000"/>
                <w:sz w:val="21"/>
              </w:rPr>
              <w:t>Value</w:t>
            </w:r>
          </w:p>
        </w:tc>
        <w:tc>
          <w:tcPr>
            <w:tcW w:type="dxa" w:w="4176"/>
            <w:vAlign w:val="center"/>
            <w:shd w:fill="F2F4F7"/>
          </w:tcPr>
          <w:p>
            <w:pPr>
              <w:spacing w:before="0" w:after="80" w:line="259" w:lineRule="auto"/>
            </w:pPr>
            <w:r>
              <w:rPr>
                <w:rFonts w:ascii="Calibri" w:hAnsi="Calibri"/>
                <w:b/>
                <w:color w:val="000000"/>
                <w:sz w:val="21"/>
              </w:rPr>
              <w:t>Metric</w:t>
            </w:r>
          </w:p>
        </w:tc>
        <w:tc>
          <w:tcPr>
            <w:tcW w:type="dxa" w:w="1296"/>
            <w:vAlign w:val="center"/>
            <w:shd w:fill="F2F4F7"/>
          </w:tcPr>
          <w:p>
            <w:pPr>
              <w:spacing w:before="0" w:after="80" w:line="259" w:lineRule="auto"/>
            </w:pPr>
            <w:r>
              <w:rPr>
                <w:rFonts w:ascii="Calibri" w:hAnsi="Calibri"/>
                <w:b/>
                <w:color w:val="000000"/>
                <w:sz w:val="21"/>
              </w:rPr>
              <w:t>Value</w:t>
            </w:r>
          </w:p>
        </w:tc>
      </w:tr>
      <w:tr>
        <w:tc>
          <w:tcPr>
            <w:tcW w:type="dxa" w:w="2304"/>
            <w:vAlign w:val="center"/>
          </w:tcPr>
          <w:p>
            <w:pPr>
              <w:spacing w:before="0" w:after="80" w:line="259" w:lineRule="auto"/>
            </w:pPr>
            <w:r>
              <w:rPr>
                <w:rFonts w:ascii="Calibri" w:hAnsi="Calibri"/>
                <w:color w:val="000000"/>
                <w:sz w:val="21"/>
              </w:rPr>
              <w:t>Users</w:t>
            </w:r>
          </w:p>
        </w:tc>
        <w:tc>
          <w:tcPr>
            <w:tcW w:type="dxa" w:w="2448"/>
            <w:vAlign w:val="center"/>
          </w:tcPr>
          <w:p>
            <w:pPr>
              <w:spacing w:before="0" w:after="80" w:line="259" w:lineRule="auto"/>
            </w:pPr>
            <w:r>
              <w:rPr>
                <w:rFonts w:ascii="Calibri" w:hAnsi="Calibri"/>
                <w:color w:val="000000"/>
                <w:sz w:val="21"/>
              </w:rPr>
              <w:t>120</w:t>
            </w:r>
          </w:p>
        </w:tc>
        <w:tc>
          <w:tcPr>
            <w:tcW w:type="dxa" w:w="4176"/>
            <w:vAlign w:val="center"/>
          </w:tcPr>
          <w:p>
            <w:pPr>
              <w:spacing w:before="0" w:after="80" w:line="259" w:lineRule="auto"/>
            </w:pPr>
            <w:r>
              <w:rPr>
                <w:rFonts w:ascii="Calibri" w:hAnsi="Calibri"/>
                <w:color w:val="000000"/>
                <w:sz w:val="21"/>
              </w:rPr>
              <w:t>Events</w:t>
            </w:r>
          </w:p>
        </w:tc>
        <w:tc>
          <w:tcPr>
            <w:tcW w:type="dxa" w:w="1296"/>
            <w:vAlign w:val="center"/>
          </w:tcPr>
          <w:p>
            <w:pPr>
              <w:spacing w:before="0" w:after="80" w:line="259" w:lineRule="auto"/>
            </w:pPr>
            <w:r>
              <w:rPr>
                <w:rFonts w:ascii="Calibri" w:hAnsi="Calibri"/>
                <w:color w:val="000000"/>
                <w:sz w:val="21"/>
              </w:rPr>
              <w:t>45</w:t>
            </w:r>
          </w:p>
        </w:tc>
      </w:tr>
      <w:tr>
        <w:tc>
          <w:tcPr>
            <w:tcW w:type="dxa" w:w="2304"/>
            <w:vAlign w:val="center"/>
          </w:tcPr>
          <w:p>
            <w:pPr>
              <w:spacing w:before="0" w:after="80" w:line="259" w:lineRule="auto"/>
            </w:pPr>
            <w:r>
              <w:rPr>
                <w:rFonts w:ascii="Calibri" w:hAnsi="Calibri"/>
                <w:color w:val="000000"/>
                <w:sz w:val="21"/>
              </w:rPr>
              <w:t>Registrations</w:t>
            </w:r>
          </w:p>
        </w:tc>
        <w:tc>
          <w:tcPr>
            <w:tcW w:type="dxa" w:w="2448"/>
            <w:vAlign w:val="center"/>
          </w:tcPr>
          <w:p>
            <w:pPr>
              <w:spacing w:before="0" w:after="80" w:line="259" w:lineRule="auto"/>
            </w:pPr>
            <w:r>
              <w:rPr>
                <w:rFonts w:ascii="Calibri" w:hAnsi="Calibri"/>
                <w:color w:val="000000"/>
                <w:sz w:val="21"/>
              </w:rPr>
              <w:t>482</w:t>
            </w:r>
          </w:p>
        </w:tc>
        <w:tc>
          <w:tcPr>
            <w:tcW w:type="dxa" w:w="4176"/>
            <w:vAlign w:val="center"/>
          </w:tcPr>
          <w:p>
            <w:pPr>
              <w:spacing w:before="0" w:after="80" w:line="259" w:lineRule="auto"/>
            </w:pPr>
            <w:r>
              <w:rPr>
                <w:rFonts w:ascii="Calibri" w:hAnsi="Calibri"/>
                <w:color w:val="000000"/>
                <w:sz w:val="21"/>
              </w:rPr>
              <w:t>Active events</w:t>
            </w:r>
          </w:p>
        </w:tc>
        <w:tc>
          <w:tcPr>
            <w:tcW w:type="dxa" w:w="1296"/>
            <w:vAlign w:val="center"/>
          </w:tcPr>
          <w:p>
            <w:pPr>
              <w:spacing w:before="0" w:after="80" w:line="259" w:lineRule="auto"/>
            </w:pPr>
            <w:r>
              <w:rPr>
                <w:rFonts w:ascii="Calibri" w:hAnsi="Calibri"/>
                <w:color w:val="000000"/>
                <w:sz w:val="21"/>
              </w:rPr>
              <w:t>13</w:t>
            </w:r>
          </w:p>
        </w:tc>
      </w:tr>
      <w:tr>
        <w:tc>
          <w:tcPr>
            <w:tcW w:type="dxa" w:w="2304"/>
            <w:vAlign w:val="center"/>
          </w:tcPr>
          <w:p>
            <w:pPr>
              <w:spacing w:before="0" w:after="80" w:line="259" w:lineRule="auto"/>
            </w:pPr>
            <w:r>
              <w:rPr>
                <w:rFonts w:ascii="Calibri" w:hAnsi="Calibri"/>
                <w:color w:val="000000"/>
                <w:sz w:val="21"/>
              </w:rPr>
              <w:t>Organizers with events</w:t>
            </w:r>
          </w:p>
        </w:tc>
        <w:tc>
          <w:tcPr>
            <w:tcW w:type="dxa" w:w="2448"/>
            <w:vAlign w:val="center"/>
          </w:tcPr>
          <w:p>
            <w:pPr>
              <w:spacing w:before="0" w:after="80" w:line="259" w:lineRule="auto"/>
            </w:pPr>
            <w:r>
              <w:rPr>
                <w:rFonts w:ascii="Calibri" w:hAnsi="Calibri"/>
                <w:color w:val="000000"/>
                <w:sz w:val="21"/>
              </w:rPr>
              <w:t>27</w:t>
            </w:r>
          </w:p>
        </w:tc>
        <w:tc>
          <w:tcPr>
            <w:tcW w:type="dxa" w:w="4176"/>
            <w:vAlign w:val="center"/>
          </w:tcPr>
          <w:p>
            <w:pPr>
              <w:spacing w:before="0" w:after="80" w:line="259" w:lineRule="auto"/>
            </w:pPr>
            <w:r>
              <w:rPr>
                <w:rFonts w:ascii="Calibri" w:hAnsi="Calibri"/>
                <w:color w:val="000000"/>
                <w:sz w:val="21"/>
              </w:rPr>
              <w:t>Organizers with 30+ confirmed on an event</w:t>
            </w:r>
          </w:p>
        </w:tc>
        <w:tc>
          <w:tcPr>
            <w:tcW w:type="dxa" w:w="1296"/>
            <w:vAlign w:val="center"/>
          </w:tcPr>
          <w:p>
            <w:pPr>
              <w:spacing w:before="0" w:after="80" w:line="259" w:lineRule="auto"/>
            </w:pPr>
            <w:r>
              <w:rPr>
                <w:rFonts w:ascii="Calibri" w:hAnsi="Calibri"/>
                <w:color w:val="000000"/>
                <w:sz w:val="21"/>
              </w:rPr>
              <w:t>4</w:t>
            </w:r>
          </w:p>
        </w:tc>
      </w:tr>
      <w:tr>
        <w:tc>
          <w:tcPr>
            <w:tcW w:type="dxa" w:w="2304"/>
            <w:vAlign w:val="center"/>
          </w:tcPr>
          <w:p>
            <w:pPr>
              <w:spacing w:before="0" w:after="80" w:line="259" w:lineRule="auto"/>
            </w:pPr>
            <w:r>
              <w:rPr>
                <w:rFonts w:ascii="Calibri" w:hAnsi="Calibri"/>
                <w:color w:val="000000"/>
                <w:sz w:val="21"/>
              </w:rPr>
              <w:t>Organizers created in the last 30 days</w:t>
            </w:r>
          </w:p>
        </w:tc>
        <w:tc>
          <w:tcPr>
            <w:tcW w:type="dxa" w:w="2448"/>
            <w:vAlign w:val="center"/>
          </w:tcPr>
          <w:p>
            <w:pPr>
              <w:spacing w:before="0" w:after="80" w:line="259" w:lineRule="auto"/>
            </w:pPr>
            <w:r>
              <w:rPr>
                <w:rFonts w:ascii="Calibri" w:hAnsi="Calibri"/>
                <w:color w:val="000000"/>
                <w:sz w:val="21"/>
              </w:rPr>
              <w:t>5</w:t>
            </w:r>
          </w:p>
        </w:tc>
        <w:tc>
          <w:tcPr>
            <w:tcW w:type="dxa" w:w="4176"/>
            <w:vAlign w:val="center"/>
          </w:tcPr>
          <w:p>
            <w:pPr>
              <w:spacing w:before="0" w:after="80" w:line="259" w:lineRule="auto"/>
            </w:pPr>
            <w:r>
              <w:rPr>
                <w:rFonts w:ascii="Calibri" w:hAnsi="Calibri"/>
                <w:color w:val="000000"/>
                <w:sz w:val="21"/>
              </w:rPr>
              <w:t>Pro users / free users</w:t>
            </w:r>
          </w:p>
        </w:tc>
        <w:tc>
          <w:tcPr>
            <w:tcW w:type="dxa" w:w="1296"/>
            <w:vAlign w:val="center"/>
          </w:tcPr>
          <w:p>
            <w:pPr>
              <w:spacing w:before="0" w:after="80" w:line="259" w:lineRule="auto"/>
            </w:pPr>
            <w:r>
              <w:rPr>
                <w:rFonts w:ascii="Calibri" w:hAnsi="Calibri"/>
                <w:color w:val="000000"/>
                <w:sz w:val="21"/>
              </w:rPr>
              <w:t>1 / 119</w:t>
            </w:r>
          </w:p>
        </w:tc>
      </w:tr>
    </w:tbl>
    <w:p>
      <w:pPr>
        <w:spacing w:before="0" w:after="160" w:line="283" w:lineRule="auto"/>
        <w:jc w:val="left"/>
      </w:pPr>
      <w:r>
        <w:rPr>
          <w:rFonts w:ascii="Calibri" w:hAnsi="Calibri"/>
          <w:b w:val="0"/>
          <w:i w:val="0"/>
          <w:color w:val="000000"/>
          <w:sz w:val="22"/>
        </w:rPr>
        <w:t>Latest verified repo snapshot in the workspace: August 6, 2026. The top active events include DISRUPTORS CONVECTION 7 (92 confirmed), IspeakDisruptors Convention 6 Disruptors Convention | Systemic Influence (91 confirmed), and other live events with meaningful attendance pressure.</w:t>
      </w:r>
    </w:p>
    <w:p>
      <w:pPr>
        <w:spacing w:before="0" w:after="160" w:line="283" w:lineRule="auto"/>
        <w:jc w:val="left"/>
      </w:pPr>
      <w:r>
        <w:rPr>
          <w:rFonts w:ascii="Calibri" w:hAnsi="Calibri"/>
          <w:b w:val="0"/>
          <w:i w:val="0"/>
          <w:color w:val="000000"/>
          <w:sz w:val="22"/>
        </w:rPr>
        <w:t>Current monetization is still early: report revenue is KSh 0 and report downloads are 0. That matters because it tells the story honestly. EventSlot has usage and operational relevance already; the next step is to convert that into stronger, repeatable commercial value.</w:t>
      </w:r>
    </w:p>
    <w:p>
      <w:pPr>
        <w:keepNext/>
        <w:spacing w:before="360" w:after="120"/>
      </w:pPr>
      <w:r>
        <w:rPr>
          <w:rFonts w:ascii="Calibri" w:hAnsi="Calibri"/>
          <w:b/>
          <w:color w:val="2E74B5"/>
          <w:sz w:val="32"/>
        </w:rPr>
        <w:t>What EventSlot Already Does Well</w:t>
      </w:r>
    </w:p>
    <w:p>
      <w:pPr>
        <w:pStyle w:val="ListBullet"/>
        <w:spacing w:before="0" w:after="80" w:line="276" w:lineRule="auto"/>
      </w:pPr>
      <w:r>
        <w:rPr>
          <w:rFonts w:ascii="Calibri" w:hAnsi="Calibri"/>
          <w:color w:val="000000"/>
          <w:sz w:val="22"/>
        </w:rPr>
        <w:t>Public event creation with custom registration questions and shareable links.</w:t>
      </w:r>
    </w:p>
    <w:p>
      <w:pPr>
        <w:pStyle w:val="ListBullet"/>
        <w:spacing w:before="0" w:after="80" w:line="276" w:lineRule="auto"/>
      </w:pPr>
      <w:r>
        <w:rPr>
          <w:rFonts w:ascii="Calibri" w:hAnsi="Calibri"/>
          <w:color w:val="000000"/>
          <w:sz w:val="22"/>
        </w:rPr>
        <w:t>Capacity management with confirmed-count tracking and remaining-spots visibility.</w:t>
      </w:r>
    </w:p>
    <w:p>
      <w:pPr>
        <w:pStyle w:val="ListBullet"/>
        <w:spacing w:before="0" w:after="80" w:line="276" w:lineRule="auto"/>
      </w:pPr>
      <w:r>
        <w:rPr>
          <w:rFonts w:ascii="Calibri" w:hAnsi="Calibri"/>
          <w:color w:val="000000"/>
          <w:sz w:val="22"/>
        </w:rPr>
        <w:t>Automatic waitlist handling when capacity is reached.</w:t>
      </w:r>
    </w:p>
    <w:p>
      <w:pPr>
        <w:pStyle w:val="ListBullet"/>
        <w:spacing w:before="0" w:after="80" w:line="276" w:lineRule="auto"/>
      </w:pPr>
      <w:r>
        <w:rPr>
          <w:rFonts w:ascii="Calibri" w:hAnsi="Calibri"/>
          <w:color w:val="000000"/>
          <w:sz w:val="22"/>
        </w:rPr>
        <w:t>FIFO promotion when capacity is increased.</w:t>
      </w:r>
    </w:p>
    <w:p>
      <w:pPr>
        <w:pStyle w:val="ListBullet"/>
        <w:spacing w:before="0" w:after="80" w:line="276" w:lineRule="auto"/>
      </w:pPr>
      <w:r>
        <w:rPr>
          <w:rFonts w:ascii="Calibri" w:hAnsi="Calibri"/>
          <w:color w:val="000000"/>
          <w:sz w:val="22"/>
        </w:rPr>
        <w:t>Organiser dashboard with activity, pressure, and event health views.</w:t>
      </w:r>
    </w:p>
    <w:p>
      <w:pPr>
        <w:pStyle w:val="ListBullet"/>
        <w:spacing w:before="0" w:after="80" w:line="276" w:lineRule="auto"/>
      </w:pPr>
      <w:r>
        <w:rPr>
          <w:rFonts w:ascii="Calibri" w:hAnsi="Calibri"/>
          <w:color w:val="000000"/>
          <w:sz w:val="22"/>
        </w:rPr>
        <w:t>Registration exports, duplicate detection, manual registration, and attendee management.</w:t>
      </w:r>
    </w:p>
    <w:p>
      <w:pPr>
        <w:pStyle w:val="ListBullet"/>
        <w:spacing w:before="0" w:after="80" w:line="276" w:lineRule="auto"/>
      </w:pPr>
      <w:r>
        <w:rPr>
          <w:rFonts w:ascii="Calibri" w:hAnsi="Calibri"/>
          <w:color w:val="000000"/>
          <w:sz w:val="22"/>
        </w:rPr>
        <w:t>Ticket verification, check-in, verifier-only access, and walk-in support.</w:t>
      </w:r>
    </w:p>
    <w:p>
      <w:pPr>
        <w:pStyle w:val="ListBullet"/>
        <w:spacing w:before="0" w:after="80" w:line="276" w:lineRule="auto"/>
      </w:pPr>
      <w:r>
        <w:rPr>
          <w:rFonts w:ascii="Calibri" w:hAnsi="Calibri"/>
          <w:color w:val="000000"/>
          <w:sz w:val="22"/>
        </w:rPr>
        <w:t>Team invites and per-event access assignment.</w:t>
      </w:r>
    </w:p>
    <w:p>
      <w:pPr>
        <w:pStyle w:val="ListBullet"/>
        <w:spacing w:before="0" w:after="80" w:line="276" w:lineRule="auto"/>
      </w:pPr>
      <w:r>
        <w:rPr>
          <w:rFonts w:ascii="Calibri" w:hAnsi="Calibri"/>
          <w:color w:val="000000"/>
          <w:sz w:val="22"/>
        </w:rPr>
        <w:t>Event analytics, insights, and feedback collection.</w:t>
      </w:r>
    </w:p>
    <w:p>
      <w:pPr>
        <w:pStyle w:val="ListBullet"/>
        <w:spacing w:before="0" w:after="80" w:line="276" w:lineRule="auto"/>
      </w:pPr>
      <w:r>
        <w:rPr>
          <w:rFonts w:ascii="Calibri" w:hAnsi="Calibri"/>
          <w:color w:val="000000"/>
          <w:sz w:val="22"/>
        </w:rPr>
        <w:t>PWA support for installable, mobile-friendly usage.</w:t>
      </w:r>
    </w:p>
    <w:p>
      <w:pPr>
        <w:pStyle w:val="ListBullet"/>
        <w:spacing w:before="0" w:after="80" w:line="276" w:lineRule="auto"/>
      </w:pPr>
      <w:r>
        <w:rPr>
          <w:rFonts w:ascii="Calibri" w:hAnsi="Calibri"/>
          <w:color w:val="000000"/>
          <w:sz w:val="22"/>
        </w:rPr>
        <w:t>Payments and ticket tiers for paid events.</w:t>
      </w:r>
    </w:p>
    <w:p>
      <w:pPr>
        <w:pStyle w:val="ListBullet"/>
        <w:spacing w:before="0" w:after="80" w:line="276" w:lineRule="auto"/>
      </w:pPr>
      <w:r>
        <w:rPr>
          <w:rFonts w:ascii="Calibri" w:hAnsi="Calibri"/>
          <w:color w:val="000000"/>
          <w:sz w:val="22"/>
        </w:rPr>
        <w:t>Consent, privacy, and KDPA-aligned controls.</w:t>
      </w:r>
    </w:p>
    <w:p>
      <w:pPr>
        <w:pStyle w:val="ListBullet"/>
        <w:spacing w:before="0" w:after="80" w:line="276" w:lineRule="auto"/>
      </w:pPr>
      <w:r>
        <w:rPr>
          <w:rFonts w:ascii="Calibri" w:hAnsi="Calibri"/>
          <w:color w:val="000000"/>
          <w:sz w:val="22"/>
        </w:rPr>
        <w:t>Google Calendar integration and Google Maps direction support.</w:t>
      </w:r>
    </w:p>
    <w:p>
      <w:pPr>
        <w:pStyle w:val="ListBullet"/>
        <w:spacing w:before="0" w:after="80" w:line="276" w:lineRule="auto"/>
      </w:pPr>
      <w:r>
        <w:rPr>
          <w:rFonts w:ascii="Calibri" w:hAnsi="Calibri"/>
          <w:color w:val="000000"/>
          <w:sz w:val="22"/>
        </w:rPr>
        <w:t>FAQ, WhatsApp/community link, and attendee contact pathways.</w:t>
      </w:r>
    </w:p>
    <w:p>
      <w:pPr>
        <w:keepNext/>
        <w:spacing w:before="360" w:after="120"/>
      </w:pPr>
      <w:r>
        <w:rPr>
          <w:rFonts w:ascii="Calibri" w:hAnsi="Calibri"/>
          <w:b/>
          <w:color w:val="2E74B5"/>
          <w:sz w:val="32"/>
        </w:rPr>
        <w:t>Where Google Fits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shd w:fill="F2F4F7"/>
          </w:tcPr>
          <w:p>
            <w:pPr>
              <w:spacing w:before="0" w:after="80" w:line="259" w:lineRule="auto"/>
            </w:pPr>
            <w:r>
              <w:rPr>
                <w:rFonts w:ascii="Calibri" w:hAnsi="Calibri"/>
                <w:b/>
                <w:color w:val="000000"/>
                <w:sz w:val="21"/>
              </w:rPr>
              <w:t>Google capability</w:t>
            </w:r>
          </w:p>
        </w:tc>
        <w:tc>
          <w:tcPr>
            <w:tcW w:type="dxa" w:w="2880"/>
            <w:vAlign w:val="center"/>
            <w:shd w:fill="F2F4F7"/>
          </w:tcPr>
          <w:p>
            <w:pPr>
              <w:spacing w:before="0" w:after="80" w:line="259" w:lineRule="auto"/>
            </w:pPr>
            <w:r>
              <w:rPr>
                <w:rFonts w:ascii="Calibri" w:hAnsi="Calibri"/>
                <w:b/>
                <w:color w:val="000000"/>
                <w:sz w:val="21"/>
              </w:rPr>
              <w:t>EventSlot use</w:t>
            </w:r>
          </w:p>
        </w:tc>
        <w:tc>
          <w:tcPr>
            <w:tcW w:type="dxa" w:w="3168"/>
            <w:vAlign w:val="center"/>
            <w:shd w:fill="F2F4F7"/>
          </w:tcPr>
          <w:p>
            <w:pPr>
              <w:spacing w:before="0" w:after="80" w:line="259" w:lineRule="auto"/>
            </w:pPr>
            <w:r>
              <w:rPr>
                <w:rFonts w:ascii="Calibri" w:hAnsi="Calibri"/>
                <w:b/>
                <w:color w:val="000000"/>
                <w:sz w:val="21"/>
              </w:rPr>
              <w:t>Partner value</w:t>
            </w:r>
          </w:p>
        </w:tc>
        <w:tc>
          <w:tcPr>
            <w:tcW w:type="dxa" w:w="1584"/>
            <w:vAlign w:val="center"/>
            <w:shd w:fill="F2F4F7"/>
          </w:tcPr>
          <w:p>
            <w:pPr>
              <w:spacing w:before="0" w:after="80" w:line="259" w:lineRule="auto"/>
            </w:pPr>
            <w:r>
              <w:rPr>
                <w:rFonts w:ascii="Calibri" w:hAnsi="Calibri"/>
                <w:b/>
                <w:color w:val="000000"/>
                <w:sz w:val="21"/>
              </w:rPr>
              <w:t>Status</w:t>
            </w:r>
          </w:p>
        </w:tc>
      </w:tr>
      <w:tr>
        <w:tc>
          <w:tcPr>
            <w:tcW w:type="dxa" w:w="1728"/>
            <w:vAlign w:val="center"/>
          </w:tcPr>
          <w:p>
            <w:pPr>
              <w:spacing w:before="0" w:after="80" w:line="259" w:lineRule="auto"/>
            </w:pPr>
            <w:r>
              <w:rPr>
                <w:rFonts w:ascii="Calibri" w:hAnsi="Calibri"/>
                <w:color w:val="000000"/>
                <w:sz w:val="21"/>
              </w:rPr>
              <w:t>Cloud Run</w:t>
            </w:r>
          </w:p>
        </w:tc>
        <w:tc>
          <w:tcPr>
            <w:tcW w:type="dxa" w:w="2880"/>
            <w:vAlign w:val="center"/>
          </w:tcPr>
          <w:p>
            <w:pPr>
              <w:spacing w:before="0" w:after="80" w:line="259" w:lineRule="auto"/>
            </w:pPr>
            <w:r>
              <w:rPr>
                <w:rFonts w:ascii="Calibri" w:hAnsi="Calibri"/>
                <w:color w:val="000000"/>
                <w:sz w:val="21"/>
              </w:rPr>
              <w:t>Serve the app and burst traffic on launch days</w:t>
            </w:r>
          </w:p>
        </w:tc>
        <w:tc>
          <w:tcPr>
            <w:tcW w:type="dxa" w:w="3168"/>
            <w:vAlign w:val="center"/>
          </w:tcPr>
          <w:p>
            <w:pPr>
              <w:spacing w:before="0" w:after="80" w:line="259" w:lineRule="auto"/>
            </w:pPr>
            <w:r>
              <w:rPr>
                <w:rFonts w:ascii="Calibri" w:hAnsi="Calibri"/>
                <w:color w:val="000000"/>
                <w:sz w:val="21"/>
              </w:rPr>
              <w:t>Pay-per-use compute that matches event spikes</w:t>
            </w:r>
          </w:p>
        </w:tc>
        <w:tc>
          <w:tcPr>
            <w:tcW w:type="dxa" w:w="1584"/>
            <w:vAlign w:val="center"/>
          </w:tcPr>
          <w:p>
            <w:pPr>
              <w:spacing w:before="0" w:after="80" w:line="259" w:lineRule="auto"/>
            </w:pPr>
            <w:r>
              <w:rPr>
                <w:rFonts w:ascii="Calibri" w:hAnsi="Calibri"/>
                <w:color w:val="000000"/>
                <w:sz w:val="21"/>
              </w:rPr>
              <w:t>Live architecture target</w:t>
            </w:r>
          </w:p>
        </w:tc>
      </w:tr>
      <w:tr>
        <w:tc>
          <w:tcPr>
            <w:tcW w:type="dxa" w:w="1728"/>
            <w:vAlign w:val="center"/>
          </w:tcPr>
          <w:p>
            <w:pPr>
              <w:spacing w:before="0" w:after="80" w:line="259" w:lineRule="auto"/>
            </w:pPr>
            <w:r>
              <w:rPr>
                <w:rFonts w:ascii="Calibri" w:hAnsi="Calibri"/>
                <w:color w:val="000000"/>
                <w:sz w:val="21"/>
              </w:rPr>
              <w:t>Cloud Storage / Drive</w:t>
            </w:r>
          </w:p>
        </w:tc>
        <w:tc>
          <w:tcPr>
            <w:tcW w:type="dxa" w:w="2880"/>
            <w:vAlign w:val="center"/>
          </w:tcPr>
          <w:p>
            <w:pPr>
              <w:spacing w:before="0" w:after="80" w:line="259" w:lineRule="auto"/>
            </w:pPr>
            <w:r>
              <w:rPr>
                <w:rFonts w:ascii="Calibri" w:hAnsi="Calibri"/>
                <w:color w:val="000000"/>
                <w:sz w:val="21"/>
              </w:rPr>
              <w:t>Store event assets, reports, and post-event files</w:t>
            </w:r>
          </w:p>
        </w:tc>
        <w:tc>
          <w:tcPr>
            <w:tcW w:type="dxa" w:w="3168"/>
            <w:vAlign w:val="center"/>
          </w:tcPr>
          <w:p>
            <w:pPr>
              <w:spacing w:before="0" w:after="80" w:line="259" w:lineRule="auto"/>
            </w:pPr>
            <w:r>
              <w:rPr>
                <w:rFonts w:ascii="Calibri" w:hAnsi="Calibri"/>
                <w:color w:val="000000"/>
                <w:sz w:val="21"/>
              </w:rPr>
              <w:t>Storage and document workflows for organizers</w:t>
            </w:r>
          </w:p>
        </w:tc>
        <w:tc>
          <w:tcPr>
            <w:tcW w:type="dxa" w:w="1584"/>
            <w:vAlign w:val="center"/>
          </w:tcPr>
          <w:p>
            <w:pPr>
              <w:spacing w:before="0" w:after="80" w:line="259" w:lineRule="auto"/>
            </w:pPr>
            <w:r>
              <w:rPr>
                <w:rFonts w:ascii="Calibri" w:hAnsi="Calibri"/>
                <w:color w:val="000000"/>
                <w:sz w:val="21"/>
              </w:rPr>
              <w:t>Proposed / partial</w:t>
            </w:r>
          </w:p>
        </w:tc>
      </w:tr>
      <w:tr>
        <w:tc>
          <w:tcPr>
            <w:tcW w:type="dxa" w:w="1728"/>
            <w:vAlign w:val="center"/>
          </w:tcPr>
          <w:p>
            <w:pPr>
              <w:spacing w:before="0" w:after="80" w:line="259" w:lineRule="auto"/>
            </w:pPr>
            <w:r>
              <w:rPr>
                <w:rFonts w:ascii="Calibri" w:hAnsi="Calibri"/>
                <w:color w:val="000000"/>
                <w:sz w:val="21"/>
              </w:rPr>
              <w:t>Maps Platform</w:t>
            </w:r>
          </w:p>
        </w:tc>
        <w:tc>
          <w:tcPr>
            <w:tcW w:type="dxa" w:w="2880"/>
            <w:vAlign w:val="center"/>
          </w:tcPr>
          <w:p>
            <w:pPr>
              <w:spacing w:before="0" w:after="80" w:line="259" w:lineRule="auto"/>
            </w:pPr>
            <w:r>
              <w:rPr>
                <w:rFonts w:ascii="Calibri" w:hAnsi="Calibri"/>
                <w:color w:val="000000"/>
                <w:sz w:val="21"/>
              </w:rPr>
              <w:t>Venue directions and location discovery</w:t>
            </w:r>
          </w:p>
        </w:tc>
        <w:tc>
          <w:tcPr>
            <w:tcW w:type="dxa" w:w="3168"/>
            <w:vAlign w:val="center"/>
          </w:tcPr>
          <w:p>
            <w:pPr>
              <w:spacing w:before="0" w:after="80" w:line="259" w:lineRule="auto"/>
            </w:pPr>
            <w:r>
              <w:rPr>
                <w:rFonts w:ascii="Calibri" w:hAnsi="Calibri"/>
                <w:color w:val="000000"/>
                <w:sz w:val="21"/>
              </w:rPr>
              <w:t>Every physical event needs location utility</w:t>
            </w:r>
          </w:p>
        </w:tc>
        <w:tc>
          <w:tcPr>
            <w:tcW w:type="dxa" w:w="1584"/>
            <w:vAlign w:val="center"/>
          </w:tcPr>
          <w:p>
            <w:pPr>
              <w:spacing w:before="0" w:after="80" w:line="259" w:lineRule="auto"/>
            </w:pPr>
            <w:r>
              <w:rPr>
                <w:rFonts w:ascii="Calibri" w:hAnsi="Calibri"/>
                <w:color w:val="000000"/>
                <w:sz w:val="21"/>
              </w:rPr>
              <w:t>Live / partial</w:t>
            </w:r>
          </w:p>
        </w:tc>
      </w:tr>
      <w:tr>
        <w:tc>
          <w:tcPr>
            <w:tcW w:type="dxa" w:w="1728"/>
            <w:vAlign w:val="center"/>
          </w:tcPr>
          <w:p>
            <w:pPr>
              <w:spacing w:before="0" w:after="80" w:line="259" w:lineRule="auto"/>
            </w:pPr>
            <w:r>
              <w:rPr>
                <w:rFonts w:ascii="Calibri" w:hAnsi="Calibri"/>
                <w:color w:val="000000"/>
                <w:sz w:val="21"/>
              </w:rPr>
              <w:t>Calendar</w:t>
            </w:r>
          </w:p>
        </w:tc>
        <w:tc>
          <w:tcPr>
            <w:tcW w:type="dxa" w:w="2880"/>
            <w:vAlign w:val="center"/>
          </w:tcPr>
          <w:p>
            <w:pPr>
              <w:spacing w:before="0" w:after="80" w:line="259" w:lineRule="auto"/>
            </w:pPr>
            <w:r>
              <w:rPr>
                <w:rFonts w:ascii="Calibri" w:hAnsi="Calibri"/>
                <w:color w:val="000000"/>
                <w:sz w:val="21"/>
              </w:rPr>
              <w:t>Schedule sync and reminders</w:t>
            </w:r>
          </w:p>
        </w:tc>
        <w:tc>
          <w:tcPr>
            <w:tcW w:type="dxa" w:w="3168"/>
            <w:vAlign w:val="center"/>
          </w:tcPr>
          <w:p>
            <w:pPr>
              <w:spacing w:before="0" w:after="80" w:line="259" w:lineRule="auto"/>
            </w:pPr>
            <w:r>
              <w:rPr>
                <w:rFonts w:ascii="Calibri" w:hAnsi="Calibri"/>
                <w:color w:val="000000"/>
                <w:sz w:val="21"/>
              </w:rPr>
              <w:t>Better attendance continuity</w:t>
            </w:r>
          </w:p>
        </w:tc>
        <w:tc>
          <w:tcPr>
            <w:tcW w:type="dxa" w:w="1584"/>
            <w:vAlign w:val="center"/>
          </w:tcPr>
          <w:p>
            <w:pPr>
              <w:spacing w:before="0" w:after="80" w:line="259" w:lineRule="auto"/>
            </w:pPr>
            <w:r>
              <w:rPr>
                <w:rFonts w:ascii="Calibri" w:hAnsi="Calibri"/>
                <w:color w:val="000000"/>
                <w:sz w:val="21"/>
              </w:rPr>
              <w:t>Live / partial</w:t>
            </w:r>
          </w:p>
        </w:tc>
      </w:tr>
      <w:tr>
        <w:tc>
          <w:tcPr>
            <w:tcW w:type="dxa" w:w="1728"/>
            <w:vAlign w:val="center"/>
          </w:tcPr>
          <w:p>
            <w:pPr>
              <w:spacing w:before="0" w:after="80" w:line="259" w:lineRule="auto"/>
            </w:pPr>
            <w:r>
              <w:rPr>
                <w:rFonts w:ascii="Calibri" w:hAnsi="Calibri"/>
                <w:color w:val="000000"/>
                <w:sz w:val="21"/>
              </w:rPr>
              <w:t>Meet</w:t>
            </w:r>
          </w:p>
        </w:tc>
        <w:tc>
          <w:tcPr>
            <w:tcW w:type="dxa" w:w="2880"/>
            <w:vAlign w:val="center"/>
          </w:tcPr>
          <w:p>
            <w:pPr>
              <w:spacing w:before="0" w:after="80" w:line="259" w:lineRule="auto"/>
            </w:pPr>
            <w:r>
              <w:rPr>
                <w:rFonts w:ascii="Calibri" w:hAnsi="Calibri"/>
                <w:color w:val="000000"/>
                <w:sz w:val="21"/>
              </w:rPr>
              <w:t>Virtual meetings, staff sessions, and post-event artifacts</w:t>
            </w:r>
          </w:p>
        </w:tc>
        <w:tc>
          <w:tcPr>
            <w:tcW w:type="dxa" w:w="3168"/>
            <w:vAlign w:val="center"/>
          </w:tcPr>
          <w:p>
            <w:pPr>
              <w:spacing w:before="0" w:after="80" w:line="259" w:lineRule="auto"/>
            </w:pPr>
            <w:r>
              <w:rPr>
                <w:rFonts w:ascii="Calibri" w:hAnsi="Calibri"/>
                <w:color w:val="000000"/>
                <w:sz w:val="21"/>
              </w:rPr>
              <w:t>Meeting infrastructure for remote participation</w:t>
            </w:r>
          </w:p>
        </w:tc>
        <w:tc>
          <w:tcPr>
            <w:tcW w:type="dxa" w:w="1584"/>
            <w:vAlign w:val="center"/>
          </w:tcPr>
          <w:p>
            <w:pPr>
              <w:spacing w:before="0" w:after="80" w:line="259" w:lineRule="auto"/>
            </w:pPr>
            <w:r>
              <w:rPr>
                <w:rFonts w:ascii="Calibri" w:hAnsi="Calibri"/>
                <w:color w:val="000000"/>
                <w:sz w:val="21"/>
              </w:rPr>
              <w:t>Proposed</w:t>
            </w:r>
          </w:p>
        </w:tc>
      </w:tr>
      <w:tr>
        <w:tc>
          <w:tcPr>
            <w:tcW w:type="dxa" w:w="1728"/>
            <w:vAlign w:val="center"/>
          </w:tcPr>
          <w:p>
            <w:pPr>
              <w:spacing w:before="0" w:after="80" w:line="259" w:lineRule="auto"/>
            </w:pPr>
            <w:r>
              <w:rPr>
                <w:rFonts w:ascii="Calibri" w:hAnsi="Calibri"/>
                <w:color w:val="000000"/>
                <w:sz w:val="21"/>
              </w:rPr>
              <w:t>Forms API</w:t>
            </w:r>
          </w:p>
        </w:tc>
        <w:tc>
          <w:tcPr>
            <w:tcW w:type="dxa" w:w="2880"/>
            <w:vAlign w:val="center"/>
          </w:tcPr>
          <w:p>
            <w:pPr>
              <w:spacing w:before="0" w:after="80" w:line="259" w:lineRule="auto"/>
            </w:pPr>
            <w:r>
              <w:rPr>
                <w:rFonts w:ascii="Calibri" w:hAnsi="Calibri"/>
                <w:color w:val="000000"/>
                <w:sz w:val="21"/>
              </w:rPr>
              <w:t>Import existing form registrations into EventSlot</w:t>
            </w:r>
          </w:p>
        </w:tc>
        <w:tc>
          <w:tcPr>
            <w:tcW w:type="dxa" w:w="3168"/>
            <w:vAlign w:val="center"/>
          </w:tcPr>
          <w:p>
            <w:pPr>
              <w:spacing w:before="0" w:after="80" w:line="259" w:lineRule="auto"/>
            </w:pPr>
            <w:r>
              <w:rPr>
                <w:rFonts w:ascii="Calibri" w:hAnsi="Calibri"/>
                <w:color w:val="000000"/>
                <w:sz w:val="21"/>
              </w:rPr>
              <w:t>Migration path from basic collection to operations</w:t>
            </w:r>
          </w:p>
        </w:tc>
        <w:tc>
          <w:tcPr>
            <w:tcW w:type="dxa" w:w="1584"/>
            <w:vAlign w:val="center"/>
          </w:tcPr>
          <w:p>
            <w:pPr>
              <w:spacing w:before="0" w:after="80" w:line="259" w:lineRule="auto"/>
            </w:pPr>
            <w:r>
              <w:rPr>
                <w:rFonts w:ascii="Calibri" w:hAnsi="Calibri"/>
                <w:color w:val="000000"/>
                <w:sz w:val="21"/>
              </w:rPr>
              <w:t>Proposed</w:t>
            </w:r>
          </w:p>
        </w:tc>
      </w:tr>
      <w:tr>
        <w:tc>
          <w:tcPr>
            <w:tcW w:type="dxa" w:w="1728"/>
            <w:vAlign w:val="center"/>
          </w:tcPr>
          <w:p>
            <w:pPr>
              <w:spacing w:before="0" w:after="80" w:line="259" w:lineRule="auto"/>
            </w:pPr>
            <w:r>
              <w:rPr>
                <w:rFonts w:ascii="Calibri" w:hAnsi="Calibri"/>
                <w:color w:val="000000"/>
                <w:sz w:val="21"/>
              </w:rPr>
              <w:t>Live Stream API</w:t>
            </w:r>
          </w:p>
        </w:tc>
        <w:tc>
          <w:tcPr>
            <w:tcW w:type="dxa" w:w="2880"/>
            <w:vAlign w:val="center"/>
          </w:tcPr>
          <w:p>
            <w:pPr>
              <w:spacing w:before="0" w:after="80" w:line="259" w:lineRule="auto"/>
            </w:pPr>
            <w:r>
              <w:rPr>
                <w:rFonts w:ascii="Calibri" w:hAnsi="Calibri"/>
                <w:color w:val="000000"/>
                <w:sz w:val="21"/>
              </w:rPr>
              <w:t>EventSlot Live for hybrid broadcast</w:t>
            </w:r>
          </w:p>
        </w:tc>
        <w:tc>
          <w:tcPr>
            <w:tcW w:type="dxa" w:w="3168"/>
            <w:vAlign w:val="center"/>
          </w:tcPr>
          <w:p>
            <w:pPr>
              <w:spacing w:before="0" w:after="80" w:line="259" w:lineRule="auto"/>
            </w:pPr>
            <w:r>
              <w:rPr>
                <w:rFonts w:ascii="Calibri" w:hAnsi="Calibri"/>
                <w:color w:val="000000"/>
                <w:sz w:val="21"/>
              </w:rPr>
              <w:t>Video infrastructure without building a video stack</w:t>
            </w:r>
          </w:p>
        </w:tc>
        <w:tc>
          <w:tcPr>
            <w:tcW w:type="dxa" w:w="1584"/>
            <w:vAlign w:val="center"/>
          </w:tcPr>
          <w:p>
            <w:pPr>
              <w:spacing w:before="0" w:after="80" w:line="259" w:lineRule="auto"/>
            </w:pPr>
            <w:r>
              <w:rPr>
                <w:rFonts w:ascii="Calibri" w:hAnsi="Calibri"/>
                <w:color w:val="000000"/>
                <w:sz w:val="21"/>
              </w:rPr>
              <w:t>Proposed</w:t>
            </w:r>
          </w:p>
        </w:tc>
      </w:tr>
      <w:tr>
        <w:tc>
          <w:tcPr>
            <w:tcW w:type="dxa" w:w="1728"/>
            <w:vAlign w:val="center"/>
          </w:tcPr>
          <w:p>
            <w:pPr>
              <w:spacing w:before="0" w:after="80" w:line="259" w:lineRule="auto"/>
            </w:pPr>
            <w:r>
              <w:rPr>
                <w:rFonts w:ascii="Calibri" w:hAnsi="Calibri"/>
                <w:color w:val="000000"/>
                <w:sz w:val="21"/>
              </w:rPr>
              <w:t>Gemini / AI</w:t>
            </w:r>
          </w:p>
        </w:tc>
        <w:tc>
          <w:tcPr>
            <w:tcW w:type="dxa" w:w="2880"/>
            <w:vAlign w:val="center"/>
          </w:tcPr>
          <w:p>
            <w:pPr>
              <w:spacing w:before="0" w:after="80" w:line="259" w:lineRule="auto"/>
            </w:pPr>
            <w:r>
              <w:rPr>
                <w:rFonts w:ascii="Calibri" w:hAnsi="Calibri"/>
                <w:color w:val="000000"/>
                <w:sz w:val="21"/>
              </w:rPr>
              <w:t>Summaries, FAQs, insights, and content drafting</w:t>
            </w:r>
          </w:p>
        </w:tc>
        <w:tc>
          <w:tcPr>
            <w:tcW w:type="dxa" w:w="3168"/>
            <w:vAlign w:val="center"/>
          </w:tcPr>
          <w:p>
            <w:pPr>
              <w:spacing w:before="0" w:after="80" w:line="259" w:lineRule="auto"/>
            </w:pPr>
            <w:r>
              <w:rPr>
                <w:rFonts w:ascii="Calibri" w:hAnsi="Calibri"/>
                <w:color w:val="000000"/>
                <w:sz w:val="21"/>
              </w:rPr>
              <w:t>AI adoption in a practical event workflow</w:t>
            </w:r>
          </w:p>
        </w:tc>
        <w:tc>
          <w:tcPr>
            <w:tcW w:type="dxa" w:w="1584"/>
            <w:vAlign w:val="center"/>
          </w:tcPr>
          <w:p>
            <w:pPr>
              <w:spacing w:before="0" w:after="80" w:line="259" w:lineRule="auto"/>
            </w:pPr>
            <w:r>
              <w:rPr>
                <w:rFonts w:ascii="Calibri" w:hAnsi="Calibri"/>
                <w:color w:val="000000"/>
                <w:sz w:val="21"/>
              </w:rPr>
              <w:t>Proposed</w:t>
            </w:r>
          </w:p>
        </w:tc>
      </w:tr>
    </w:tbl>
    <w:p>
      <w:pPr>
        <w:keepNext/>
        <w:spacing w:before="360" w:after="120"/>
      </w:pPr>
      <w:r>
        <w:rPr>
          <w:rFonts w:ascii="Calibri" w:hAnsi="Calibri"/>
          <w:b/>
          <w:color w:val="2E74B5"/>
          <w:sz w:val="32"/>
        </w:rPr>
        <w:t>The Live Broadcast Opportunity</w:t>
      </w:r>
    </w:p>
    <w:p>
      <w:pPr>
        <w:spacing w:before="0" w:after="160" w:line="283" w:lineRule="auto"/>
        <w:jc w:val="left"/>
      </w:pPr>
      <w:r>
        <w:rPr>
          <w:rFonts w:ascii="Calibri" w:hAnsi="Calibri"/>
          <w:b w:val="0"/>
          <w:i w:val="0"/>
          <w:color w:val="000000"/>
          <w:sz w:val="22"/>
        </w:rPr>
        <w:t>EventSlot Live should be treated as a hybrid-event layer, not as a replacement for a streaming platform from day one. The idea is simple: EventSlot owns registration, ticketing, access, and the attendee journey. Google handles the heavy broadcast infrastructure through Live Stream API, while Google Meet can support internal organizer sessions and post-event artifacts where appropriate.</w:t>
      </w:r>
    </w:p>
    <w:p>
      <w:pPr>
        <w:spacing w:before="0" w:after="160" w:line="283" w:lineRule="auto"/>
        <w:jc w:val="left"/>
      </w:pPr>
      <w:r>
        <w:rPr>
          <w:rFonts w:ascii="Calibri" w:hAnsi="Calibri"/>
          <w:b w:val="0"/>
          <w:i w:val="0"/>
          <w:color w:val="000000"/>
          <w:sz w:val="22"/>
        </w:rPr>
        <w:t>That distinction matters. We are not proposing that EventSlot build YouTube or Zoom from scratch. We are proposing a controlled, usage-based broadcast path that lets a church conference, summit, or leadership gathering serve both a physical room and a remote audience in one product surface.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shd w:fill="F2F4F7"/>
          </w:tcPr>
          <w:p>
            <w:pPr>
              <w:spacing w:before="0" w:after="80" w:line="259" w:lineRule="auto"/>
            </w:pPr>
            <w:r>
              <w:rPr>
                <w:rFonts w:ascii="Calibri" w:hAnsi="Calibri"/>
                <w:b/>
                <w:color w:val="000000"/>
                <w:sz w:val="21"/>
              </w:rPr>
              <w:t>Scenario</w:t>
            </w:r>
          </w:p>
        </w:tc>
        <w:tc>
          <w:tcPr>
            <w:tcW w:type="dxa" w:w="3024"/>
            <w:vAlign w:val="center"/>
            <w:shd w:fill="F2F4F7"/>
          </w:tcPr>
          <w:p>
            <w:pPr>
              <w:spacing w:before="0" w:after="80" w:line="259" w:lineRule="auto"/>
            </w:pPr>
            <w:r>
              <w:rPr>
                <w:rFonts w:ascii="Calibri" w:hAnsi="Calibri"/>
                <w:b/>
                <w:color w:val="000000"/>
                <w:sz w:val="21"/>
              </w:rPr>
              <w:t>Google components</w:t>
            </w:r>
          </w:p>
        </w:tc>
        <w:tc>
          <w:tcPr>
            <w:tcW w:type="dxa" w:w="1728"/>
            <w:vAlign w:val="center"/>
            <w:shd w:fill="F2F4F7"/>
          </w:tcPr>
          <w:p>
            <w:pPr>
              <w:spacing w:before="0" w:after="80" w:line="259" w:lineRule="auto"/>
            </w:pPr>
            <w:r>
              <w:rPr>
                <w:rFonts w:ascii="Calibri" w:hAnsi="Calibri"/>
                <w:b/>
                <w:color w:val="000000"/>
                <w:sz w:val="21"/>
              </w:rPr>
              <w:t>Illustrative cost</w:t>
            </w:r>
          </w:p>
        </w:tc>
        <w:tc>
          <w:tcPr>
            <w:tcW w:type="dxa" w:w="2664"/>
            <w:vAlign w:val="center"/>
            <w:shd w:fill="F2F4F7"/>
          </w:tcPr>
          <w:p>
            <w:pPr>
              <w:spacing w:before="0" w:after="80" w:line="259" w:lineRule="auto"/>
            </w:pPr>
            <w:r>
              <w:rPr>
                <w:rFonts w:ascii="Calibri" w:hAnsi="Calibri"/>
                <w:b/>
                <w:color w:val="000000"/>
                <w:sz w:val="21"/>
              </w:rPr>
              <w:t>Why it matters</w:t>
            </w:r>
          </w:p>
        </w:tc>
      </w:tr>
      <w:tr>
        <w:tc>
          <w:tcPr>
            <w:tcW w:type="dxa" w:w="1944"/>
            <w:vAlign w:val="center"/>
          </w:tcPr>
          <w:p>
            <w:pPr>
              <w:spacing w:before="0" w:after="80" w:line="259" w:lineRule="auto"/>
            </w:pPr>
            <w:r>
              <w:rPr>
                <w:rFonts w:ascii="Calibri" w:hAnsi="Calibri"/>
                <w:color w:val="000000"/>
                <w:sz w:val="21"/>
              </w:rPr>
              <w:t>Pilot live broadcast</w:t>
            </w:r>
          </w:p>
        </w:tc>
        <w:tc>
          <w:tcPr>
            <w:tcW w:type="dxa" w:w="3024"/>
            <w:vAlign w:val="center"/>
          </w:tcPr>
          <w:p>
            <w:pPr>
              <w:spacing w:before="0" w:after="80" w:line="259" w:lineRule="auto"/>
            </w:pPr>
            <w:r>
              <w:rPr>
                <w:rFonts w:ascii="Calibri" w:hAnsi="Calibri"/>
                <w:color w:val="000000"/>
                <w:sz w:val="21"/>
              </w:rPr>
              <w:t>1 HD input + 1 HD output</w:t>
            </w:r>
          </w:p>
        </w:tc>
        <w:tc>
          <w:tcPr>
            <w:tcW w:type="dxa" w:w="1728"/>
            <w:vAlign w:val="center"/>
          </w:tcPr>
          <w:p>
            <w:pPr>
              <w:spacing w:before="0" w:after="80" w:line="259" w:lineRule="auto"/>
            </w:pPr>
            <w:r>
              <w:rPr>
                <w:rFonts w:ascii="Calibri" w:hAnsi="Calibri"/>
                <w:color w:val="000000"/>
                <w:sz w:val="21"/>
              </w:rPr>
              <w:t>$0.59/hour</w:t>
            </w:r>
          </w:p>
        </w:tc>
        <w:tc>
          <w:tcPr>
            <w:tcW w:type="dxa" w:w="2664"/>
            <w:vAlign w:val="center"/>
          </w:tcPr>
          <w:p>
            <w:pPr>
              <w:spacing w:before="0" w:after="80" w:line="259" w:lineRule="auto"/>
            </w:pPr>
            <w:r>
              <w:rPr>
                <w:rFonts w:ascii="Calibri" w:hAnsi="Calibri"/>
                <w:color w:val="000000"/>
                <w:sz w:val="21"/>
              </w:rPr>
              <w:t>Base video cost before any distribution or captions</w:t>
            </w:r>
          </w:p>
        </w:tc>
      </w:tr>
      <w:tr>
        <w:tc>
          <w:tcPr>
            <w:tcW w:type="dxa" w:w="1944"/>
            <w:vAlign w:val="center"/>
          </w:tcPr>
          <w:p>
            <w:pPr>
              <w:spacing w:before="0" w:after="80" w:line="259" w:lineRule="auto"/>
            </w:pPr>
            <w:r>
              <w:rPr>
                <w:rFonts w:ascii="Calibri" w:hAnsi="Calibri"/>
                <w:color w:val="000000"/>
                <w:sz w:val="21"/>
              </w:rPr>
              <w:t>Pilot with distribution endpoint</w:t>
            </w:r>
          </w:p>
        </w:tc>
        <w:tc>
          <w:tcPr>
            <w:tcW w:type="dxa" w:w="3024"/>
            <w:vAlign w:val="center"/>
          </w:tcPr>
          <w:p>
            <w:pPr>
              <w:spacing w:before="0" w:after="80" w:line="259" w:lineRule="auto"/>
            </w:pPr>
            <w:r>
              <w:rPr>
                <w:rFonts w:ascii="Calibri" w:hAnsi="Calibri"/>
                <w:color w:val="000000"/>
                <w:sz w:val="21"/>
              </w:rPr>
              <w:t>1 HD input + 1 HD output + 1 distribution endpoint</w:t>
            </w:r>
          </w:p>
        </w:tc>
        <w:tc>
          <w:tcPr>
            <w:tcW w:type="dxa" w:w="1728"/>
            <w:vAlign w:val="center"/>
          </w:tcPr>
          <w:p>
            <w:pPr>
              <w:spacing w:before="0" w:after="80" w:line="259" w:lineRule="auto"/>
            </w:pPr>
            <w:r>
              <w:rPr>
                <w:rFonts w:ascii="Calibri" w:hAnsi="Calibri"/>
                <w:color w:val="000000"/>
                <w:sz w:val="21"/>
              </w:rPr>
              <w:t>$1.34/hour</w:t>
            </w:r>
          </w:p>
        </w:tc>
        <w:tc>
          <w:tcPr>
            <w:tcW w:type="dxa" w:w="2664"/>
            <w:vAlign w:val="center"/>
          </w:tcPr>
          <w:p>
            <w:pPr>
              <w:spacing w:before="0" w:after="80" w:line="259" w:lineRule="auto"/>
            </w:pPr>
            <w:r>
              <w:rPr>
                <w:rFonts w:ascii="Calibri" w:hAnsi="Calibri"/>
                <w:color w:val="000000"/>
                <w:sz w:val="21"/>
              </w:rPr>
              <w:t>More realistic for remote delivery architecture</w:t>
            </w:r>
          </w:p>
        </w:tc>
      </w:tr>
      <w:tr>
        <w:tc>
          <w:tcPr>
            <w:tcW w:type="dxa" w:w="1944"/>
            <w:vAlign w:val="center"/>
          </w:tcPr>
          <w:p>
            <w:pPr>
              <w:spacing w:before="0" w:after="80" w:line="259" w:lineRule="auto"/>
            </w:pPr>
            <w:r>
              <w:rPr>
                <w:rFonts w:ascii="Calibri" w:hAnsi="Calibri"/>
                <w:color w:val="000000"/>
                <w:sz w:val="21"/>
              </w:rPr>
              <w:t>Two-hour broadcast with distribution</w:t>
            </w:r>
          </w:p>
        </w:tc>
        <w:tc>
          <w:tcPr>
            <w:tcW w:type="dxa" w:w="3024"/>
            <w:vAlign w:val="center"/>
          </w:tcPr>
          <w:p>
            <w:pPr>
              <w:spacing w:before="0" w:after="80" w:line="259" w:lineRule="auto"/>
            </w:pPr>
            <w:r>
              <w:rPr>
                <w:rFonts w:ascii="Calibri" w:hAnsi="Calibri"/>
                <w:color w:val="000000"/>
                <w:sz w:val="21"/>
              </w:rPr>
              <w:t>Same as above, for 2 hours</w:t>
            </w:r>
          </w:p>
        </w:tc>
        <w:tc>
          <w:tcPr>
            <w:tcW w:type="dxa" w:w="1728"/>
            <w:vAlign w:val="center"/>
          </w:tcPr>
          <w:p>
            <w:pPr>
              <w:spacing w:before="0" w:after="80" w:line="259" w:lineRule="auto"/>
            </w:pPr>
            <w:r>
              <w:rPr>
                <w:rFonts w:ascii="Calibri" w:hAnsi="Calibri"/>
                <w:color w:val="000000"/>
                <w:sz w:val="21"/>
              </w:rPr>
              <w:t>$2.68 total</w:t>
            </w:r>
          </w:p>
        </w:tc>
        <w:tc>
          <w:tcPr>
            <w:tcW w:type="dxa" w:w="2664"/>
            <w:vAlign w:val="center"/>
          </w:tcPr>
          <w:p>
            <w:pPr>
              <w:spacing w:before="0" w:after="80" w:line="259" w:lineRule="auto"/>
            </w:pPr>
            <w:r>
              <w:rPr>
                <w:rFonts w:ascii="Calibri" w:hAnsi="Calibri"/>
                <w:color w:val="000000"/>
                <w:sz w:val="21"/>
              </w:rPr>
              <w:t>A simple, credible broadcast example for a church summit</w:t>
            </w:r>
          </w:p>
        </w:tc>
      </w:tr>
      <w:tr>
        <w:tc>
          <w:tcPr>
            <w:tcW w:type="dxa" w:w="1944"/>
            <w:vAlign w:val="center"/>
          </w:tcPr>
          <w:p>
            <w:pPr>
              <w:spacing w:before="0" w:after="80" w:line="259" w:lineRule="auto"/>
            </w:pPr>
            <w:r>
              <w:rPr>
                <w:rFonts w:ascii="Calibri" w:hAnsi="Calibri"/>
                <w:color w:val="000000"/>
                <w:sz w:val="21"/>
              </w:rPr>
              <w:t>Auto-captions or translation</w:t>
            </w:r>
          </w:p>
        </w:tc>
        <w:tc>
          <w:tcPr>
            <w:tcW w:type="dxa" w:w="3024"/>
            <w:vAlign w:val="center"/>
          </w:tcPr>
          <w:p>
            <w:pPr>
              <w:spacing w:before="0" w:after="80" w:line="259" w:lineRule="auto"/>
            </w:pPr>
            <w:r>
              <w:rPr>
                <w:rFonts w:ascii="Calibri" w:hAnsi="Calibri"/>
                <w:color w:val="000000"/>
                <w:sz w:val="21"/>
              </w:rPr>
              <w:t>$0.75/minute</w:t>
            </w:r>
          </w:p>
        </w:tc>
        <w:tc>
          <w:tcPr>
            <w:tcW w:type="dxa" w:w="1728"/>
            <w:vAlign w:val="center"/>
          </w:tcPr>
          <w:p>
            <w:pPr>
              <w:spacing w:before="0" w:after="80" w:line="259" w:lineRule="auto"/>
            </w:pPr>
            <w:r>
              <w:rPr>
                <w:rFonts w:ascii="Calibri" w:hAnsi="Calibri"/>
                <w:color w:val="000000"/>
                <w:sz w:val="21"/>
              </w:rPr>
              <w:t>$45/hour</w:t>
            </w:r>
          </w:p>
        </w:tc>
        <w:tc>
          <w:tcPr>
            <w:tcW w:type="dxa" w:w="2664"/>
            <w:vAlign w:val="center"/>
          </w:tcPr>
          <w:p>
            <w:pPr>
              <w:spacing w:before="0" w:after="80" w:line="259" w:lineRule="auto"/>
            </w:pPr>
            <w:r>
              <w:rPr>
                <w:rFonts w:ascii="Calibri" w:hAnsi="Calibri"/>
                <w:color w:val="000000"/>
                <w:sz w:val="21"/>
              </w:rPr>
              <w:t>Should be a premium add-on, not the default</w:t>
            </w:r>
          </w:p>
        </w:tc>
      </w:tr>
    </w:tbl>
    <w:p>
      <w:pPr>
        <w:spacing w:before="0" w:after="160" w:line="283" w:lineRule="auto"/>
        <w:jc w:val="left"/>
      </w:pPr>
      <w:r>
        <w:rPr>
          <w:rFonts w:ascii="Calibri" w:hAnsi="Calibri"/>
          <w:b w:val="0"/>
          <w:i w:val="0"/>
          <w:color w:val="000000"/>
          <w:sz w:val="22"/>
        </w:rPr>
        <w:t>Google Cloud also documents a pay-per-use Cloud Run model with an always-free tier, which is exactly the kind of economics that fit EventSlot's traffic pattern: quiet most of the time, then suddenly busy when registrations open or an event goes live.</w:t>
      </w:r>
    </w:p>
    <w:p>
      <w:pPr>
        <w:keepNext/>
        <w:spacing w:before="360" w:after="120"/>
      </w:pPr>
      <w:r>
        <w:rPr>
          <w:rFonts w:ascii="Calibri" w:hAnsi="Calibri"/>
          <w:b/>
          <w:color w:val="2E74B5"/>
          <w:sz w:val="32"/>
        </w:rPr>
        <w:t>Partnership Economics</w:t>
      </w:r>
    </w:p>
    <w:p>
      <w:pPr>
        <w:spacing w:before="0" w:after="160" w:line="283" w:lineRule="auto"/>
        <w:jc w:val="left"/>
      </w:pPr>
      <w:r>
        <w:rPr>
          <w:rFonts w:ascii="Calibri" w:hAnsi="Calibri"/>
          <w:b w:val="0"/>
          <w:i w:val="0"/>
          <w:color w:val="000000"/>
          <w:sz w:val="22"/>
        </w:rPr>
        <w:t>A meaningful partnership should not be only about money, and it should not be only about software access. The value exchange should work in both directions. Google helps EventSlot scale with infrastructure, startup credits, and technical support. EventSlot helps Google with cloud consumption, Workspace adoption, Maps usage, hybrid-event use cases, and a credible growth story in an African market.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F2F4F7"/>
          </w:tcPr>
          <w:p>
            <w:pPr>
              <w:spacing w:before="0" w:after="80" w:line="259" w:lineRule="auto"/>
            </w:pPr>
            <w:r>
              <w:rPr>
                <w:rFonts w:ascii="Calibri" w:hAnsi="Calibri"/>
                <w:b/>
                <w:color w:val="000000"/>
                <w:sz w:val="21"/>
              </w:rPr>
              <w:t>What Google can offer</w:t>
            </w:r>
          </w:p>
        </w:tc>
        <w:tc>
          <w:tcPr>
            <w:tcW w:type="dxa" w:w="3671"/>
            <w:vAlign w:val="center"/>
            <w:shd w:fill="F2F4F7"/>
          </w:tcPr>
          <w:p>
            <w:pPr>
              <w:spacing w:before="0" w:after="80" w:line="259" w:lineRule="auto"/>
            </w:pPr>
            <w:r>
              <w:rPr>
                <w:rFonts w:ascii="Calibri" w:hAnsi="Calibri"/>
                <w:b/>
                <w:color w:val="000000"/>
                <w:sz w:val="21"/>
              </w:rPr>
              <w:t>Why it helps EventSlot</w:t>
            </w:r>
          </w:p>
        </w:tc>
        <w:tc>
          <w:tcPr>
            <w:tcW w:type="dxa" w:w="3096"/>
            <w:vAlign w:val="center"/>
            <w:shd w:fill="F2F4F7"/>
          </w:tcPr>
          <w:p>
            <w:pPr>
              <w:spacing w:before="0" w:after="80" w:line="259" w:lineRule="auto"/>
            </w:pPr>
            <w:r>
              <w:rPr>
                <w:rFonts w:ascii="Calibri" w:hAnsi="Calibri"/>
                <w:b/>
                <w:color w:val="000000"/>
                <w:sz w:val="21"/>
              </w:rPr>
              <w:t>What Google gets</w:t>
            </w:r>
          </w:p>
        </w:tc>
      </w:tr>
      <w:tr>
        <w:tc>
          <w:tcPr>
            <w:tcW w:type="dxa" w:w="2592"/>
            <w:vAlign w:val="center"/>
          </w:tcPr>
          <w:p>
            <w:pPr>
              <w:spacing w:before="0" w:after="80" w:line="259" w:lineRule="auto"/>
            </w:pPr>
            <w:r>
              <w:rPr>
                <w:rFonts w:ascii="Calibri" w:hAnsi="Calibri"/>
                <w:color w:val="000000"/>
                <w:sz w:val="21"/>
              </w:rPr>
              <w:t>Startup credits</w:t>
            </w:r>
          </w:p>
        </w:tc>
        <w:tc>
          <w:tcPr>
            <w:tcW w:type="dxa" w:w="3671"/>
            <w:vAlign w:val="center"/>
          </w:tcPr>
          <w:p>
            <w:pPr>
              <w:spacing w:before="0" w:after="80" w:line="259" w:lineRule="auto"/>
            </w:pPr>
            <w:r>
              <w:rPr>
                <w:rFonts w:ascii="Calibri" w:hAnsi="Calibri"/>
                <w:color w:val="000000"/>
                <w:sz w:val="21"/>
              </w:rPr>
              <w:t>Lower infrastructure burn while we harden the platform</w:t>
            </w:r>
          </w:p>
        </w:tc>
        <w:tc>
          <w:tcPr>
            <w:tcW w:type="dxa" w:w="3096"/>
            <w:vAlign w:val="center"/>
          </w:tcPr>
          <w:p>
            <w:pPr>
              <w:spacing w:before="0" w:after="80" w:line="259" w:lineRule="auto"/>
            </w:pPr>
            <w:r>
              <w:rPr>
                <w:rFonts w:ascii="Calibri" w:hAnsi="Calibri"/>
                <w:color w:val="000000"/>
                <w:sz w:val="21"/>
              </w:rPr>
              <w:t>A startup customer that can scale with Google Cloud</w:t>
            </w:r>
          </w:p>
        </w:tc>
      </w:tr>
      <w:tr>
        <w:tc>
          <w:tcPr>
            <w:tcW w:type="dxa" w:w="2592"/>
            <w:vAlign w:val="center"/>
          </w:tcPr>
          <w:p>
            <w:pPr>
              <w:spacing w:before="0" w:after="80" w:line="259" w:lineRule="auto"/>
            </w:pPr>
            <w:r>
              <w:rPr>
                <w:rFonts w:ascii="Calibri" w:hAnsi="Calibri"/>
                <w:color w:val="000000"/>
                <w:sz w:val="21"/>
              </w:rPr>
              <w:t>Workspace / Maps / AI access</w:t>
            </w:r>
          </w:p>
        </w:tc>
        <w:tc>
          <w:tcPr>
            <w:tcW w:type="dxa" w:w="3671"/>
            <w:vAlign w:val="center"/>
          </w:tcPr>
          <w:p>
            <w:pPr>
              <w:spacing w:before="0" w:after="80" w:line="259" w:lineRule="auto"/>
            </w:pPr>
            <w:r>
              <w:rPr>
                <w:rFonts w:ascii="Calibri" w:hAnsi="Calibri"/>
                <w:color w:val="000000"/>
                <w:sz w:val="21"/>
              </w:rPr>
              <w:t>Faster product integration and better organizer workflows</w:t>
            </w:r>
          </w:p>
        </w:tc>
        <w:tc>
          <w:tcPr>
            <w:tcW w:type="dxa" w:w="3096"/>
            <w:vAlign w:val="center"/>
          </w:tcPr>
          <w:p>
            <w:pPr>
              <w:spacing w:before="0" w:after="80" w:line="259" w:lineRule="auto"/>
            </w:pPr>
            <w:r>
              <w:rPr>
                <w:rFonts w:ascii="Calibri" w:hAnsi="Calibri"/>
                <w:color w:val="000000"/>
                <w:sz w:val="21"/>
              </w:rPr>
              <w:t>Real-world adoption of the Google ecosystem</w:t>
            </w:r>
          </w:p>
        </w:tc>
      </w:tr>
      <w:tr>
        <w:tc>
          <w:tcPr>
            <w:tcW w:type="dxa" w:w="2592"/>
            <w:vAlign w:val="center"/>
          </w:tcPr>
          <w:p>
            <w:pPr>
              <w:spacing w:before="0" w:after="80" w:line="259" w:lineRule="auto"/>
            </w:pPr>
            <w:r>
              <w:rPr>
                <w:rFonts w:ascii="Calibri" w:hAnsi="Calibri"/>
                <w:color w:val="000000"/>
                <w:sz w:val="21"/>
              </w:rPr>
              <w:t>Forms, Meet, and Live Stream support</w:t>
            </w:r>
          </w:p>
        </w:tc>
        <w:tc>
          <w:tcPr>
            <w:tcW w:type="dxa" w:w="3671"/>
            <w:vAlign w:val="center"/>
          </w:tcPr>
          <w:p>
            <w:pPr>
              <w:spacing w:before="0" w:after="80" w:line="259" w:lineRule="auto"/>
            </w:pPr>
            <w:r>
              <w:rPr>
                <w:rFonts w:ascii="Calibri" w:hAnsi="Calibri"/>
                <w:color w:val="000000"/>
                <w:sz w:val="21"/>
              </w:rPr>
              <w:t>A practical path from registration to virtual and hybrid events</w:t>
            </w:r>
          </w:p>
        </w:tc>
        <w:tc>
          <w:tcPr>
            <w:tcW w:type="dxa" w:w="3096"/>
            <w:vAlign w:val="center"/>
          </w:tcPr>
          <w:p>
            <w:pPr>
              <w:spacing w:before="0" w:after="80" w:line="259" w:lineRule="auto"/>
            </w:pPr>
            <w:r>
              <w:rPr>
                <w:rFonts w:ascii="Calibri" w:hAnsi="Calibri"/>
                <w:color w:val="000000"/>
                <w:sz w:val="21"/>
              </w:rPr>
              <w:t>A sticky event-tech use case</w:t>
            </w:r>
          </w:p>
        </w:tc>
      </w:tr>
      <w:tr>
        <w:tc>
          <w:tcPr>
            <w:tcW w:type="dxa" w:w="2592"/>
            <w:vAlign w:val="center"/>
          </w:tcPr>
          <w:p>
            <w:pPr>
              <w:spacing w:before="0" w:after="80" w:line="259" w:lineRule="auto"/>
            </w:pPr>
            <w:r>
              <w:rPr>
                <w:rFonts w:ascii="Calibri" w:hAnsi="Calibri"/>
                <w:color w:val="000000"/>
                <w:sz w:val="21"/>
              </w:rPr>
              <w:t>Technical support and architecture guidance</w:t>
            </w:r>
          </w:p>
        </w:tc>
        <w:tc>
          <w:tcPr>
            <w:tcW w:type="dxa" w:w="3671"/>
            <w:vAlign w:val="center"/>
          </w:tcPr>
          <w:p>
            <w:pPr>
              <w:spacing w:before="0" w:after="80" w:line="259" w:lineRule="auto"/>
            </w:pPr>
            <w:r>
              <w:rPr>
                <w:rFonts w:ascii="Calibri" w:hAnsi="Calibri"/>
                <w:color w:val="000000"/>
                <w:sz w:val="21"/>
              </w:rPr>
              <w:t>Less trial and error on critical paths</w:t>
            </w:r>
          </w:p>
        </w:tc>
        <w:tc>
          <w:tcPr>
            <w:tcW w:type="dxa" w:w="3096"/>
            <w:vAlign w:val="center"/>
          </w:tcPr>
          <w:p>
            <w:pPr>
              <w:spacing w:before="0" w:after="80" w:line="259" w:lineRule="auto"/>
            </w:pPr>
            <w:r>
              <w:rPr>
                <w:rFonts w:ascii="Calibri" w:hAnsi="Calibri"/>
                <w:color w:val="000000"/>
                <w:sz w:val="21"/>
              </w:rPr>
              <w:t>A better chance of a durable reference customer</w:t>
            </w:r>
          </w:p>
        </w:tc>
      </w:tr>
    </w:tbl>
    <w:p>
      <w:pPr>
        <w:keepNext/>
        <w:spacing w:before="360" w:after="120"/>
      </w:pPr>
      <w:r>
        <w:rPr>
          <w:rFonts w:ascii="Calibri" w:hAnsi="Calibri"/>
          <w:b/>
          <w:color w:val="2E74B5"/>
          <w:sz w:val="32"/>
        </w:rPr>
        <w:t>Current Google References For This Proposal</w:t>
      </w:r>
    </w:p>
    <w:p>
      <w:pPr>
        <w:pStyle w:val="ListNumber"/>
        <w:spacing w:before="0" w:after="80" w:line="276" w:lineRule="auto"/>
      </w:pPr>
      <w:r>
        <w:rPr>
          <w:rFonts w:ascii="Calibri" w:hAnsi="Calibri"/>
          <w:color w:val="000000"/>
          <w:sz w:val="22"/>
        </w:rPr>
        <w:t>Google Cloud Startup Perks and startup program benefits, including cloud credits and Maps/Workspace support where eligible.</w:t>
      </w:r>
    </w:p>
    <w:p>
      <w:pPr>
        <w:pStyle w:val="ListNumber"/>
        <w:spacing w:before="0" w:after="80" w:line="276" w:lineRule="auto"/>
      </w:pPr>
      <w:r>
        <w:rPr>
          <w:rFonts w:ascii="Calibri" w:hAnsi="Calibri"/>
          <w:color w:val="000000"/>
          <w:sz w:val="22"/>
        </w:rPr>
        <w:t>Cloud Run pricing and pay-per-use model, including the always-free tier.</w:t>
      </w:r>
    </w:p>
    <w:p>
      <w:pPr>
        <w:pStyle w:val="ListNumber"/>
        <w:spacing w:before="0" w:after="80" w:line="276" w:lineRule="auto"/>
      </w:pPr>
      <w:r>
        <w:rPr>
          <w:rFonts w:ascii="Calibri" w:hAnsi="Calibri"/>
          <w:color w:val="000000"/>
          <w:sz w:val="22"/>
        </w:rPr>
        <w:t>Live Stream API pricing for HD input/output and distribution endpoints.</w:t>
      </w:r>
    </w:p>
    <w:p>
      <w:pPr>
        <w:pStyle w:val="ListNumber"/>
        <w:spacing w:before="0" w:after="80" w:line="276" w:lineRule="auto"/>
      </w:pPr>
      <w:r>
        <w:rPr>
          <w:rFonts w:ascii="Calibri" w:hAnsi="Calibri"/>
          <w:color w:val="000000"/>
          <w:sz w:val="22"/>
        </w:rPr>
        <w:t>Google Workspace Forms API for retrieving form contents and responses.</w:t>
      </w:r>
    </w:p>
    <w:p>
      <w:pPr>
        <w:pStyle w:val="ListNumber"/>
        <w:spacing w:before="0" w:after="80" w:line="276" w:lineRule="auto"/>
      </w:pPr>
      <w:r>
        <w:rPr>
          <w:rFonts w:ascii="Calibri" w:hAnsi="Calibri"/>
          <w:color w:val="000000"/>
          <w:sz w:val="22"/>
        </w:rPr>
        <w:t>Google Meet REST API for meeting spaces, participants, and artifacts.</w:t>
      </w:r>
    </w:p>
    <w:p>
      <w:pPr>
        <w:keepNext/>
        <w:spacing w:before="360" w:after="120"/>
      </w:pPr>
      <w:r>
        <w:rPr>
          <w:rFonts w:ascii="Calibri" w:hAnsi="Calibri"/>
          <w:b/>
          <w:color w:val="2E74B5"/>
          <w:sz w:val="32"/>
        </w:rPr>
        <w:t>Proposed Partnership Ask</w:t>
      </w:r>
    </w:p>
    <w:p>
      <w:pPr>
        <w:pStyle w:val="ListBullet"/>
        <w:spacing w:before="0" w:after="80" w:line="276" w:lineRule="auto"/>
      </w:pPr>
      <w:r>
        <w:rPr>
          <w:rFonts w:ascii="Calibri" w:hAnsi="Calibri"/>
          <w:color w:val="000000"/>
          <w:sz w:val="22"/>
        </w:rPr>
        <w:t>Google Cloud startup credits or equivalent startup support where EventSlot qualifies.</w:t>
      </w:r>
    </w:p>
    <w:p>
      <w:pPr>
        <w:pStyle w:val="ListBullet"/>
        <w:spacing w:before="0" w:after="80" w:line="276" w:lineRule="auto"/>
      </w:pPr>
      <w:r>
        <w:rPr>
          <w:rFonts w:ascii="Calibri" w:hAnsi="Calibri"/>
          <w:color w:val="000000"/>
          <w:sz w:val="22"/>
        </w:rPr>
        <w:t>Technical architecture support for Cloud Run, storage, security, and scaling.</w:t>
      </w:r>
    </w:p>
    <w:p>
      <w:pPr>
        <w:pStyle w:val="ListBullet"/>
        <w:spacing w:before="0" w:after="80" w:line="276" w:lineRule="auto"/>
      </w:pPr>
      <w:r>
        <w:rPr>
          <w:rFonts w:ascii="Calibri" w:hAnsi="Calibri"/>
          <w:color w:val="000000"/>
          <w:sz w:val="22"/>
        </w:rPr>
        <w:t>Maps Platform support for venue and directions usage.</w:t>
      </w:r>
    </w:p>
    <w:p>
      <w:pPr>
        <w:pStyle w:val="ListBullet"/>
        <w:spacing w:before="0" w:after="80" w:line="276" w:lineRule="auto"/>
      </w:pPr>
      <w:r>
        <w:rPr>
          <w:rFonts w:ascii="Calibri" w:hAnsi="Calibri"/>
          <w:color w:val="000000"/>
          <w:sz w:val="22"/>
        </w:rPr>
        <w:t>Workspace integration guidance for Calendar, Drive, and Forms.</w:t>
      </w:r>
    </w:p>
    <w:p>
      <w:pPr>
        <w:pStyle w:val="ListBullet"/>
        <w:spacing w:before="0" w:after="80" w:line="276" w:lineRule="auto"/>
      </w:pPr>
      <w:r>
        <w:rPr>
          <w:rFonts w:ascii="Calibri" w:hAnsi="Calibri"/>
          <w:color w:val="000000"/>
          <w:sz w:val="22"/>
        </w:rPr>
        <w:t>Meet and Live Stream API guidance for virtual and hybrid event workflows.</w:t>
      </w:r>
    </w:p>
    <w:p>
      <w:pPr>
        <w:pStyle w:val="ListBullet"/>
        <w:spacing w:before="0" w:after="80" w:line="276" w:lineRule="auto"/>
      </w:pPr>
      <w:r>
        <w:rPr>
          <w:rFonts w:ascii="Calibri" w:hAnsi="Calibri"/>
          <w:color w:val="000000"/>
          <w:sz w:val="22"/>
        </w:rPr>
        <w:t>AI collaboration for event summaries, FAQs, support automation, and post-event insights.</w:t>
      </w:r>
    </w:p>
    <w:p>
      <w:pPr>
        <w:pStyle w:val="ListBullet"/>
        <w:spacing w:before="0" w:after="80" w:line="276" w:lineRule="auto"/>
      </w:pPr>
      <w:r>
        <w:rPr>
          <w:rFonts w:ascii="Calibri" w:hAnsi="Calibri"/>
          <w:color w:val="000000"/>
          <w:sz w:val="22"/>
        </w:rPr>
        <w:t>A pilot-friendly relationship that can grow into a stronger ecosystem partnership as traction expands.</w:t>
      </w:r>
    </w:p>
    <w:p>
      <w:pPr>
        <w:keepNext/>
        <w:spacing w:before="360" w:after="120"/>
      </w:pPr>
      <w:r>
        <w:rPr>
          <w:rFonts w:ascii="Calibri" w:hAnsi="Calibri"/>
          <w:b/>
          <w:color w:val="2E74B5"/>
          <w:sz w:val="32"/>
        </w:rPr>
        <w:t>What EventSlot Can Commit To</w:t>
      </w:r>
    </w:p>
    <w:p>
      <w:pPr>
        <w:pStyle w:val="ListBullet"/>
        <w:spacing w:before="0" w:after="80" w:line="276" w:lineRule="auto"/>
      </w:pPr>
      <w:r>
        <w:rPr>
          <w:rFonts w:ascii="Calibri" w:hAnsi="Calibri"/>
          <w:color w:val="000000"/>
          <w:sz w:val="22"/>
        </w:rPr>
        <w:t>Build on Google Cloud where it makes technical and commercial sense.</w:t>
      </w:r>
    </w:p>
    <w:p>
      <w:pPr>
        <w:pStyle w:val="ListBullet"/>
        <w:spacing w:before="0" w:after="80" w:line="276" w:lineRule="auto"/>
      </w:pPr>
      <w:r>
        <w:rPr>
          <w:rFonts w:ascii="Calibri" w:hAnsi="Calibri"/>
          <w:color w:val="000000"/>
          <w:sz w:val="22"/>
        </w:rPr>
        <w:t>Use Google products as part of the event workflow, not as decorative integrations.</w:t>
      </w:r>
    </w:p>
    <w:p>
      <w:pPr>
        <w:pStyle w:val="ListBullet"/>
        <w:spacing w:before="0" w:after="80" w:line="276" w:lineRule="auto"/>
      </w:pPr>
      <w:r>
        <w:rPr>
          <w:rFonts w:ascii="Calibri" w:hAnsi="Calibri"/>
          <w:color w:val="000000"/>
          <w:sz w:val="22"/>
        </w:rPr>
        <w:t>Track and report cloud consumption, Maps usage, Workspace usage, and hybrid-event metrics.</w:t>
      </w:r>
    </w:p>
    <w:p>
      <w:pPr>
        <w:pStyle w:val="ListBullet"/>
        <w:spacing w:before="0" w:after="80" w:line="276" w:lineRule="auto"/>
      </w:pPr>
      <w:r>
        <w:rPr>
          <w:rFonts w:ascii="Calibri" w:hAnsi="Calibri"/>
          <w:color w:val="000000"/>
          <w:sz w:val="22"/>
        </w:rPr>
        <w:t>Maintain a provider-neutral architecture where practical so the business stays resilient.</w:t>
      </w:r>
    </w:p>
    <w:p>
      <w:pPr>
        <w:pStyle w:val="ListBullet"/>
        <w:spacing w:before="0" w:after="80" w:line="276" w:lineRule="auto"/>
      </w:pPr>
      <w:r>
        <w:rPr>
          <w:rFonts w:ascii="Calibri" w:hAnsi="Calibri"/>
          <w:color w:val="000000"/>
          <w:sz w:val="22"/>
        </w:rPr>
        <w:t>Treat the partnership as a long-term relationship, not a one-off discount conversation.</w:t>
      </w:r>
    </w:p>
    <w:p>
      <w:pPr>
        <w:keepNext/>
        <w:spacing w:before="360" w:after="120"/>
      </w:pPr>
      <w:r>
        <w:rPr>
          <w:rFonts w:ascii="Calibri" w:hAnsi="Calibri"/>
          <w:b/>
          <w:color w:val="2E74B5"/>
          <w:sz w:val="32"/>
        </w:rPr>
        <w:t>Suggested Next Steps</w:t>
      </w:r>
    </w:p>
    <w:p>
      <w:pPr>
        <w:pStyle w:val="ListNumber"/>
        <w:spacing w:before="0" w:after="80" w:line="276" w:lineRule="auto"/>
      </w:pPr>
      <w:r>
        <w:rPr>
          <w:rFonts w:ascii="Calibri" w:hAnsi="Calibri"/>
          <w:color w:val="000000"/>
          <w:sz w:val="22"/>
        </w:rPr>
        <w:t>Approve the partnership narrative and the exact Google ask.</w:t>
      </w:r>
    </w:p>
    <w:p>
      <w:pPr>
        <w:pStyle w:val="ListNumber"/>
        <w:spacing w:before="0" w:after="80" w:line="276" w:lineRule="auto"/>
      </w:pPr>
      <w:r>
        <w:rPr>
          <w:rFonts w:ascii="Calibri" w:hAnsi="Calibri"/>
          <w:color w:val="000000"/>
          <w:sz w:val="22"/>
        </w:rPr>
        <w:t>Validate the live broadcast pilot architecture on Cloud Run + Live Stream API.</w:t>
      </w:r>
    </w:p>
    <w:p>
      <w:pPr>
        <w:pStyle w:val="ListNumber"/>
        <w:spacing w:before="0" w:after="80" w:line="276" w:lineRule="auto"/>
      </w:pPr>
      <w:r>
        <w:rPr>
          <w:rFonts w:ascii="Calibri" w:hAnsi="Calibri"/>
          <w:color w:val="000000"/>
          <w:sz w:val="22"/>
        </w:rPr>
        <w:t>Map the Forms import path for registration migration use cases.</w:t>
      </w:r>
    </w:p>
    <w:p>
      <w:pPr>
        <w:pStyle w:val="ListNumber"/>
        <w:spacing w:before="0" w:after="80" w:line="276" w:lineRule="auto"/>
      </w:pPr>
      <w:r>
        <w:rPr>
          <w:rFonts w:ascii="Calibri" w:hAnsi="Calibri"/>
          <w:color w:val="000000"/>
          <w:sz w:val="22"/>
        </w:rPr>
        <w:t>Prepare a short one-pager and an architecture brief for Google teams.</w:t>
      </w:r>
    </w:p>
    <w:p>
      <w:pPr>
        <w:pStyle w:val="ListNumber"/>
        <w:spacing w:before="0" w:after="80" w:line="276" w:lineRule="auto"/>
      </w:pPr>
      <w:r>
        <w:rPr>
          <w:rFonts w:ascii="Calibri" w:hAnsi="Calibri"/>
          <w:color w:val="000000"/>
          <w:sz w:val="22"/>
        </w:rPr>
        <w:t>Package the traction snapshot and cost model into a partner-ready leave-behind.</w:t>
      </w:r>
    </w:p>
    <w:p>
      <w:pPr>
        <w:keepNext/>
        <w:spacing w:before="360" w:after="120"/>
      </w:pPr>
      <w:r>
        <w:rPr>
          <w:rFonts w:ascii="Calibri" w:hAnsi="Calibri"/>
          <w:b/>
          <w:color w:val="2E74B5"/>
          <w:sz w:val="32"/>
        </w:rPr>
        <w:t>Appendix: Product Snapshot</w:t>
      </w:r>
    </w:p>
    <w:p>
      <w:pPr>
        <w:spacing w:before="0" w:after="160" w:line="283" w:lineRule="auto"/>
        <w:jc w:val="left"/>
      </w:pPr>
      <w:r>
        <w:rPr>
          <w:rFonts w:ascii="Calibri" w:hAnsi="Calibri"/>
          <w:b w:val="0"/>
          <w:i w:val="0"/>
          <w:color w:val="000000"/>
          <w:sz w:val="22"/>
        </w:rPr>
        <w:t>The proposal rests on the current repository implementation. EventSlot already has a live event creation flow, capacity and waitlist management, dynamic promotion, organiser dashboards, analytics, notifications, exports, ticket verification, QR/check-in workflows, team access, Google Calendar support, Maps direction support, FAQ surfaces, consent controls, and PWA behavior. The live broadcast layer is the next proposed extension, not a claim that the feature is already fully built.</w:t>
      </w:r>
    </w:p>
    <w:p>
      <w:pPr>
        <w:spacing w:before="0" w:after="160" w:line="283" w:lineRule="auto"/>
        <w:jc w:val="left"/>
      </w:pPr>
      <w:r>
        <w:rPr>
          <w:rFonts w:ascii="Calibri" w:hAnsi="Calibri"/>
          <w:b w:val="0"/>
          <w:i w:val="0"/>
          <w:color w:val="000000"/>
          <w:sz w:val="22"/>
        </w:rPr>
        <w:t>This is why the partnership is meaningful: Google would not just be backing an abstract idea. Google would be supporting a working event platform that is already in motion and that can grow into a broader event-infrastructure layer with the right support.</w:t>
      </w:r>
    </w:p>
    <w:p>
      <w:pPr>
        <w:keepNext/>
        <w:spacing w:before="360" w:after="120"/>
      </w:pPr>
      <w:r>
        <w:rPr>
          <w:rFonts w:ascii="Calibri" w:hAnsi="Calibri"/>
          <w:b/>
          <w:color w:val="2E74B5"/>
          <w:sz w:val="32"/>
        </w:rPr>
        <w:t>Appendix: Official Google Sources Consulted</w:t>
      </w:r>
    </w:p>
    <w:p>
      <w:pPr>
        <w:pStyle w:val="ListBullet"/>
        <w:spacing w:before="0" w:after="80" w:line="276" w:lineRule="auto"/>
      </w:pPr>
      <w:r>
        <w:rPr>
          <w:rFonts w:ascii="Calibri" w:hAnsi="Calibri"/>
          <w:color w:val="000000"/>
          <w:sz w:val="22"/>
        </w:rPr>
        <w:t>Google Cloud Startup Perks: up to $200,000 in Google Cloud credits, up to $350,000 for AI startups, and other startup benefits.</w:t>
      </w:r>
    </w:p>
    <w:p>
      <w:pPr>
        <w:pStyle w:val="ListBullet"/>
        <w:spacing w:before="0" w:after="80" w:line="276" w:lineRule="auto"/>
      </w:pPr>
      <w:r>
        <w:rPr>
          <w:rFonts w:ascii="Calibri" w:hAnsi="Calibri"/>
          <w:color w:val="000000"/>
          <w:sz w:val="22"/>
        </w:rPr>
        <w:t>Cloud Run pricing: pay-per-use, always-free tier, 240,000 vCPU-seconds and 450,000 GiB-seconds monthly free tier, rounded to nearest 100 ms.</w:t>
      </w:r>
    </w:p>
    <w:p>
      <w:pPr>
        <w:pStyle w:val="ListBullet"/>
        <w:spacing w:before="0" w:after="80" w:line="276" w:lineRule="auto"/>
      </w:pPr>
      <w:r>
        <w:rPr>
          <w:rFonts w:ascii="Calibri" w:hAnsi="Calibri"/>
          <w:color w:val="000000"/>
          <w:sz w:val="22"/>
        </w:rPr>
        <w:t>Live Stream API pricing: HD H.264 input $0.14/hour, HD H.264 output $0.45/hour, distribution endpoint $0.75/hour, auto-captioning/translation $0.75/minute.</w:t>
      </w:r>
    </w:p>
    <w:p>
      <w:pPr>
        <w:pStyle w:val="ListBullet"/>
        <w:spacing w:before="0" w:after="80" w:line="276" w:lineRule="auto"/>
      </w:pPr>
      <w:r>
        <w:rPr>
          <w:rFonts w:ascii="Calibri" w:hAnsi="Calibri"/>
          <w:color w:val="000000"/>
          <w:sz w:val="22"/>
        </w:rPr>
        <w:t>Forms API: retrieve form contents and responses via Google Workspace Forms API, subject to authorization and EAP instructions.</w:t>
      </w:r>
    </w:p>
    <w:p>
      <w:pPr>
        <w:pStyle w:val="ListBullet"/>
        <w:spacing w:before="0" w:after="80" w:line="276" w:lineRule="auto"/>
      </w:pPr>
      <w:r>
        <w:rPr>
          <w:rFonts w:ascii="Calibri" w:hAnsi="Calibri"/>
          <w:color w:val="000000"/>
          <w:sz w:val="22"/>
        </w:rPr>
        <w:t>Meet API: create/manage meeting spaces, list participants, and retrieve recordings/transcripts/smart notes.</w:t>
      </w:r>
    </w:p>
    <w:p>
      <w:pPr>
        <w:keepNext/>
        <w:spacing w:before="360" w:after="120"/>
      </w:pPr>
      <w:r>
        <w:rPr>
          <w:rFonts w:ascii="Calibri" w:hAnsi="Calibri"/>
          <w:b/>
          <w:color w:val="2E74B5"/>
          <w:sz w:val="32"/>
        </w:rPr>
        <w:t>Appendix: Current Use of Funds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F2F4F7"/>
          </w:tcPr>
          <w:p>
            <w:pPr>
              <w:spacing w:before="0" w:after="80" w:line="259" w:lineRule="auto"/>
            </w:pPr>
            <w:r>
              <w:rPr>
                <w:rFonts w:ascii="Calibri" w:hAnsi="Calibri"/>
                <w:b/>
                <w:color w:val="000000"/>
                <w:sz w:val="21"/>
              </w:rPr>
              <w:t>Area</w:t>
            </w:r>
          </w:p>
        </w:tc>
        <w:tc>
          <w:tcPr>
            <w:tcW w:type="dxa" w:w="1584"/>
            <w:vAlign w:val="center"/>
            <w:shd w:fill="F2F4F7"/>
          </w:tcPr>
          <w:p>
            <w:pPr>
              <w:spacing w:before="0" w:after="80" w:line="259" w:lineRule="auto"/>
            </w:pPr>
            <w:r>
              <w:rPr>
                <w:rFonts w:ascii="Calibri" w:hAnsi="Calibri"/>
                <w:b/>
                <w:color w:val="000000"/>
                <w:sz w:val="21"/>
              </w:rPr>
              <w:t>Amount</w:t>
            </w:r>
          </w:p>
        </w:tc>
        <w:tc>
          <w:tcPr>
            <w:tcW w:type="dxa" w:w="5184"/>
            <w:vAlign w:val="center"/>
            <w:shd w:fill="F2F4F7"/>
          </w:tcPr>
          <w:p>
            <w:pPr>
              <w:spacing w:before="0" w:after="80" w:line="259" w:lineRule="auto"/>
            </w:pPr>
            <w:r>
              <w:rPr>
                <w:rFonts w:ascii="Calibri" w:hAnsi="Calibri"/>
                <w:b/>
                <w:color w:val="000000"/>
                <w:sz w:val="21"/>
              </w:rPr>
              <w:t>Why it matters</w:t>
            </w:r>
          </w:p>
        </w:tc>
      </w:tr>
      <w:tr>
        <w:tc>
          <w:tcPr>
            <w:tcW w:type="dxa" w:w="2592"/>
            <w:vAlign w:val="center"/>
          </w:tcPr>
          <w:p>
            <w:pPr>
              <w:spacing w:before="0" w:after="80" w:line="259" w:lineRule="auto"/>
            </w:pPr>
            <w:r>
              <w:rPr>
                <w:rFonts w:ascii="Calibri" w:hAnsi="Calibri"/>
                <w:color w:val="000000"/>
                <w:sz w:val="21"/>
              </w:rPr>
              <w:t>Product and engineering</w:t>
            </w:r>
          </w:p>
        </w:tc>
        <w:tc>
          <w:tcPr>
            <w:tcW w:type="dxa" w:w="1584"/>
            <w:vAlign w:val="center"/>
          </w:tcPr>
          <w:p>
            <w:pPr>
              <w:spacing w:before="0" w:after="80" w:line="259" w:lineRule="auto"/>
            </w:pPr>
            <w:r>
              <w:rPr>
                <w:rFonts w:ascii="Calibri" w:hAnsi="Calibri"/>
                <w:color w:val="000000"/>
                <w:sz w:val="21"/>
              </w:rPr>
              <w:t>USD 28,000</w:t>
            </w:r>
          </w:p>
        </w:tc>
        <w:tc>
          <w:tcPr>
            <w:tcW w:type="dxa" w:w="5184"/>
            <w:vAlign w:val="center"/>
          </w:tcPr>
          <w:p>
            <w:pPr>
              <w:spacing w:before="0" w:after="80" w:line="259" w:lineRule="auto"/>
            </w:pPr>
            <w:r>
              <w:rPr>
                <w:rFonts w:ascii="Calibri" w:hAnsi="Calibri"/>
                <w:color w:val="000000"/>
                <w:sz w:val="21"/>
              </w:rPr>
              <w:t>Strengthen core product, reliability, bug fixing, and payment/event operations features.</w:t>
            </w:r>
          </w:p>
        </w:tc>
      </w:tr>
      <w:tr>
        <w:tc>
          <w:tcPr>
            <w:tcW w:type="dxa" w:w="2592"/>
            <w:vAlign w:val="center"/>
          </w:tcPr>
          <w:p>
            <w:pPr>
              <w:spacing w:before="0" w:after="80" w:line="259" w:lineRule="auto"/>
            </w:pPr>
            <w:r>
              <w:rPr>
                <w:rFonts w:ascii="Calibri" w:hAnsi="Calibri"/>
                <w:color w:val="000000"/>
                <w:sz w:val="21"/>
              </w:rPr>
              <w:t>Growth and customer acquisition</w:t>
            </w:r>
          </w:p>
        </w:tc>
        <w:tc>
          <w:tcPr>
            <w:tcW w:type="dxa" w:w="1584"/>
            <w:vAlign w:val="center"/>
          </w:tcPr>
          <w:p>
            <w:pPr>
              <w:spacing w:before="0" w:after="80" w:line="259" w:lineRule="auto"/>
            </w:pPr>
            <w:r>
              <w:rPr>
                <w:rFonts w:ascii="Calibri" w:hAnsi="Calibri"/>
                <w:color w:val="000000"/>
                <w:sz w:val="21"/>
              </w:rPr>
              <w:t>USD 25,000</w:t>
            </w:r>
          </w:p>
        </w:tc>
        <w:tc>
          <w:tcPr>
            <w:tcW w:type="dxa" w:w="5184"/>
            <w:vAlign w:val="center"/>
          </w:tcPr>
          <w:p>
            <w:pPr>
              <w:spacing w:before="0" w:after="80" w:line="259" w:lineRule="auto"/>
            </w:pPr>
            <w:r>
              <w:rPr>
                <w:rFonts w:ascii="Calibri" w:hAnsi="Calibri"/>
                <w:color w:val="000000"/>
                <w:sz w:val="21"/>
              </w:rPr>
              <w:t>Founder-led sales, field marketing, partnerships, demos, onboarding, and campaigns.</w:t>
            </w:r>
          </w:p>
        </w:tc>
      </w:tr>
      <w:tr>
        <w:tc>
          <w:tcPr>
            <w:tcW w:type="dxa" w:w="2592"/>
            <w:vAlign w:val="center"/>
          </w:tcPr>
          <w:p>
            <w:pPr>
              <w:spacing w:before="0" w:after="80" w:line="259" w:lineRule="auto"/>
            </w:pPr>
            <w:r>
              <w:rPr>
                <w:rFonts w:ascii="Calibri" w:hAnsi="Calibri"/>
                <w:color w:val="000000"/>
                <w:sz w:val="21"/>
              </w:rPr>
              <w:t>Customer support and operations</w:t>
            </w:r>
          </w:p>
        </w:tc>
        <w:tc>
          <w:tcPr>
            <w:tcW w:type="dxa" w:w="1584"/>
            <w:vAlign w:val="center"/>
          </w:tcPr>
          <w:p>
            <w:pPr>
              <w:spacing w:before="0" w:after="80" w:line="259" w:lineRule="auto"/>
            </w:pPr>
            <w:r>
              <w:rPr>
                <w:rFonts w:ascii="Calibri" w:hAnsi="Calibri"/>
                <w:color w:val="000000"/>
                <w:sz w:val="21"/>
              </w:rPr>
              <w:t>USD 14,000</w:t>
            </w:r>
          </w:p>
        </w:tc>
        <w:tc>
          <w:tcPr>
            <w:tcW w:type="dxa" w:w="5184"/>
            <w:vAlign w:val="center"/>
          </w:tcPr>
          <w:p>
            <w:pPr>
              <w:spacing w:before="0" w:after="80" w:line="259" w:lineRule="auto"/>
            </w:pPr>
            <w:r>
              <w:rPr>
                <w:rFonts w:ascii="Calibri" w:hAnsi="Calibri"/>
                <w:color w:val="000000"/>
                <w:sz w:val="21"/>
              </w:rPr>
              <w:t>Support capacity, helpdesk processes, onboarding material, event-day issue handling.</w:t>
            </w:r>
          </w:p>
        </w:tc>
      </w:tr>
      <w:tr>
        <w:tc>
          <w:tcPr>
            <w:tcW w:type="dxa" w:w="2592"/>
            <w:vAlign w:val="center"/>
          </w:tcPr>
          <w:p>
            <w:pPr>
              <w:spacing w:before="0" w:after="80" w:line="259" w:lineRule="auto"/>
            </w:pPr>
            <w:r>
              <w:rPr>
                <w:rFonts w:ascii="Calibri" w:hAnsi="Calibri"/>
                <w:color w:val="000000"/>
                <w:sz w:val="21"/>
              </w:rPr>
              <w:t>Security and compliance</w:t>
            </w:r>
          </w:p>
        </w:tc>
        <w:tc>
          <w:tcPr>
            <w:tcW w:type="dxa" w:w="1584"/>
            <w:vAlign w:val="center"/>
          </w:tcPr>
          <w:p>
            <w:pPr>
              <w:spacing w:before="0" w:after="80" w:line="259" w:lineRule="auto"/>
            </w:pPr>
            <w:r>
              <w:rPr>
                <w:rFonts w:ascii="Calibri" w:hAnsi="Calibri"/>
                <w:color w:val="000000"/>
                <w:sz w:val="21"/>
              </w:rPr>
              <w:t>USD 12,000</w:t>
            </w:r>
          </w:p>
        </w:tc>
        <w:tc>
          <w:tcPr>
            <w:tcW w:type="dxa" w:w="5184"/>
            <w:vAlign w:val="center"/>
          </w:tcPr>
          <w:p>
            <w:pPr>
              <w:spacing w:before="0" w:after="80" w:line="259" w:lineRule="auto"/>
            </w:pPr>
            <w:r>
              <w:rPr>
                <w:rFonts w:ascii="Calibri" w:hAnsi="Calibri"/>
                <w:color w:val="000000"/>
                <w:sz w:val="21"/>
              </w:rPr>
              <w:t>Security retainer, penetration testing, privacy/data-protection work, and governance basics.</w:t>
            </w:r>
          </w:p>
        </w:tc>
      </w:tr>
      <w:tr>
        <w:tc>
          <w:tcPr>
            <w:tcW w:type="dxa" w:w="2592"/>
            <w:vAlign w:val="center"/>
          </w:tcPr>
          <w:p>
            <w:pPr>
              <w:spacing w:before="0" w:after="80" w:line="259" w:lineRule="auto"/>
            </w:pPr>
            <w:r>
              <w:rPr>
                <w:rFonts w:ascii="Calibri" w:hAnsi="Calibri"/>
                <w:color w:val="000000"/>
                <w:sz w:val="21"/>
              </w:rPr>
              <w:t>Cloud and infrastructure</w:t>
            </w:r>
          </w:p>
        </w:tc>
        <w:tc>
          <w:tcPr>
            <w:tcW w:type="dxa" w:w="1584"/>
            <w:vAlign w:val="center"/>
          </w:tcPr>
          <w:p>
            <w:pPr>
              <w:spacing w:before="0" w:after="80" w:line="259" w:lineRule="auto"/>
            </w:pPr>
            <w:r>
              <w:rPr>
                <w:rFonts w:ascii="Calibri" w:hAnsi="Calibri"/>
                <w:color w:val="000000"/>
                <w:sz w:val="21"/>
              </w:rPr>
              <w:t>USD 13,000</w:t>
            </w:r>
          </w:p>
        </w:tc>
        <w:tc>
          <w:tcPr>
            <w:tcW w:type="dxa" w:w="5184"/>
            <w:vAlign w:val="center"/>
          </w:tcPr>
          <w:p>
            <w:pPr>
              <w:spacing w:before="0" w:after="80" w:line="259" w:lineRule="auto"/>
            </w:pPr>
            <w:r>
              <w:rPr>
                <w:rFonts w:ascii="Calibri" w:hAnsi="Calibri"/>
                <w:color w:val="000000"/>
                <w:sz w:val="21"/>
              </w:rPr>
              <w:t>Hosting, database, storage, email delivery, monitoring, backups, and scaling headroom.</w:t>
            </w:r>
          </w:p>
        </w:tc>
      </w:tr>
      <w:tr>
        <w:tc>
          <w:tcPr>
            <w:tcW w:type="dxa" w:w="2592"/>
            <w:vAlign w:val="center"/>
          </w:tcPr>
          <w:p>
            <w:pPr>
              <w:spacing w:before="0" w:after="80" w:line="259" w:lineRule="auto"/>
            </w:pPr>
            <w:r>
              <w:rPr>
                <w:rFonts w:ascii="Calibri" w:hAnsi="Calibri"/>
                <w:color w:val="000000"/>
                <w:sz w:val="21"/>
              </w:rPr>
              <w:t>Reserve and working capital</w:t>
            </w:r>
          </w:p>
        </w:tc>
        <w:tc>
          <w:tcPr>
            <w:tcW w:type="dxa" w:w="1584"/>
            <w:vAlign w:val="center"/>
          </w:tcPr>
          <w:p>
            <w:pPr>
              <w:spacing w:before="0" w:after="80" w:line="259" w:lineRule="auto"/>
            </w:pPr>
            <w:r>
              <w:rPr>
                <w:rFonts w:ascii="Calibri" w:hAnsi="Calibri"/>
                <w:color w:val="000000"/>
                <w:sz w:val="21"/>
              </w:rPr>
              <w:t>USD 8,000</w:t>
            </w:r>
          </w:p>
        </w:tc>
        <w:tc>
          <w:tcPr>
            <w:tcW w:type="dxa" w:w="5184"/>
            <w:vAlign w:val="center"/>
          </w:tcPr>
          <w:p>
            <w:pPr>
              <w:spacing w:before="0" w:after="80" w:line="259" w:lineRule="auto"/>
            </w:pPr>
            <w:r>
              <w:rPr>
                <w:rFonts w:ascii="Calibri" w:hAnsi="Calibri"/>
                <w:color w:val="000000"/>
                <w:sz w:val="21"/>
              </w:rPr>
              <w:t>Runway protection, finance admin, legal, and unforeseen operating pressure.</w:t>
            </w:r>
          </w:p>
        </w:tc>
      </w:tr>
    </w:tbl>
    <w:p>
      <w:pPr>
        <w:sectPr>
          <w:footerReference w:type="default" r:id="rId9"/>
          <w:pgSz w:w="12240" w:h="15840"/>
          <w:pgMar w:top="1440" w:right="1440" w:bottom="1440" w:left="1440" w:header="648" w:footer="648" w:gutter="0"/>
          <w:cols w:space="720"/>
          <w:docGrid w:linePitch="360"/>
        </w:sectPr>
      </w:pPr>
    </w:p>
    <w:sectPr w:rsidR="00FC693F" w:rsidRPr="0006063C"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spacing w:before="0" w:after="0"/>
      <w:jc w:val="left"/>
    </w:pPr>
    <w:r/>
    <w:r>
      <w:rPr>
        <w:rFonts w:ascii="Calibri" w:hAnsi="Calibri"/>
        <w:color w:val="666666"/>
        <w:sz w:val="18"/>
      </w:rPr>
      <w:t>EventSlot | Google partnership proposal</w:t>
    </w:r>
    <w:r>
      <w:rPr>
        <w:rFonts w:ascii="Calibri" w:hAnsi="Calibri"/>
        <w:color w:val="666666"/>
        <w:sz w:val="18"/>
      </w:rPr>
      <w:tab/>
    </w:r>
    <w:r>
      <w:rPr>
        <w:rFonts w:ascii="Calibri" w:hAnsi="Calibri"/>
        <w:color w:val="666666"/>
        <w:sz w:val="18"/>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