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944"/>
        <w:gridCol w:w="8568"/>
      </w:tblGrid>
      <w:tr>
        <w:tc>
          <w:tcPr>
            <w:tcW w:type="dxa" w:w="1944"/>
            <w:shd w:fill="C8F55A"/>
            <w:tcMar>
              <w:top w:w="0" w:type="dxa"/>
              <w:start w:w="0" w:type="dxa"/>
              <w:bottom w:w="0" w:type="dxa"/>
              <w:end w:w="0" w:type="dxa"/>
            </w:tcMar>
          </w:tcPr>
          <w:p/>
        </w:tc>
        <w:tc>
          <w:tcPr>
            <w:tcW w:type="dxa" w:w="8568"/>
            <w:shd w:fill="0A0A0A"/>
            <w:tcMar>
              <w:top w:w="0" w:type="dxa"/>
              <w:start w:w="0" w:type="dxa"/>
              <w:bottom w:w="0" w:type="dxa"/>
              <w:end w:w="0" w:type="dxa"/>
            </w:tcMar>
          </w:tcPr>
          <w:p/>
        </w:tc>
      </w:tr>
    </w:tbl>
    <w:p>
      <w:pPr>
        <w:pStyle w:val="Label"/>
      </w:pPr>
      <w:r>
        <w:t>FEATURE PROPOSAL  /  VERSION 1.0  /  07 AUGUST 2026</w:t>
      </w:r>
    </w:p>
    <w:p>
      <w:pPr>
        <w:pStyle w:val="Title"/>
      </w:pPr>
      <w:r>
        <w:t>Group &amp; Organization Booking</w:t>
      </w:r>
    </w:p>
    <w:p>
      <w:pPr>
        <w:spacing w:after="280"/>
      </w:pPr>
      <w:r>
        <w:rPr>
          <w:b/>
          <w:color w:val="5B6168"/>
          <w:sz w:val="30"/>
        </w:rPr>
        <w:t>Reserve first. Assign people later.</w:t>
      </w:r>
    </w:p>
    <w:tbl>
      <w:tblPr>
        <w:tblW w:type="auto" w:w="0"/>
        <w:jc w:val="center"/>
        <w:tblLook w:firstColumn="1" w:firstRow="1" w:lastColumn="0" w:lastRow="0" w:noHBand="0" w:noVBand="1" w:val="04A0"/>
      </w:tblPr>
      <w:tblGrid>
        <w:gridCol w:w="10080"/>
      </w:tblGrid>
      <w:tr>
        <w:tc>
          <w:tcPr>
            <w:tcW w:type="dxa" w:w="10080"/>
            <w:shd w:fill="F5F6F2"/>
            <w:tcMar>
              <w:top w:w="180" w:type="dxa"/>
              <w:start w:w="200" w:type="dxa"/>
              <w:bottom w:w="180" w:type="dxa"/>
              <w:end w:w="200" w:type="dxa"/>
            </w:tcMar>
          </w:tcPr>
          <w:p>
            <w:r>
              <w:rPr>
                <w:b/>
              </w:rPr>
              <w:t xml:space="preserve">Proposal in one sentence: </w:t>
            </w:r>
            <w:r>
              <w:t>Allow a church, company, school, university, NGO, sponsor, family, or other group to reserve multiple attendee slots under one booking, then assign or reassign the actual attendees later without losing capacity control or ticket integrity.</w:t>
            </w:r>
          </w:p>
        </w:tc>
      </w:tr>
    </w:tbl>
    <w:p>
      <w:pPr>
        <w:pStyle w:val="Heading1"/>
      </w:pPr>
      <w:r>
        <w:t>1. Executive Summary</w:t>
      </w:r>
    </w:p>
    <w:p>
      <w:r>
        <w:t>EventSlot currently treats registration primarily as an individual action. That works for many events, but it does not fully reflect how conferences and institutional events operate in practice. Organizations often know how many people they want to send before they know exactly who those people will be.</w:t>
      </w:r>
    </w:p>
    <w:p>
      <w:r>
        <w:t>This proposal introduces a flexible Group &amp; Organization Booking model built around a Ticket Pool. An organization can reserve a defined number of attendee slots, manage those slots over time, and assign individual attendees when names become available. The event organizer retains visibility, capacity control, policy control, and override permissions throughout the lifecycle.</w:t>
      </w:r>
    </w:p>
    <w:p>
      <w:pPr>
        <w:pStyle w:val="Heading1"/>
      </w:pPr>
      <w:r>
        <w:t>2. The Problem We Are Solving</w:t>
      </w:r>
    </w:p>
    <w:p>
      <w:pPr>
        <w:pStyle w:val="ListBullet"/>
        <w:spacing w:after="60"/>
      </w:pPr>
      <w:r>
        <w:t>A church may want 20 conference places today but only know the final 20 attendees next week.</w:t>
      </w:r>
    </w:p>
    <w:p>
      <w:pPr>
        <w:pStyle w:val="ListBullet"/>
        <w:spacing w:after="60"/>
      </w:pPr>
      <w:r>
        <w:t>A company may pay for 40 delegates in one transaction while staff assignments are still changing.</w:t>
      </w:r>
    </w:p>
    <w:p>
      <w:pPr>
        <w:pStyle w:val="ListBullet"/>
        <w:spacing w:after="60"/>
      </w:pPr>
      <w:r>
        <w:t>A school or university may reserve a delegation before confirming individual student names.</w:t>
      </w:r>
    </w:p>
    <w:p>
      <w:pPr>
        <w:pStyle w:val="ListBullet"/>
        <w:spacing w:after="60"/>
      </w:pPr>
      <w:r>
        <w:t>A sponsor may receive complimentary passes that need to be assigned later.</w:t>
      </w:r>
    </w:p>
    <w:p>
      <w:pPr>
        <w:pStyle w:val="ListBullet"/>
        <w:spacing w:after="60"/>
      </w:pPr>
      <w:r>
        <w:t>A team member may be replaced shortly before the event without changing the organization’s total allocation.</w:t>
      </w:r>
    </w:p>
    <w:p>
      <w:r>
        <w:t>Forcing these scenarios through individual-only registration creates duplicate work, invented placeholder names, fragmented payments, poor reporting, and unreliable capacity planning.</w:t>
      </w:r>
    </w:p>
    <w:p>
      <w:pPr>
        <w:pStyle w:val="Heading1"/>
      </w:pPr>
      <w:r>
        <w:t>3. Product Principle</w:t>
      </w:r>
    </w:p>
    <w:p>
      <w:r>
        <w:rPr>
          <w:b/>
          <w:sz w:val="28"/>
        </w:rPr>
        <w:t>Reserve → Allocate → Reassign → Attend → Check in</w:t>
      </w:r>
    </w:p>
    <w:p>
      <w:r>
        <w:t>The booking owner, the ticket allocation, the named attendee, and the person who actually checks in are related concepts, but they are not always the same person. EventSlot should model them separately.</w:t>
      </w:r>
    </w:p>
    <w:tbl>
      <w:tblPr>
        <w:tblStyle w:val="TableGrid"/>
        <w:tblW w:type="auto" w:w="0"/>
        <w:jc w:val="center"/>
        <w:tblLook w:firstColumn="1" w:firstRow="1" w:lastColumn="0" w:lastRow="0" w:noHBand="0" w:noVBand="1" w:val="04A0"/>
      </w:tblPr>
      <w:tblGrid>
        <w:gridCol w:w="5040"/>
        <w:gridCol w:w="5040"/>
      </w:tblGrid>
      <w:tr>
        <w:tc>
          <w:tcPr>
            <w:tcW w:type="dxa" w:w="5040"/>
            <w:shd w:fill="0A0A0A"/>
          </w:tcPr>
          <w:p>
            <w:r>
              <w:rPr>
                <w:b/>
                <w:color w:val="FFFFFF"/>
              </w:rPr>
              <w:t>Concept</w:t>
            </w:r>
          </w:p>
        </w:tc>
        <w:tc>
          <w:tcPr>
            <w:tcW w:type="dxa" w:w="5040"/>
            <w:shd w:fill="0A0A0A"/>
          </w:tcPr>
          <w:p>
            <w:r>
              <w:rPr>
                <w:b/>
                <w:color w:val="FFFFFF"/>
              </w:rPr>
              <w:t>Meaning</w:t>
            </w:r>
          </w:p>
        </w:tc>
      </w:tr>
      <w:tr>
        <w:tc>
          <w:tcPr>
            <w:tcW w:type="dxa" w:w="5040"/>
            <w:tcMar>
              <w:top w:w="110" w:type="dxa"/>
              <w:start w:w="120" w:type="dxa"/>
              <w:bottom w:w="110" w:type="dxa"/>
              <w:end w:w="120" w:type="dxa"/>
            </w:tcMar>
          </w:tcPr>
          <w:p>
            <w:r>
              <w:t>Booking owner</w:t>
            </w:r>
          </w:p>
        </w:tc>
        <w:tc>
          <w:tcPr>
            <w:tcW w:type="dxa" w:w="5040"/>
            <w:tcMar>
              <w:top w:w="110" w:type="dxa"/>
              <w:start w:w="120" w:type="dxa"/>
              <w:bottom w:w="110" w:type="dxa"/>
              <w:end w:w="120" w:type="dxa"/>
            </w:tcMar>
          </w:tcPr>
          <w:p>
            <w:r>
              <w:t>The person or organization responsible for the booking or purchase.</w:t>
            </w:r>
          </w:p>
        </w:tc>
      </w:tr>
      <w:tr>
        <w:tc>
          <w:tcPr>
            <w:tcW w:type="dxa" w:w="5040"/>
            <w:tcMar>
              <w:top w:w="110" w:type="dxa"/>
              <w:start w:w="120" w:type="dxa"/>
              <w:bottom w:w="110" w:type="dxa"/>
              <w:end w:w="120" w:type="dxa"/>
            </w:tcMar>
          </w:tcPr>
          <w:p>
            <w:r>
              <w:t>Ticket pool</w:t>
            </w:r>
          </w:p>
        </w:tc>
        <w:tc>
          <w:tcPr>
            <w:tcW w:type="dxa" w:w="5040"/>
            <w:tcMar>
              <w:top w:w="110" w:type="dxa"/>
              <w:start w:w="120" w:type="dxa"/>
              <w:bottom w:w="110" w:type="dxa"/>
              <w:end w:w="120" w:type="dxa"/>
            </w:tcMar>
          </w:tcPr>
          <w:p>
            <w:r>
              <w:t>The total number of attendee slots reserved under the booking.</w:t>
            </w:r>
          </w:p>
        </w:tc>
      </w:tr>
      <w:tr>
        <w:tc>
          <w:tcPr>
            <w:tcW w:type="dxa" w:w="5040"/>
            <w:tcMar>
              <w:top w:w="110" w:type="dxa"/>
              <w:start w:w="120" w:type="dxa"/>
              <w:bottom w:w="110" w:type="dxa"/>
              <w:end w:w="120" w:type="dxa"/>
            </w:tcMar>
          </w:tcPr>
          <w:p>
            <w:r>
              <w:t>Ticket slot</w:t>
            </w:r>
          </w:p>
        </w:tc>
        <w:tc>
          <w:tcPr>
            <w:tcW w:type="dxa" w:w="5040"/>
            <w:tcMar>
              <w:top w:w="110" w:type="dxa"/>
              <w:start w:w="120" w:type="dxa"/>
              <w:bottom w:w="110" w:type="dxa"/>
              <w:end w:w="120" w:type="dxa"/>
            </w:tcMar>
          </w:tcPr>
          <w:p>
            <w:r>
              <w:t>One place within the pool that may be assigned to one attendee.</w:t>
            </w:r>
          </w:p>
        </w:tc>
      </w:tr>
      <w:tr>
        <w:tc>
          <w:tcPr>
            <w:tcW w:type="dxa" w:w="5040"/>
            <w:tcMar>
              <w:top w:w="110" w:type="dxa"/>
              <w:start w:w="120" w:type="dxa"/>
              <w:bottom w:w="110" w:type="dxa"/>
              <w:end w:w="120" w:type="dxa"/>
            </w:tcMar>
          </w:tcPr>
          <w:p>
            <w:r>
              <w:t>Attendee</w:t>
            </w:r>
          </w:p>
        </w:tc>
        <w:tc>
          <w:tcPr>
            <w:tcW w:type="dxa" w:w="5040"/>
            <w:tcMar>
              <w:top w:w="110" w:type="dxa"/>
              <w:start w:w="120" w:type="dxa"/>
              <w:bottom w:w="110" w:type="dxa"/>
              <w:end w:w="120" w:type="dxa"/>
            </w:tcMar>
          </w:tcPr>
          <w:p>
            <w:r>
              <w:t>The person currently assigned to a ticket slot.</w:t>
            </w:r>
          </w:p>
        </w:tc>
      </w:tr>
      <w:tr>
        <w:tc>
          <w:tcPr>
            <w:tcW w:type="dxa" w:w="5040"/>
            <w:tcMar>
              <w:top w:w="110" w:type="dxa"/>
              <w:start w:w="120" w:type="dxa"/>
              <w:bottom w:w="110" w:type="dxa"/>
              <w:end w:w="120" w:type="dxa"/>
            </w:tcMar>
          </w:tcPr>
          <w:p>
            <w:r>
              <w:t>Check-in record</w:t>
            </w:r>
          </w:p>
        </w:tc>
        <w:tc>
          <w:tcPr>
            <w:tcW w:type="dxa" w:w="5040"/>
            <w:tcMar>
              <w:top w:w="110" w:type="dxa"/>
              <w:start w:w="120" w:type="dxa"/>
              <w:bottom w:w="110" w:type="dxa"/>
              <w:end w:w="120" w:type="dxa"/>
            </w:tcMar>
          </w:tcPr>
          <w:p>
            <w:r>
              <w:t>Evidence that a valid assigned ticket was used for entry.</w:t>
            </w:r>
          </w:p>
        </w:tc>
      </w:tr>
    </w:tbl>
    <w:p>
      <w:pPr>
        <w:pStyle w:val="Heading1"/>
      </w:pPr>
      <w:r>
        <w:t>4. Registration Entry Point</w:t>
      </w:r>
    </w:p>
    <w:p>
      <w:r>
        <w:t>For events where group registration is enabled, the choice should appear directly on the event registration page before the detailed form begins.</w:t>
      </w:r>
    </w:p>
    <w:tbl>
      <w:tblPr>
        <w:tblW w:type="auto" w:w="0"/>
        <w:jc w:val="center"/>
        <w:tblLook w:firstColumn="1" w:firstRow="1" w:lastColumn="0" w:lastRow="0" w:noHBand="0" w:noVBand="1" w:val="04A0"/>
      </w:tblPr>
      <w:tblGrid>
        <w:gridCol w:w="5040"/>
        <w:gridCol w:w="5040"/>
      </w:tblGrid>
      <w:tr>
        <w:tc>
          <w:tcPr>
            <w:tcW w:type="dxa" w:w="5040"/>
            <w:shd w:fill="F5F6F2"/>
            <w:tcMar>
              <w:top w:w="180" w:type="dxa"/>
              <w:start w:w="180" w:type="dxa"/>
              <w:bottom w:w="180" w:type="dxa"/>
              <w:end w:w="180" w:type="dxa"/>
            </w:tcMar>
          </w:tcPr>
          <w:p>
            <w:r>
              <w:rPr>
                <w:b/>
                <w:sz w:val="24"/>
              </w:rPr>
              <w:t>Register as Individual</w:t>
              <w:br/>
            </w:r>
            <w:r>
              <w:t>Register one attendee using the normal attendee registration flow.</w:t>
            </w:r>
          </w:p>
        </w:tc>
        <w:tc>
          <w:tcPr>
            <w:tcW w:type="dxa" w:w="5040"/>
            <w:shd w:fill="C8F55A"/>
            <w:tcMar>
              <w:top w:w="180" w:type="dxa"/>
              <w:start w:w="180" w:type="dxa"/>
              <w:bottom w:w="180" w:type="dxa"/>
              <w:end w:w="180" w:type="dxa"/>
            </w:tcMar>
          </w:tcPr>
          <w:p>
            <w:r>
              <w:rPr>
                <w:b/>
                <w:sz w:val="24"/>
              </w:rPr>
              <w:t>Register as Organization / Group</w:t>
              <w:br/>
            </w:r>
            <w:r>
              <w:t>Reserve multiple attendee slots for a church, company, school, NGO, university, sponsor, family, team, or other group.</w:t>
            </w:r>
          </w:p>
        </w:tc>
      </w:tr>
    </w:tbl>
    <w:p>
      <w:r>
        <w:t>The event organizer should control which registration modes are available:</w:t>
      </w:r>
    </w:p>
    <w:p>
      <w:pPr>
        <w:pStyle w:val="ListBullet"/>
        <w:spacing w:after="60"/>
      </w:pPr>
      <w:r>
        <w:t>Individual only</w:t>
      </w:r>
    </w:p>
    <w:p>
      <w:pPr>
        <w:pStyle w:val="ListBullet"/>
        <w:spacing w:after="60"/>
      </w:pPr>
      <w:r>
        <w:t>Organization / Group only</w:t>
      </w:r>
    </w:p>
    <w:p>
      <w:pPr>
        <w:pStyle w:val="ListBullet"/>
        <w:spacing w:after="60"/>
      </w:pPr>
      <w:r>
        <w:t>Both individual and organization/group registration</w:t>
      </w:r>
    </w:p>
    <w:p>
      <w:pPr>
        <w:pStyle w:val="Heading1"/>
      </w:pPr>
      <w:r>
        <w:t>5. Organization / Group Registration Flow</w:t>
      </w:r>
    </w:p>
    <w:p>
      <w:pPr>
        <w:pStyle w:val="ListNumber"/>
        <w:spacing w:after="60"/>
      </w:pPr>
      <w:r>
        <w:t>Organization / group name</w:t>
      </w:r>
    </w:p>
    <w:p>
      <w:pPr>
        <w:pStyle w:val="ListNumber"/>
        <w:spacing w:after="60"/>
      </w:pPr>
      <w:r>
        <w:t>Organization type (Church, Company, School, University, NGO, Sponsor, Family/Team, Other)</w:t>
      </w:r>
    </w:p>
    <w:p>
      <w:pPr>
        <w:pStyle w:val="ListNumber"/>
        <w:spacing w:after="60"/>
      </w:pPr>
      <w:r>
        <w:t>Primary contact person</w:t>
      </w:r>
    </w:p>
    <w:p>
      <w:pPr>
        <w:pStyle w:val="ListNumber"/>
        <w:spacing w:after="60"/>
      </w:pPr>
      <w:r>
        <w:t>Primary contact email and phone</w:t>
      </w:r>
    </w:p>
    <w:p>
      <w:pPr>
        <w:pStyle w:val="ListNumber"/>
        <w:spacing w:after="60"/>
      </w:pPr>
      <w:r>
        <w:t>Number of attendee slots required</w:t>
      </w:r>
    </w:p>
    <w:p>
      <w:pPr>
        <w:pStyle w:val="ListNumber"/>
        <w:spacing w:after="60"/>
      </w:pPr>
      <w:r>
        <w:t>Optional attendee names if already known</w:t>
      </w:r>
    </w:p>
    <w:p>
      <w:pPr>
        <w:pStyle w:val="ListNumber"/>
        <w:spacing w:after="60"/>
      </w:pPr>
      <w:r>
        <w:t>Future: billing details, invoice details, payment method, tax/business information where applicable</w:t>
      </w:r>
    </w:p>
    <w:p>
      <w:r>
        <w:t>Example outcome: City of Refuge Assembly requests 20 places. EventSlot creates a booking called “City of Refuge Assembly — 20 Reserved Attendee Slots.” The 20 places are secured immediately even if zero attendee names have been entered yet.</w:t>
      </w:r>
    </w:p>
    <w:p>
      <w:pPr>
        <w:pStyle w:val="Heading1"/>
      </w:pPr>
      <w:r>
        <w:t>6. The Ticket Pool</w:t>
      </w:r>
    </w:p>
    <w:p>
      <w:r>
        <w:t>The Ticket Pool is the core capability behind the feature. It should not be designed only for churches or companies; it should be a reusable allocation model that supports any group booking scenario.</w:t>
      </w:r>
    </w:p>
    <w:p>
      <w:pPr>
        <w:pStyle w:val="ListBullet"/>
        <w:spacing w:after="60"/>
      </w:pPr>
      <w:r>
        <w:t>Shows total reserved slots, assigned slots, unassigned slots, cancelled slots, and checked-in attendees.</w:t>
      </w:r>
    </w:p>
    <w:p>
      <w:pPr>
        <w:pStyle w:val="ListBullet"/>
        <w:spacing w:after="60"/>
      </w:pPr>
      <w:r>
        <w:t>Allows permitted users to assign an attendee to an empty slot.</w:t>
      </w:r>
    </w:p>
    <w:p>
      <w:pPr>
        <w:pStyle w:val="ListBullet"/>
        <w:spacing w:after="60"/>
      </w:pPr>
      <w:r>
        <w:t>Allows an attendee to be replaced before the reassignment deadline, subject to organizer policy.</w:t>
      </w:r>
    </w:p>
    <w:p>
      <w:pPr>
        <w:pStyle w:val="ListBullet"/>
        <w:spacing w:after="60"/>
      </w:pPr>
      <w:r>
        <w:t>Maintains a history of who was assigned previously for auditability.</w:t>
      </w:r>
    </w:p>
    <w:p>
      <w:pPr>
        <w:pStyle w:val="ListBullet"/>
        <w:spacing w:after="60"/>
      </w:pPr>
      <w:r>
        <w:t>Keeps event capacity accurate even when attendee names have not yet been supplied.</w:t>
      </w:r>
    </w:p>
    <w:p>
      <w:pPr>
        <w:pStyle w:val="ListBullet"/>
        <w:spacing w:after="60"/>
      </w:pPr>
      <w:r>
        <w:t>Supports complimentary, sponsored, paid, or manually approved allocations in future.</w:t>
      </w:r>
    </w:p>
    <w:p>
      <w:pPr>
        <w:pStyle w:val="Heading2"/>
      </w:pPr>
      <w:r>
        <w:t>Example organization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A0A0A"/>
          </w:tcPr>
          <w:p>
            <w:r>
              <w:rPr>
                <w:b/>
                <w:color w:val="FFFFFF"/>
              </w:rPr>
              <w:t>Organization</w:t>
            </w:r>
          </w:p>
        </w:tc>
        <w:tc>
          <w:tcPr>
            <w:tcW w:type="dxa" w:w="2520"/>
            <w:shd w:fill="0A0A0A"/>
          </w:tcPr>
          <w:p>
            <w:r>
              <w:rPr>
                <w:b/>
                <w:color w:val="FFFFFF"/>
              </w:rPr>
              <w:t>Reserved</w:t>
            </w:r>
          </w:p>
        </w:tc>
        <w:tc>
          <w:tcPr>
            <w:tcW w:type="dxa" w:w="2520"/>
            <w:shd w:fill="0A0A0A"/>
          </w:tcPr>
          <w:p>
            <w:r>
              <w:rPr>
                <w:b/>
                <w:color w:val="FFFFFF"/>
              </w:rPr>
              <w:t>Assigned</w:t>
            </w:r>
          </w:p>
        </w:tc>
        <w:tc>
          <w:tcPr>
            <w:tcW w:type="dxa" w:w="2520"/>
            <w:shd w:fill="0A0A0A"/>
          </w:tcPr>
          <w:p>
            <w:r>
              <w:rPr>
                <w:b/>
                <w:color w:val="FFFFFF"/>
              </w:rPr>
              <w:t>Checked In</w:t>
            </w:r>
          </w:p>
        </w:tc>
      </w:tr>
      <w:tr>
        <w:tc>
          <w:tcPr>
            <w:tcW w:type="dxa" w:w="2520"/>
            <w:tcMar>
              <w:top w:w="110" w:type="dxa"/>
              <w:start w:w="120" w:type="dxa"/>
              <w:bottom w:w="110" w:type="dxa"/>
              <w:end w:w="120" w:type="dxa"/>
            </w:tcMar>
          </w:tcPr>
          <w:p>
            <w:r>
              <w:t>City of Refuge Assembly</w:t>
            </w:r>
          </w:p>
        </w:tc>
        <w:tc>
          <w:tcPr>
            <w:tcW w:type="dxa" w:w="2520"/>
            <w:tcMar>
              <w:top w:w="110" w:type="dxa"/>
              <w:start w:w="120" w:type="dxa"/>
              <w:bottom w:w="110" w:type="dxa"/>
              <w:end w:w="120" w:type="dxa"/>
            </w:tcMar>
          </w:tcPr>
          <w:p>
            <w:r>
              <w:t>20</w:t>
            </w:r>
          </w:p>
        </w:tc>
        <w:tc>
          <w:tcPr>
            <w:tcW w:type="dxa" w:w="2520"/>
            <w:tcMar>
              <w:top w:w="110" w:type="dxa"/>
              <w:start w:w="120" w:type="dxa"/>
              <w:bottom w:w="110" w:type="dxa"/>
              <w:end w:w="120" w:type="dxa"/>
            </w:tcMar>
          </w:tcPr>
          <w:p>
            <w:r>
              <w:t>17</w:t>
            </w:r>
          </w:p>
        </w:tc>
        <w:tc>
          <w:tcPr>
            <w:tcW w:type="dxa" w:w="2520"/>
            <w:tcMar>
              <w:top w:w="110" w:type="dxa"/>
              <w:start w:w="120" w:type="dxa"/>
              <w:bottom w:w="110" w:type="dxa"/>
              <w:end w:w="120" w:type="dxa"/>
            </w:tcMar>
          </w:tcPr>
          <w:p>
            <w:r>
              <w:t>14</w:t>
            </w:r>
          </w:p>
        </w:tc>
      </w:tr>
      <w:tr>
        <w:tc>
          <w:tcPr>
            <w:tcW w:type="dxa" w:w="2520"/>
            <w:tcMar>
              <w:top w:w="110" w:type="dxa"/>
              <w:start w:w="120" w:type="dxa"/>
              <w:bottom w:w="110" w:type="dxa"/>
              <w:end w:w="120" w:type="dxa"/>
            </w:tcMar>
          </w:tcPr>
          <w:p>
            <w:r>
              <w:t>ABC University</w:t>
            </w:r>
          </w:p>
        </w:tc>
        <w:tc>
          <w:tcPr>
            <w:tcW w:type="dxa" w:w="2520"/>
            <w:tcMar>
              <w:top w:w="110" w:type="dxa"/>
              <w:start w:w="120" w:type="dxa"/>
              <w:bottom w:w="110" w:type="dxa"/>
              <w:end w:w="120" w:type="dxa"/>
            </w:tcMar>
          </w:tcPr>
          <w:p>
            <w:r>
              <w:t>50</w:t>
            </w:r>
          </w:p>
        </w:tc>
        <w:tc>
          <w:tcPr>
            <w:tcW w:type="dxa" w:w="2520"/>
            <w:tcMar>
              <w:top w:w="110" w:type="dxa"/>
              <w:start w:w="120" w:type="dxa"/>
              <w:bottom w:w="110" w:type="dxa"/>
              <w:end w:w="120" w:type="dxa"/>
            </w:tcMar>
          </w:tcPr>
          <w:p>
            <w:r>
              <w:t>50</w:t>
            </w:r>
          </w:p>
        </w:tc>
        <w:tc>
          <w:tcPr>
            <w:tcW w:type="dxa" w:w="2520"/>
            <w:tcMar>
              <w:top w:w="110" w:type="dxa"/>
              <w:start w:w="120" w:type="dxa"/>
              <w:bottom w:w="110" w:type="dxa"/>
              <w:end w:w="120" w:type="dxa"/>
            </w:tcMar>
          </w:tcPr>
          <w:p>
            <w:r>
              <w:t>46</w:t>
            </w:r>
          </w:p>
        </w:tc>
      </w:tr>
      <w:tr>
        <w:tc>
          <w:tcPr>
            <w:tcW w:type="dxa" w:w="2520"/>
            <w:tcMar>
              <w:top w:w="110" w:type="dxa"/>
              <w:start w:w="120" w:type="dxa"/>
              <w:bottom w:w="110" w:type="dxa"/>
              <w:end w:w="120" w:type="dxa"/>
            </w:tcMar>
          </w:tcPr>
          <w:p>
            <w:r>
              <w:t>Hope Foundation</w:t>
            </w:r>
          </w:p>
        </w:tc>
        <w:tc>
          <w:tcPr>
            <w:tcW w:type="dxa" w:w="2520"/>
            <w:tcMar>
              <w:top w:w="110" w:type="dxa"/>
              <w:start w:w="120" w:type="dxa"/>
              <w:bottom w:w="110" w:type="dxa"/>
              <w:end w:w="120" w:type="dxa"/>
            </w:tcMar>
          </w:tcPr>
          <w:p>
            <w:r>
              <w:t>10</w:t>
            </w:r>
          </w:p>
        </w:tc>
        <w:tc>
          <w:tcPr>
            <w:tcW w:type="dxa" w:w="2520"/>
            <w:tcMar>
              <w:top w:w="110" w:type="dxa"/>
              <w:start w:w="120" w:type="dxa"/>
              <w:bottom w:w="110" w:type="dxa"/>
              <w:end w:w="120" w:type="dxa"/>
            </w:tcMar>
          </w:tcPr>
          <w:p>
            <w:r>
              <w:t>8</w:t>
            </w:r>
          </w:p>
        </w:tc>
        <w:tc>
          <w:tcPr>
            <w:tcW w:type="dxa" w:w="2520"/>
            <w:tcMar>
              <w:top w:w="110" w:type="dxa"/>
              <w:start w:w="120" w:type="dxa"/>
              <w:bottom w:w="110" w:type="dxa"/>
              <w:end w:w="120" w:type="dxa"/>
            </w:tcMar>
          </w:tcPr>
          <w:p>
            <w:r>
              <w:t>7</w:t>
            </w:r>
          </w:p>
        </w:tc>
      </w:tr>
    </w:tbl>
    <w:p>
      <w:pPr>
        <w:pStyle w:val="Heading1"/>
      </w:pPr>
      <w:r>
        <w:t>7. Organization Manager Experience</w:t>
      </w:r>
    </w:p>
    <w:p>
      <w:r>
        <w:t>The event organizer should not have to manually manage every organization’s attendees. Each organization booking should have an Organization Manager or Primary Contact who can manage only that organization’s allocation.</w:t>
      </w:r>
    </w:p>
    <w:p>
      <w:pPr>
        <w:pStyle w:val="ListBullet"/>
        <w:spacing w:after="60"/>
      </w:pPr>
      <w:r>
        <w:t>View reserved, assigned and unassigned places.</w:t>
      </w:r>
    </w:p>
    <w:p>
      <w:pPr>
        <w:pStyle w:val="ListBullet"/>
        <w:spacing w:after="60"/>
      </w:pPr>
      <w:r>
        <w:t>Add or edit attendees within the organization’s allocation.</w:t>
      </w:r>
    </w:p>
    <w:p>
      <w:pPr>
        <w:pStyle w:val="ListBullet"/>
        <w:spacing w:after="60"/>
      </w:pPr>
      <w:r>
        <w:t>Replace an attendee when reassignment is permitted.</w:t>
      </w:r>
    </w:p>
    <w:p>
      <w:pPr>
        <w:pStyle w:val="ListBullet"/>
        <w:spacing w:after="60"/>
      </w:pPr>
      <w:r>
        <w:t>Send or resend assigned tickets.</w:t>
      </w:r>
    </w:p>
    <w:p>
      <w:pPr>
        <w:pStyle w:val="ListBullet"/>
        <w:spacing w:after="60"/>
      </w:pPr>
      <w:r>
        <w:t>Download the organization’s ticket list.</w:t>
      </w:r>
    </w:p>
    <w:p>
      <w:pPr>
        <w:pStyle w:val="ListBullet"/>
        <w:spacing w:after="60"/>
      </w:pPr>
      <w:r>
        <w:t>View basic attendance/check-in status for their own delegation, if the event organizer enables this permission.</w:t>
      </w:r>
    </w:p>
    <w:p>
      <w:pPr>
        <w:pStyle w:val="ListBullet"/>
        <w:spacing w:after="60"/>
      </w:pPr>
      <w:r>
        <w:t>Use a private allocation link so members can claim available organization slots themselves.</w:t>
      </w:r>
    </w:p>
    <w:p>
      <w:r>
        <w:t>The main event organizer retains full visibility and override authority, including the ability to lock changes, revoke an allocation, reduce or increase the pool, or reassign a ticket when necessary.</w:t>
      </w:r>
    </w:p>
    <w:p>
      <w:pPr>
        <w:pStyle w:val="Heading1"/>
      </w:pPr>
      <w:r>
        <w:t>8. Two Ways to Fill the Allocation</w:t>
      </w:r>
    </w:p>
    <w:p>
      <w:pPr>
        <w:pStyle w:val="Heading2"/>
      </w:pPr>
      <w:r>
        <w:t>A. Manual allocation</w:t>
      </w:r>
    </w:p>
    <w:p>
      <w:r>
        <w:t>The Organization Manager enters attendee details directly into each available ticket slot. This is best when the organization already has its attendee list.</w:t>
      </w:r>
    </w:p>
    <w:p>
      <w:pPr>
        <w:pStyle w:val="Heading2"/>
      </w:pPr>
      <w:r>
        <w:t>B. Private self-allocation link</w:t>
      </w:r>
    </w:p>
    <w:p>
      <w:r>
        <w:t>EventSlot generates a private registration link tied to the organization’s Ticket Pool. Members open the link and claim one of the available organization slots themselves. When the allocation is full, the link stops accepting new claims unless a slot becomes available again.</w:t>
      </w:r>
    </w:p>
    <w:p>
      <w:pPr>
        <w:pStyle w:val="Heading1"/>
      </w:pPr>
      <w:r>
        <w:t>9. Ticket Identity, Ownership &amp; Reassignment</w:t>
      </w:r>
    </w:p>
    <w:p>
      <w:r>
        <w:t>A group booking should never result in permanently valid generic tickets that can continue to work after an attendee has been removed. Ticket validity must follow the current assignment in EventSlot.</w:t>
      </w:r>
    </w:p>
    <w:p>
      <w:pPr>
        <w:pStyle w:val="ListBullet"/>
        <w:spacing w:after="60"/>
      </w:pPr>
      <w:r>
        <w:t>When a ticket slot is assigned, the ticket should show the attendee’s name and the organization/group name.</w:t>
      </w:r>
    </w:p>
    <w:p>
      <w:pPr>
        <w:pStyle w:val="ListBullet"/>
        <w:spacing w:after="60"/>
      </w:pPr>
      <w:r>
        <w:t>A recommended display is: “Attendee: Mary Wanjiku” and “Organization: City of Refuge Assembly.”</w:t>
      </w:r>
    </w:p>
    <w:p>
      <w:pPr>
        <w:pStyle w:val="ListBullet"/>
        <w:spacing w:after="60"/>
      </w:pPr>
      <w:r>
        <w:t>If the attendee is removed or replaced, the previous ticket token/QR must be revoked immediately.</w:t>
      </w:r>
    </w:p>
    <w:p>
      <w:pPr>
        <w:pStyle w:val="ListBullet"/>
        <w:spacing w:after="60"/>
      </w:pPr>
      <w:r>
        <w:t>The replacement attendee receives a newly issued valid ticket token/QR.</w:t>
      </w:r>
    </w:p>
    <w:p>
      <w:pPr>
        <w:pStyle w:val="ListBullet"/>
        <w:spacing w:after="60"/>
      </w:pPr>
      <w:r>
        <w:t>A previously downloaded screenshot or PDF of the revoked ticket must fail verification when scanned.</w:t>
      </w:r>
    </w:p>
    <w:p>
      <w:pPr>
        <w:pStyle w:val="ListBullet"/>
        <w:spacing w:after="60"/>
      </w:pPr>
      <w:r>
        <w:t>Reassignment should be controlled by an organizer-defined deadline or policy.</w:t>
      </w:r>
    </w:p>
    <w:p>
      <w:pPr>
        <w:pStyle w:val="ListBullet"/>
        <w:spacing w:after="60"/>
      </w:pPr>
      <w:r>
        <w:t>Every reassignment should be recorded in an audit trail.</w:t>
      </w:r>
    </w:p>
    <w:p>
      <w:pPr>
        <w:pStyle w:val="Heading1"/>
      </w:pPr>
      <w:r>
        <w:t>10. Capacity &amp; Check-In Rules</w:t>
      </w:r>
    </w:p>
    <w:p>
      <w:pPr>
        <w:pStyle w:val="ListBullet"/>
        <w:spacing w:after="60"/>
      </w:pPr>
      <w:r>
        <w:t>Reserved organization slots count against the event’s capacity even before attendee names are assigned.</w:t>
      </w:r>
    </w:p>
    <w:p>
      <w:pPr>
        <w:pStyle w:val="ListBullet"/>
        <w:spacing w:after="60"/>
      </w:pPr>
      <w:r>
        <w:t>An assigned ticket can check in only when its current token is active and its event/day entitlement is valid.</w:t>
      </w:r>
    </w:p>
    <w:p>
      <w:pPr>
        <w:pStyle w:val="ListBullet"/>
        <w:spacing w:after="60"/>
      </w:pPr>
      <w:r>
        <w:t>A ticket revoked because of reassignment, cancellation, refund, fraud review, or organizer action must be rejected at check-in.</w:t>
      </w:r>
    </w:p>
    <w:p>
      <w:pPr>
        <w:pStyle w:val="ListBullet"/>
        <w:spacing w:after="60"/>
      </w:pPr>
      <w:r>
        <w:t>The organizer dashboard should distinguish Reserved, Assigned, Checked In, Cancelled and Unused capacity.</w:t>
      </w:r>
    </w:p>
    <w:p>
      <w:pPr>
        <w:pStyle w:val="ListBullet"/>
        <w:spacing w:after="60"/>
      </w:pPr>
      <w:r>
        <w:t>Check-in should record the actual attendee and the organization/group relationship where applicable.</w:t>
      </w:r>
    </w:p>
    <w:p>
      <w:pPr>
        <w:pStyle w:val="Heading1"/>
      </w:pPr>
      <w:r>
        <w:t>11. Future Payment Integration</w:t>
      </w:r>
    </w:p>
    <w:p>
      <w:r>
        <w:t>When paid event registration is restored, Group &amp; Organization Booking should support one consolidated purchase or invoice for multiple attendee slots rather than forcing one payment per person.</w:t>
      </w:r>
    </w:p>
    <w:p>
      <w:pPr>
        <w:pStyle w:val="ListBullet"/>
        <w:spacing w:after="60"/>
      </w:pPr>
      <w:r>
        <w:t>Example: 20 tickets × KES 2,500 = KES 50,000 in one organization transaction.</w:t>
      </w:r>
    </w:p>
    <w:p>
      <w:pPr>
        <w:pStyle w:val="ListBullet"/>
        <w:spacing w:after="60"/>
      </w:pPr>
      <w:r>
        <w:t>The payment secures the Ticket Pool; attendee assignment can happen later.</w:t>
      </w:r>
    </w:p>
    <w:p>
      <w:pPr>
        <w:pStyle w:val="ListBullet"/>
        <w:spacing w:after="60"/>
      </w:pPr>
      <w:r>
        <w:t>The booking should support receipts/invoices and a clear link between the payment, organization, ticket pool and assigned attendees.</w:t>
      </w:r>
    </w:p>
    <w:p>
      <w:pPr>
        <w:pStyle w:val="ListBullet"/>
        <w:spacing w:after="60"/>
      </w:pPr>
      <w:r>
        <w:t>Future pricing rules could support group discounts, sponsor allocations, complimentary blocks, table packages and corporate rates.</w:t>
      </w:r>
    </w:p>
    <w:p>
      <w:pPr>
        <w:pStyle w:val="Heading1"/>
      </w:pPr>
      <w:r>
        <w:t>12. Organizer Dashboard Requirements</w:t>
      </w:r>
    </w:p>
    <w:p>
      <w:r>
        <w:t>The organizer is the primary operational user, so this feature should make the event easier to control rather than merely making registration easier for attendees.</w:t>
      </w:r>
    </w:p>
    <w:p>
      <w:pPr>
        <w:pStyle w:val="ListBullet"/>
        <w:spacing w:after="60"/>
      </w:pPr>
      <w:r>
        <w:t>Separate Individuals and Organizations/Groups while still providing one combined attendee total.</w:t>
      </w:r>
    </w:p>
    <w:p>
      <w:pPr>
        <w:pStyle w:val="ListBullet"/>
        <w:spacing w:after="60"/>
      </w:pPr>
      <w:r>
        <w:t>Show each organization’s reserved, assigned, unassigned, checked-in and cancelled counts.</w:t>
      </w:r>
    </w:p>
    <w:p>
      <w:pPr>
        <w:pStyle w:val="ListBullet"/>
        <w:spacing w:after="60"/>
      </w:pPr>
      <w:r>
        <w:t>Filter attendee lists by organization/group.</w:t>
      </w:r>
    </w:p>
    <w:p>
      <w:pPr>
        <w:pStyle w:val="ListBullet"/>
        <w:spacing w:after="60"/>
      </w:pPr>
      <w:r>
        <w:t>Search by attendee name, organization name, booking reference, email, phone or ticket code.</w:t>
      </w:r>
    </w:p>
    <w:p>
      <w:pPr>
        <w:pStyle w:val="ListBullet"/>
        <w:spacing w:after="60"/>
      </w:pPr>
      <w:r>
        <w:t>Control reassignment deadline and whether organization managers may see check-in status.</w:t>
      </w:r>
    </w:p>
    <w:p>
      <w:pPr>
        <w:pStyle w:val="ListBullet"/>
        <w:spacing w:after="60"/>
      </w:pPr>
      <w:r>
        <w:t>Export organization allocations and attendee lists.</w:t>
      </w:r>
    </w:p>
    <w:p>
      <w:pPr>
        <w:pStyle w:val="ListBullet"/>
        <w:spacing w:after="60"/>
      </w:pPr>
      <w:r>
        <w:t>See an audit trail for assignment, reassignment, revocation and check-in actions.</w:t>
      </w:r>
    </w:p>
    <w:p>
      <w:pPr>
        <w:pStyle w:val="Heading1"/>
      </w:pPr>
      <w:r>
        <w:t>13. Roles &amp; Permissions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A0A0A"/>
          </w:tcPr>
          <w:p>
            <w:r>
              <w:rPr>
                <w:b/>
                <w:color w:val="FFFFFF"/>
              </w:rPr>
              <w:t>Action</w:t>
            </w:r>
          </w:p>
        </w:tc>
        <w:tc>
          <w:tcPr>
            <w:tcW w:type="dxa" w:w="2520"/>
            <w:shd w:fill="0A0A0A"/>
          </w:tcPr>
          <w:p>
            <w:r>
              <w:rPr>
                <w:b/>
                <w:color w:val="FFFFFF"/>
              </w:rPr>
              <w:t>Event Organizer</w:t>
            </w:r>
          </w:p>
        </w:tc>
        <w:tc>
          <w:tcPr>
            <w:tcW w:type="dxa" w:w="2520"/>
            <w:shd w:fill="0A0A0A"/>
          </w:tcPr>
          <w:p>
            <w:r>
              <w:rPr>
                <w:b/>
                <w:color w:val="FFFFFF"/>
              </w:rPr>
              <w:t>Organization Manager</w:t>
            </w:r>
          </w:p>
        </w:tc>
        <w:tc>
          <w:tcPr>
            <w:tcW w:type="dxa" w:w="2520"/>
            <w:shd w:fill="0A0A0A"/>
          </w:tcPr>
          <w:p>
            <w:r>
              <w:rPr>
                <w:b/>
                <w:color w:val="FFFFFF"/>
              </w:rPr>
              <w:t>Attendee</w:t>
            </w:r>
          </w:p>
        </w:tc>
      </w:tr>
      <w:tr>
        <w:tc>
          <w:tcPr>
            <w:tcW w:type="dxa" w:w="2520"/>
            <w:tcMar>
              <w:top w:w="110" w:type="dxa"/>
              <w:start w:w="120" w:type="dxa"/>
              <w:bottom w:w="110" w:type="dxa"/>
              <w:end w:w="120" w:type="dxa"/>
            </w:tcMar>
          </w:tcPr>
          <w:p>
            <w:r>
              <w:t>View full event allocations</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Own organization only</w:t>
            </w:r>
          </w:p>
        </w:tc>
        <w:tc>
          <w:tcPr>
            <w:tcW w:type="dxa" w:w="2520"/>
            <w:tcMar>
              <w:top w:w="110" w:type="dxa"/>
              <w:start w:w="120" w:type="dxa"/>
              <w:bottom w:w="110" w:type="dxa"/>
              <w:end w:w="120" w:type="dxa"/>
            </w:tcMar>
          </w:tcPr>
          <w:p>
            <w:r>
              <w:t>No</w:t>
            </w:r>
          </w:p>
        </w:tc>
      </w:tr>
      <w:tr>
        <w:tc>
          <w:tcPr>
            <w:tcW w:type="dxa" w:w="2520"/>
            <w:tcMar>
              <w:top w:w="110" w:type="dxa"/>
              <w:start w:w="120" w:type="dxa"/>
              <w:bottom w:w="110" w:type="dxa"/>
              <w:end w:w="120" w:type="dxa"/>
            </w:tcMar>
          </w:tcPr>
          <w:p>
            <w:r>
              <w:t>Assign organization ticket</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Yes, if allowed</w:t>
            </w:r>
          </w:p>
        </w:tc>
        <w:tc>
          <w:tcPr>
            <w:tcW w:type="dxa" w:w="2520"/>
            <w:tcMar>
              <w:top w:w="110" w:type="dxa"/>
              <w:start w:w="120" w:type="dxa"/>
              <w:bottom w:w="110" w:type="dxa"/>
              <w:end w:w="120" w:type="dxa"/>
            </w:tcMar>
          </w:tcPr>
          <w:p>
            <w:r>
              <w:t>Self-claim only</w:t>
            </w:r>
          </w:p>
        </w:tc>
      </w:tr>
      <w:tr>
        <w:tc>
          <w:tcPr>
            <w:tcW w:type="dxa" w:w="2520"/>
            <w:tcMar>
              <w:top w:w="110" w:type="dxa"/>
              <w:start w:w="120" w:type="dxa"/>
              <w:bottom w:w="110" w:type="dxa"/>
              <w:end w:w="120" w:type="dxa"/>
            </w:tcMar>
          </w:tcPr>
          <w:p>
            <w:r>
              <w:t>Replace attendee</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Yes, before lock</w:t>
            </w:r>
          </w:p>
        </w:tc>
        <w:tc>
          <w:tcPr>
            <w:tcW w:type="dxa" w:w="2520"/>
            <w:tcMar>
              <w:top w:w="110" w:type="dxa"/>
              <w:start w:w="120" w:type="dxa"/>
              <w:bottom w:w="110" w:type="dxa"/>
              <w:end w:w="120" w:type="dxa"/>
            </w:tcMar>
          </w:tcPr>
          <w:p>
            <w:r>
              <w:t>No</w:t>
            </w:r>
          </w:p>
        </w:tc>
      </w:tr>
      <w:tr>
        <w:tc>
          <w:tcPr>
            <w:tcW w:type="dxa" w:w="2520"/>
            <w:tcMar>
              <w:top w:w="110" w:type="dxa"/>
              <w:start w:w="120" w:type="dxa"/>
              <w:bottom w:w="110" w:type="dxa"/>
              <w:end w:w="120" w:type="dxa"/>
            </w:tcMar>
          </w:tcPr>
          <w:p>
            <w:r>
              <w:t>Change pool size</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Request / no</w:t>
            </w:r>
          </w:p>
        </w:tc>
        <w:tc>
          <w:tcPr>
            <w:tcW w:type="dxa" w:w="2520"/>
            <w:tcMar>
              <w:top w:w="110" w:type="dxa"/>
              <w:start w:w="120" w:type="dxa"/>
              <w:bottom w:w="110" w:type="dxa"/>
              <w:end w:w="120" w:type="dxa"/>
            </w:tcMar>
          </w:tcPr>
          <w:p>
            <w:r>
              <w:t>No</w:t>
            </w:r>
          </w:p>
        </w:tc>
      </w:tr>
      <w:tr>
        <w:tc>
          <w:tcPr>
            <w:tcW w:type="dxa" w:w="2520"/>
            <w:tcMar>
              <w:top w:w="110" w:type="dxa"/>
              <w:start w:w="120" w:type="dxa"/>
              <w:bottom w:w="110" w:type="dxa"/>
              <w:end w:w="120" w:type="dxa"/>
            </w:tcMar>
          </w:tcPr>
          <w:p>
            <w:r>
              <w:t>Revoke ticket</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Limited / policy based</w:t>
            </w:r>
          </w:p>
        </w:tc>
        <w:tc>
          <w:tcPr>
            <w:tcW w:type="dxa" w:w="2520"/>
            <w:tcMar>
              <w:top w:w="110" w:type="dxa"/>
              <w:start w:w="120" w:type="dxa"/>
              <w:bottom w:w="110" w:type="dxa"/>
              <w:end w:w="120" w:type="dxa"/>
            </w:tcMar>
          </w:tcPr>
          <w:p>
            <w:r>
              <w:t>No</w:t>
            </w:r>
          </w:p>
        </w:tc>
      </w:tr>
      <w:tr>
        <w:tc>
          <w:tcPr>
            <w:tcW w:type="dxa" w:w="2520"/>
            <w:tcMar>
              <w:top w:w="110" w:type="dxa"/>
              <w:start w:w="120" w:type="dxa"/>
              <w:bottom w:w="110" w:type="dxa"/>
              <w:end w:w="120" w:type="dxa"/>
            </w:tcMar>
          </w:tcPr>
          <w:p>
            <w:r>
              <w:t>View check-in status</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Optional, own group</w:t>
            </w:r>
          </w:p>
        </w:tc>
        <w:tc>
          <w:tcPr>
            <w:tcW w:type="dxa" w:w="2520"/>
            <w:tcMar>
              <w:top w:w="110" w:type="dxa"/>
              <w:start w:w="120" w:type="dxa"/>
              <w:bottom w:w="110" w:type="dxa"/>
              <w:end w:w="120" w:type="dxa"/>
            </w:tcMar>
          </w:tcPr>
          <w:p>
            <w:r>
              <w:t>Own ticket only</w:t>
            </w:r>
          </w:p>
        </w:tc>
      </w:tr>
      <w:tr>
        <w:tc>
          <w:tcPr>
            <w:tcW w:type="dxa" w:w="2520"/>
            <w:tcMar>
              <w:top w:w="110" w:type="dxa"/>
              <w:start w:w="120" w:type="dxa"/>
              <w:bottom w:w="110" w:type="dxa"/>
              <w:end w:w="120" w:type="dxa"/>
            </w:tcMar>
          </w:tcPr>
          <w:p>
            <w:r>
              <w:t>Set reassignment deadline</w:t>
            </w:r>
          </w:p>
        </w:tc>
        <w:tc>
          <w:tcPr>
            <w:tcW w:type="dxa" w:w="2520"/>
            <w:tcMar>
              <w:top w:w="110" w:type="dxa"/>
              <w:start w:w="120" w:type="dxa"/>
              <w:bottom w:w="110" w:type="dxa"/>
              <w:end w:w="120" w:type="dxa"/>
            </w:tcMar>
          </w:tcPr>
          <w:p>
            <w:r>
              <w:t>Yes</w:t>
            </w:r>
          </w:p>
        </w:tc>
        <w:tc>
          <w:tcPr>
            <w:tcW w:type="dxa" w:w="2520"/>
            <w:tcMar>
              <w:top w:w="110" w:type="dxa"/>
              <w:start w:w="120" w:type="dxa"/>
              <w:bottom w:w="110" w:type="dxa"/>
              <w:end w:w="120" w:type="dxa"/>
            </w:tcMar>
          </w:tcPr>
          <w:p>
            <w:r>
              <w:t>No</w:t>
            </w:r>
          </w:p>
        </w:tc>
        <w:tc>
          <w:tcPr>
            <w:tcW w:type="dxa" w:w="2520"/>
            <w:tcMar>
              <w:top w:w="110" w:type="dxa"/>
              <w:start w:w="120" w:type="dxa"/>
              <w:bottom w:w="110" w:type="dxa"/>
              <w:end w:w="120" w:type="dxa"/>
            </w:tcMar>
          </w:tcPr>
          <w:p>
            <w:r>
              <w:t>No</w:t>
            </w:r>
          </w:p>
        </w:tc>
      </w:tr>
    </w:tbl>
    <w:p>
      <w:pPr>
        <w:pStyle w:val="Heading1"/>
      </w:pPr>
      <w:r>
        <w:t>14. Important Edge Cases</w:t>
      </w:r>
    </w:p>
    <w:p>
      <w:pPr>
        <w:pStyle w:val="ListBullet"/>
        <w:spacing w:after="60"/>
      </w:pPr>
      <w:r>
        <w:t>The organization reserves more slots than it eventually needs.</w:t>
      </w:r>
    </w:p>
    <w:p>
      <w:pPr>
        <w:pStyle w:val="ListBullet"/>
        <w:spacing w:after="60"/>
      </w:pPr>
      <w:r>
        <w:t>The organization attempts to assign more people than its allocation.</w:t>
      </w:r>
    </w:p>
    <w:p>
      <w:pPr>
        <w:pStyle w:val="ListBullet"/>
        <w:spacing w:after="60"/>
      </w:pPr>
      <w:r>
        <w:t>An attendee is removed after receiving a downloadable ticket.</w:t>
      </w:r>
    </w:p>
    <w:p>
      <w:pPr>
        <w:pStyle w:val="ListBullet"/>
        <w:spacing w:after="60"/>
      </w:pPr>
      <w:r>
        <w:t>An attendee is replaced after the reassignment deadline.</w:t>
      </w:r>
    </w:p>
    <w:p>
      <w:pPr>
        <w:pStyle w:val="ListBullet"/>
        <w:spacing w:after="60"/>
      </w:pPr>
      <w:r>
        <w:t>A private organization link is shared outside the intended group.</w:t>
      </w:r>
    </w:p>
    <w:p>
      <w:pPr>
        <w:pStyle w:val="ListBullet"/>
        <w:spacing w:after="60"/>
      </w:pPr>
      <w:r>
        <w:t>The event reaches global capacity while some organization slots remain unassigned.</w:t>
      </w:r>
    </w:p>
    <w:p>
      <w:pPr>
        <w:pStyle w:val="ListBullet"/>
        <w:spacing w:after="60"/>
      </w:pPr>
      <w:r>
        <w:t>An organization booking is cancelled or refunded.</w:t>
      </w:r>
    </w:p>
    <w:p>
      <w:pPr>
        <w:pStyle w:val="ListBullet"/>
        <w:spacing w:after="60"/>
      </w:pPr>
      <w:r>
        <w:t>A ticket was already checked in before someone tries to reassign it.</w:t>
      </w:r>
    </w:p>
    <w:p>
      <w:pPr>
        <w:pStyle w:val="ListBullet"/>
        <w:spacing w:after="60"/>
      </w:pPr>
      <w:r>
        <w:t>A multi-day ticket has already been used on Day 1 but the attendee changes before Day 2.</w:t>
      </w:r>
    </w:p>
    <w:p>
      <w:pPr>
        <w:pStyle w:val="Heading1"/>
      </w:pPr>
      <w:r>
        <w:t>15. Recommended Delivery Phases</w:t>
      </w:r>
    </w:p>
    <w:p>
      <w:pPr>
        <w:pStyle w:val="Heading2"/>
      </w:pPr>
      <w:r>
        <w:t>Phase 1 — Core MVP</w:t>
      </w:r>
    </w:p>
    <w:p>
      <w:pPr>
        <w:pStyle w:val="ListBullet"/>
        <w:spacing w:after="60"/>
      </w:pPr>
      <w:r>
        <w:t>Organizer setting: Individual / Organization / Both</w:t>
      </w:r>
    </w:p>
    <w:p>
      <w:pPr>
        <w:pStyle w:val="ListBullet"/>
        <w:spacing w:after="60"/>
      </w:pPr>
      <w:r>
        <w:t>Organization registration form</w:t>
      </w:r>
    </w:p>
    <w:p>
      <w:pPr>
        <w:pStyle w:val="ListBullet"/>
        <w:spacing w:after="60"/>
      </w:pPr>
      <w:r>
        <w:t>Ticket Pool creation</w:t>
      </w:r>
    </w:p>
    <w:p>
      <w:pPr>
        <w:pStyle w:val="ListBullet"/>
        <w:spacing w:after="60"/>
      </w:pPr>
      <w:r>
        <w:t>Organization Manager access</w:t>
      </w:r>
    </w:p>
    <w:p>
      <w:pPr>
        <w:pStyle w:val="ListBullet"/>
        <w:spacing w:after="60"/>
      </w:pPr>
      <w:r>
        <w:t>Manual attendee allocation</w:t>
      </w:r>
    </w:p>
    <w:p>
      <w:pPr>
        <w:pStyle w:val="ListBullet"/>
        <w:spacing w:after="60"/>
      </w:pPr>
      <w:r>
        <w:t>Assigned ticket showing attendee + organization</w:t>
      </w:r>
    </w:p>
    <w:p>
      <w:pPr>
        <w:pStyle w:val="ListBullet"/>
        <w:spacing w:after="60"/>
      </w:pPr>
      <w:r>
        <w:t>Reassignment with automatic QR/token revocation</w:t>
      </w:r>
    </w:p>
    <w:p>
      <w:pPr>
        <w:pStyle w:val="ListBullet"/>
        <w:spacing w:after="60"/>
      </w:pPr>
      <w:r>
        <w:t>Organizer allocation dashboard and audit history</w:t>
      </w:r>
    </w:p>
    <w:p>
      <w:pPr>
        <w:pStyle w:val="Heading2"/>
      </w:pPr>
      <w:r>
        <w:t>Phase 2 — Scale &amp; Convenience</w:t>
      </w:r>
    </w:p>
    <w:p>
      <w:pPr>
        <w:pStyle w:val="ListBullet"/>
        <w:spacing w:after="60"/>
      </w:pPr>
      <w:r>
        <w:t>Private self-allocation links</w:t>
      </w:r>
    </w:p>
    <w:p>
      <w:pPr>
        <w:pStyle w:val="ListBullet"/>
        <w:spacing w:after="60"/>
      </w:pPr>
      <w:r>
        <w:t>Bulk attendee import</w:t>
      </w:r>
    </w:p>
    <w:p>
      <w:pPr>
        <w:pStyle w:val="ListBullet"/>
        <w:spacing w:after="60"/>
      </w:pPr>
      <w:r>
        <w:t>Delegation exports</w:t>
      </w:r>
    </w:p>
    <w:p>
      <w:pPr>
        <w:pStyle w:val="ListBullet"/>
        <w:spacing w:after="60"/>
      </w:pPr>
      <w:r>
        <w:t>Organization manager attendance view</w:t>
      </w:r>
    </w:p>
    <w:p>
      <w:pPr>
        <w:pStyle w:val="ListBullet"/>
        <w:spacing w:after="60"/>
      </w:pPr>
      <w:r>
        <w:t>Advanced notifications and reminders</w:t>
      </w:r>
    </w:p>
    <w:p>
      <w:pPr>
        <w:pStyle w:val="ListBullet"/>
        <w:spacing w:after="60"/>
      </w:pPr>
      <w:r>
        <w:t>Multi-day allocation and day-level attendance analytics</w:t>
      </w:r>
    </w:p>
    <w:p>
      <w:pPr>
        <w:pStyle w:val="Heading2"/>
      </w:pPr>
      <w:r>
        <w:t>Phase 3 — Commercial Expansion</w:t>
      </w:r>
    </w:p>
    <w:p>
      <w:pPr>
        <w:pStyle w:val="ListBullet"/>
        <w:spacing w:after="60"/>
      </w:pPr>
      <w:r>
        <w:t>Consolidated group payments</w:t>
      </w:r>
    </w:p>
    <w:p>
      <w:pPr>
        <w:pStyle w:val="ListBullet"/>
        <w:spacing w:after="60"/>
      </w:pPr>
      <w:r>
        <w:t>Invoices and receipts</w:t>
      </w:r>
    </w:p>
    <w:p>
      <w:pPr>
        <w:pStyle w:val="ListBullet"/>
        <w:spacing w:after="60"/>
      </w:pPr>
      <w:r>
        <w:t>Group pricing / discounts</w:t>
      </w:r>
    </w:p>
    <w:p>
      <w:pPr>
        <w:pStyle w:val="ListBullet"/>
        <w:spacing w:after="60"/>
      </w:pPr>
      <w:r>
        <w:t>Sponsor and complimentary blocks</w:t>
      </w:r>
    </w:p>
    <w:p>
      <w:pPr>
        <w:pStyle w:val="ListBullet"/>
        <w:spacing w:after="60"/>
      </w:pPr>
      <w:r>
        <w:t>Corporate packages and table bookings</w:t>
      </w:r>
    </w:p>
    <w:p>
      <w:pPr>
        <w:pStyle w:val="Heading1"/>
      </w:pPr>
      <w:r>
        <w:t>16. Core Acceptance Criteria</w:t>
      </w:r>
    </w:p>
    <w:p>
      <w:pPr>
        <w:pStyle w:val="ListBullet"/>
        <w:spacing w:after="60"/>
      </w:pPr>
      <w:r>
        <w:t>An organizer can enable or disable group/organization registration per event.</w:t>
      </w:r>
    </w:p>
    <w:p>
      <w:pPr>
        <w:pStyle w:val="ListBullet"/>
        <w:spacing w:after="60"/>
      </w:pPr>
      <w:r>
        <w:t>A group can reserve N attendee slots without providing N names.</w:t>
      </w:r>
    </w:p>
    <w:p>
      <w:pPr>
        <w:pStyle w:val="ListBullet"/>
        <w:spacing w:after="60"/>
      </w:pPr>
      <w:r>
        <w:t>The reserved slots immediately affect event capacity.</w:t>
      </w:r>
    </w:p>
    <w:p>
      <w:pPr>
        <w:pStyle w:val="ListBullet"/>
        <w:spacing w:after="60"/>
      </w:pPr>
      <w:r>
        <w:t>An authorized organization manager can assign attendees without seeing other organizations’ data.</w:t>
      </w:r>
    </w:p>
    <w:p>
      <w:pPr>
        <w:pStyle w:val="ListBullet"/>
        <w:spacing w:after="60"/>
      </w:pPr>
      <w:r>
        <w:t>A reassigned attendee’s old ticket becomes invalid immediately.</w:t>
      </w:r>
    </w:p>
    <w:p>
      <w:pPr>
        <w:pStyle w:val="ListBullet"/>
        <w:spacing w:after="60"/>
      </w:pPr>
      <w:r>
        <w:t>The current assigned attendee receives a valid replacement ticket.</w:t>
      </w:r>
    </w:p>
    <w:p>
      <w:pPr>
        <w:pStyle w:val="ListBullet"/>
        <w:spacing w:after="60"/>
      </w:pPr>
      <w:r>
        <w:t>Tickets visibly identify the organization/group when applicable.</w:t>
      </w:r>
    </w:p>
    <w:p>
      <w:pPr>
        <w:pStyle w:val="ListBullet"/>
        <w:spacing w:after="60"/>
      </w:pPr>
      <w:r>
        <w:t>The organizer can see total reserved, assigned, unassigned and checked-in counts.</w:t>
      </w:r>
    </w:p>
    <w:p>
      <w:pPr>
        <w:pStyle w:val="ListBullet"/>
        <w:spacing w:after="60"/>
      </w:pPr>
      <w:r>
        <w:t>All assignment and reassignment actions are auditable.</w:t>
      </w:r>
    </w:p>
    <w:p>
      <w:pPr>
        <w:pStyle w:val="Heading1"/>
      </w:pPr>
      <w:r>
        <w:t>17. Why This Matters for EventSlot</w:t>
      </w:r>
    </w:p>
    <w:p>
      <w:r>
        <w:t>This feature moves EventSlot beyond a one-person registration form and toward real conference operations. It addresses the practical behavior of churches, companies, schools, universities, NGOs, sponsors, teams and families while preserving organizer control.</w:t>
      </w:r>
    </w:p>
    <w:tbl>
      <w:tblPr>
        <w:tblW w:type="auto" w:w="0"/>
        <w:tblLook w:firstColumn="1" w:firstRow="1" w:lastColumn="0" w:lastRow="0" w:noHBand="0" w:noVBand="1" w:val="04A0"/>
      </w:tblPr>
      <w:tblGrid>
        <w:gridCol w:w="10080"/>
      </w:tblGrid>
      <w:tr>
        <w:tc>
          <w:tcPr>
            <w:tcW w:type="dxa" w:w="10080"/>
            <w:shd w:fill="C8F55A"/>
            <w:tcMar>
              <w:top w:w="190" w:type="dxa"/>
              <w:start w:w="210" w:type="dxa"/>
              <w:bottom w:w="190" w:type="dxa"/>
              <w:end w:w="210" w:type="dxa"/>
            </w:tcMar>
          </w:tcPr>
          <w:p>
            <w:r>
              <w:rPr>
                <w:b/>
              </w:rPr>
              <w:t xml:space="preserve">Core product statement: </w:t>
            </w:r>
            <w:r>
              <w:t>A serious event platform must understand the difference between who reserves capacity, who owns the booking, who is currently assigned to attend, and who actually checks in.</w:t>
            </w:r>
          </w:p>
        </w:tc>
      </w:tr>
    </w:tbl>
    <w:p>
      <w:pPr>
        <w:pStyle w:val="Heading1"/>
      </w:pPr>
      <w:r>
        <w:t>18. Decisions to Finalize Before Development</w:t>
      </w:r>
    </w:p>
    <w:p>
      <w:pPr>
        <w:pStyle w:val="ListBullet"/>
        <w:spacing w:after="60"/>
      </w:pPr>
      <w:r>
        <w:t>Should an organization manager be required to have an EventSlot account, or should secure magic-link access be allowed?</w:t>
      </w:r>
    </w:p>
    <w:p>
      <w:pPr>
        <w:pStyle w:val="ListBullet"/>
        <w:spacing w:after="60"/>
      </w:pPr>
      <w:r>
        <w:t>Can an organization reduce its reserved quantity without organizer approval?</w:t>
      </w:r>
    </w:p>
    <w:p>
      <w:pPr>
        <w:pStyle w:val="ListBullet"/>
        <w:spacing w:after="60"/>
      </w:pPr>
      <w:r>
        <w:t>What should happen to unused organization slots at a defined release deadline?</w:t>
      </w:r>
    </w:p>
    <w:p>
      <w:pPr>
        <w:pStyle w:val="ListBullet"/>
        <w:spacing w:after="60"/>
      </w:pPr>
      <w:r>
        <w:t>Should attendee reassignment be allowed after a ticket has been used on one day of a multi-day event?</w:t>
      </w:r>
    </w:p>
    <w:p>
      <w:pPr>
        <w:pStyle w:val="ListBullet"/>
        <w:spacing w:after="60"/>
      </w:pPr>
      <w:r>
        <w:t>Which organization details should be visible on the attendee ticket versus organizer-only records?</w:t>
      </w:r>
    </w:p>
    <w:p>
      <w:pPr>
        <w:pStyle w:val="ListBullet"/>
        <w:spacing w:after="60"/>
      </w:pPr>
      <w:r>
        <w:t>Should organization managers be able to export or view attendance status for their delegation by default or only when the organizer enables it?</w:t>
      </w:r>
    </w:p>
    <w:p>
      <w:pPr>
        <w:spacing w:before="320"/>
        <w:jc w:val="center"/>
      </w:pPr>
      <w:r>
        <w:rPr>
          <w:b/>
          <w:color w:val="5B6168"/>
          <w:sz w:val="17"/>
        </w:rPr>
        <w:t>END OF PROPOSAL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168"/>
        <w:sz w:val="16"/>
      </w:rPr>
      <w:t>EventSlot — Smarter Events. Better Experiences.  |  Internal Product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168"/>
        <w:sz w:val="16"/>
      </w:rPr>
      <w:t>EVENTSLOT  •  PRODUCT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A0A0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A0A0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5B61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