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Calibri" w:hAnsi="Calibri"/>
          <w:b/>
          <w:i w:val="0"/>
          <w:color w:val="2E74B5"/>
          <w:sz w:val="20"/>
        </w:rPr>
        <w:t>INVESTOR VALUATION MEMO</w:t>
      </w:r>
    </w:p>
    <w:p>
      <w:pPr>
        <w:spacing w:before="160" w:after="80" w:line="264" w:lineRule="auto"/>
      </w:pPr>
      <w:r>
        <w:rPr>
          <w:rFonts w:ascii="Calibri" w:hAnsi="Calibri"/>
          <w:b/>
          <w:i w:val="0"/>
          <w:color w:val="000000"/>
          <w:sz w:val="48"/>
        </w:rPr>
        <w:t>EventSlot Valuation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4B5563"/>
          <w:sz w:val="25"/>
        </w:rPr>
        <w:t>Realistic pre-money valuation recommendation for an early-stage investor conversation.</w:t>
      </w:r>
    </w:p>
    <w:p>
      <w:pPr>
        <w:spacing w:before="0" w:after="40" w:line="264" w:lineRule="auto"/>
      </w:pPr>
      <w:r>
        <w:rPr>
          <w:rFonts w:ascii="Calibri" w:hAnsi="Calibri"/>
          <w:b w:val="0"/>
          <w:i w:val="0"/>
          <w:color w:val="4B5563"/>
          <w:sz w:val="21"/>
        </w:rPr>
        <w:t>Prepared for: EventSlot founder/investor presentation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4B5563"/>
          <w:sz w:val="21"/>
        </w:rPr>
        <w:t>Valuation date: July 26,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D3EA"/>
          <w:left w:val="single" w:sz="6" w:space="0" w:color="BFD3EA"/>
          <w:bottom w:val="single" w:sz="6" w:space="0" w:color="BFD3EA"/>
          <w:right w:val="single" w:sz="6" w:space="0" w:color="BFD3EA"/>
          <w:insideH w:val="single" w:sz="6" w:space="0" w:color="BFD3EA"/>
          <w:insideV w:val="single" w:sz="6" w:space="0" w:color="BFD3EA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Recommended investor positioning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22"/>
              </w:rPr>
              <w:t>Use KES 130 million (approximately USD 1.0 million) as the recommended pre-money valuation. A fair negotiation range is KES 90 million to KES 180 million (approximately USD 0.7 million to USD 1.4 million). This is a fundraising valuation for an early product with real usage, not an audited fair-market valuation.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1. Executive Summary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EventSlot is still too early to value primarily on revenue. The platform has a working product, live usage, and a clear monetization path, but current paid revenue is not yet large enough to support a classic ARR multiple valuation. The realistic investor case is therefore based on a blended early-stage method: current traction, product completeness, monetization readiness, and discounted market benchmarks.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Recommended pre-money valuation: KES 130M, approximately USD 1.0M.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Defensible range: KES 90M-180M, approximately USD 0.7M-1.4M.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Suggested raise: KES 20M-35M, approximately USD 154k-269k.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At KES 130M pre-money, a KES 25M raise implies KES 155M post-money and about 16.1% investor ownership.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The strongest investor story is not current revenue; it is EventSlot becoming event operations infrastructure for organisers in Kenya and nearby markets.</w:t>
      </w: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2. Current Platform Snapshot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The following operating snapshot was pulled from the live EventSlot database on July 26,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120"/>
        <w:gridCol w:w="3120"/>
        <w:gridCol w:w="3120"/>
      </w:tblGrid>
      <w:tr>
        <w:tc>
          <w:tcPr>
            <w:tcW w:type="dxa" w:w="244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Metric</w:t>
            </w:r>
          </w:p>
        </w:tc>
        <w:tc>
          <w:tcPr>
            <w:tcW w:type="dxa" w:w="2016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Current value</w:t>
            </w:r>
          </w:p>
        </w:tc>
        <w:tc>
          <w:tcPr>
            <w:tcW w:type="dxa" w:w="4896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Valuation meaning</w:t>
            </w:r>
          </w:p>
        </w:tc>
      </w:tr>
      <w:tr>
        <w:tc>
          <w:tcPr>
            <w:tcW w:type="dxa" w:w="244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Registered users</w:t>
            </w:r>
          </w:p>
        </w:tc>
        <w:tc>
          <w:tcPr>
            <w:tcW w:type="dxa" w:w="20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117</w:t>
            </w:r>
          </w:p>
        </w:tc>
        <w:tc>
          <w:tcPr>
            <w:tcW w:type="dxa" w:w="48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Early user base; enough to show usage, not yet venture-scale distribution.</w:t>
            </w:r>
          </w:p>
        </w:tc>
      </w:tr>
      <w:tr>
        <w:tc>
          <w:tcPr>
            <w:tcW w:type="dxa" w:w="244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Total events created</w:t>
            </w:r>
          </w:p>
        </w:tc>
        <w:tc>
          <w:tcPr>
            <w:tcW w:type="dxa" w:w="20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46</w:t>
            </w:r>
          </w:p>
        </w:tc>
        <w:tc>
          <w:tcPr>
            <w:tcW w:type="dxa" w:w="48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Shows repeatable event creation behavior.</w:t>
            </w:r>
          </w:p>
        </w:tc>
      </w:tr>
      <w:tr>
        <w:tc>
          <w:tcPr>
            <w:tcW w:type="dxa" w:w="244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Total registrations processed</w:t>
            </w:r>
          </w:p>
        </w:tc>
        <w:tc>
          <w:tcPr>
            <w:tcW w:type="dxa" w:w="20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480</w:t>
            </w:r>
          </w:p>
        </w:tc>
        <w:tc>
          <w:tcPr>
            <w:tcW w:type="dxa" w:w="48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Confirms real attendee workflow usage.</w:t>
            </w:r>
          </w:p>
        </w:tc>
      </w:tr>
      <w:tr>
        <w:tc>
          <w:tcPr>
            <w:tcW w:type="dxa" w:w="244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Active events</w:t>
            </w:r>
          </w:p>
        </w:tc>
        <w:tc>
          <w:tcPr>
            <w:tcW w:type="dxa" w:w="20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15</w:t>
            </w:r>
          </w:p>
        </w:tc>
        <w:tc>
          <w:tcPr>
            <w:tcW w:type="dxa" w:w="48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Current platform activity and near-term proof of engagement.</w:t>
            </w:r>
          </w:p>
        </w:tc>
      </w:tr>
      <w:tr>
        <w:tc>
          <w:tcPr>
            <w:tcW w:type="dxa" w:w="244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Organizers with events</w:t>
            </w:r>
          </w:p>
        </w:tc>
        <w:tc>
          <w:tcPr>
            <w:tcW w:type="dxa" w:w="20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27</w:t>
            </w:r>
          </w:p>
        </w:tc>
        <w:tc>
          <w:tcPr>
            <w:tcW w:type="dxa" w:w="48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Core monetizable organizer base.</w:t>
            </w:r>
          </w:p>
        </w:tc>
      </w:tr>
      <w:tr>
        <w:tc>
          <w:tcPr>
            <w:tcW w:type="dxa" w:w="244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Active event organizers</w:t>
            </w:r>
          </w:p>
        </w:tc>
        <w:tc>
          <w:tcPr>
            <w:tcW w:type="dxa" w:w="20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9</w:t>
            </w:r>
          </w:p>
        </w:tc>
        <w:tc>
          <w:tcPr>
            <w:tcW w:type="dxa" w:w="48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Users most likely to convert first.</w:t>
            </w:r>
          </w:p>
        </w:tc>
      </w:tr>
      <w:tr>
        <w:tc>
          <w:tcPr>
            <w:tcW w:type="dxa" w:w="244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Organizers with 30+ confirmed attendees on an event</w:t>
            </w:r>
          </w:p>
        </w:tc>
        <w:tc>
          <w:tcPr>
            <w:tcW w:type="dxa" w:w="20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4</w:t>
            </w:r>
          </w:p>
        </w:tc>
        <w:tc>
          <w:tcPr>
            <w:tcW w:type="dxa" w:w="48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Early high-intent group for Pro/business features.</w:t>
            </w:r>
          </w:p>
        </w:tc>
      </w:tr>
      <w:tr>
        <w:tc>
          <w:tcPr>
            <w:tcW w:type="dxa" w:w="244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Plan mix</w:t>
            </w:r>
          </w:p>
        </w:tc>
        <w:tc>
          <w:tcPr>
            <w:tcW w:type="dxa" w:w="20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116 free, 1 Pro</w:t>
            </w:r>
          </w:p>
        </w:tc>
        <w:tc>
          <w:tcPr>
            <w:tcW w:type="dxa" w:w="48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Revenue model is just beginning.</w:t>
            </w:r>
          </w:p>
        </w:tc>
      </w:tr>
      <w:tr>
        <w:tc>
          <w:tcPr>
            <w:tcW w:type="dxa" w:w="244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Recorded report-download revenue</w:t>
            </w:r>
          </w:p>
        </w:tc>
        <w:tc>
          <w:tcPr>
            <w:tcW w:type="dxa" w:w="20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KES 0</w:t>
            </w:r>
          </w:p>
        </w:tc>
        <w:tc>
          <w:tcPr>
            <w:tcW w:type="dxa" w:w="48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Revenue multiple should not be the main method yet.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3. Why The Valuation Should Not Be Overstated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A revenue-based SaaS valuation currently produces a very low number because EventSlot has only one recorded Pro user and no recorded report-download revenue. If an investor values only today's paid ARR, the number will not reflect the product built, the usage already happening, or the monetization options now available.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Method</w:t>
            </w:r>
          </w:p>
        </w:tc>
        <w:tc>
          <w:tcPr>
            <w:tcW w:type="dxa" w:w="36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Calculation</w:t>
            </w:r>
          </w:p>
        </w:tc>
        <w:tc>
          <w:tcPr>
            <w:tcW w:type="dxa" w:w="172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Result</w:t>
            </w:r>
          </w:p>
        </w:tc>
        <w:tc>
          <w:tcPr>
            <w:tcW w:type="dxa" w:w="18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Interpretation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Current ARR multiple</w:t>
            </w:r>
          </w:p>
        </w:tc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1 Pro user x KES 2,600/month x 12 = KES 31,200 ARR; 3.2x ARR</w:t>
            </w:r>
          </w:p>
        </w:tc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KES 99,840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Not useful as the main valuation because revenue has barely launched.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Pure user multiple</w:t>
            </w:r>
          </w:p>
        </w:tc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117 users x an arbitrary user value</w:t>
            </w:r>
          </w:p>
        </w:tc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Not recommended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Too easy to manipulate and weak for investors.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Fundraising valuation</w:t>
            </w:r>
          </w:p>
        </w:tc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Product + traction + monetization readiness + market discount</w:t>
            </w:r>
          </w:p>
        </w:tc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KES 90M-180M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Best fit for this stage.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4. Valuation Calculation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The recommended figure is calculated by triangulating three lenses instead of relying on one fragile formula.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6"/>
        </w:rPr>
        <w:t>A. Early-Stage Benchmark Anchor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Recent market references show that seed software valuations can be much higher than EventSlot should ask for today. Carta-linked benchmarks published in July 2026 cited software seed valuations around USD 24.3M median, while non-AI B2B SaaS seed expectations are often discussed closer to USD 14M-16M pre-money. EventSlot is earlier than that: it has a live product and usage, but not yet meaningful recurring revenue.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F4D78"/>
          <w:sz w:val="22"/>
        </w:rPr>
        <w:t>Practical adjustment used: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11827"/>
          <w:sz w:val="22"/>
        </w:rPr>
        <w:t>Start with a conservative early software benchmark of USD 3.0M-5.0M, below headline seed medians because EventSlot is pre-seed/early seed.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11827"/>
          <w:sz w:val="22"/>
        </w:rPr>
        <w:t>Apply a 35%-45% readiness factor for live product, real workflows, and early organizer usage.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11827"/>
          <w:sz w:val="22"/>
        </w:rPr>
        <w:t>Apply a further 55%-65% discount for limited revenue, small current user base, and Kenya/emerging-market fundraising liquidity.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111827"/>
          <w:sz w:val="22"/>
        </w:rPr>
        <w:t>Midpoint math: USD 4.0M x 40% x 62.5% = USD 1.0M, or about KES 130M at KES 130/USD.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6"/>
        </w:rPr>
        <w:t>B. Product And Traction Scorecard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Factor</w:t>
            </w:r>
          </w:p>
        </w:tc>
        <w:tc>
          <w:tcPr>
            <w:tcW w:type="dxa" w:w="108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Weight</w:t>
            </w:r>
          </w:p>
        </w:tc>
        <w:tc>
          <w:tcPr>
            <w:tcW w:type="dxa" w:w="1296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Score</w:t>
            </w:r>
          </w:p>
        </w:tc>
        <w:tc>
          <w:tcPr>
            <w:tcW w:type="dxa" w:w="468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Rationale</w:t>
            </w:r>
          </w:p>
        </w:tc>
      </w:tr>
      <w:tr>
        <w:tc>
          <w:tcPr>
            <w:tcW w:type="dxa" w:w="230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Product completeness</w:t>
            </w:r>
          </w:p>
        </w:tc>
        <w:tc>
          <w:tcPr>
            <w:tcW w:type="dxa" w:w="10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30%</w:t>
            </w:r>
          </w:p>
        </w:tc>
        <w:tc>
          <w:tcPr>
            <w:tcW w:type="dxa" w:w="12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High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Event creation, registrations, waitlists, QR/check-in, analytics, exports, team access, verifier access, maps, file upload questions, language support.</w:t>
            </w:r>
          </w:p>
        </w:tc>
      </w:tr>
      <w:tr>
        <w:tc>
          <w:tcPr>
            <w:tcW w:type="dxa" w:w="230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Usage traction</w:t>
            </w:r>
          </w:p>
        </w:tc>
        <w:tc>
          <w:tcPr>
            <w:tcW w:type="dxa" w:w="10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25%</w:t>
            </w:r>
          </w:p>
        </w:tc>
        <w:tc>
          <w:tcPr>
            <w:tcW w:type="dxa" w:w="12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Early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117 users, 46 events, 480 registrations, 27 organisers with events.</w:t>
            </w:r>
          </w:p>
        </w:tc>
      </w:tr>
      <w:tr>
        <w:tc>
          <w:tcPr>
            <w:tcW w:type="dxa" w:w="230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Revenue traction</w:t>
            </w:r>
          </w:p>
        </w:tc>
        <w:tc>
          <w:tcPr>
            <w:tcW w:type="dxa" w:w="10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20%</w:t>
            </w:r>
          </w:p>
        </w:tc>
        <w:tc>
          <w:tcPr>
            <w:tcW w:type="dxa" w:w="12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Very early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1 Pro user and no recorded report-download revenue; pricing exists but conversion is not proven.</w:t>
            </w:r>
          </w:p>
        </w:tc>
      </w:tr>
      <w:tr>
        <w:tc>
          <w:tcPr>
            <w:tcW w:type="dxa" w:w="230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Market opportunity</w:t>
            </w:r>
          </w:p>
        </w:tc>
        <w:tc>
          <w:tcPr>
            <w:tcW w:type="dxa" w:w="10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15%</w:t>
            </w:r>
          </w:p>
        </w:tc>
        <w:tc>
          <w:tcPr>
            <w:tcW w:type="dxa" w:w="12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Promising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Universities, churches, communities, SMEs, event teams, sports and tech communities need low-friction registration and check-in.</w:t>
            </w:r>
          </w:p>
        </w:tc>
      </w:tr>
      <w:tr>
        <w:tc>
          <w:tcPr>
            <w:tcW w:type="dxa" w:w="230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Defensibility</w:t>
            </w:r>
          </w:p>
        </w:tc>
        <w:tc>
          <w:tcPr>
            <w:tcW w:type="dxa" w:w="10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10%</w:t>
            </w:r>
          </w:p>
        </w:tc>
        <w:tc>
          <w:tcPr>
            <w:tcW w:type="dxa" w:w="12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Developing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Workflow depth and local market focus are useful, but network effects and switching costs are still forming.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This scorecard supports a valuation above a simple prototype valuation, but below a priced seed SaaS company with meaningful ARR. It points to roughly USD 0.7M-1.4M, with USD 1.0M as the clean anchor.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6"/>
        </w:rPr>
        <w:t>C. Financing Math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Scenario</w:t>
            </w:r>
          </w:p>
        </w:tc>
        <w:tc>
          <w:tcPr>
            <w:tcW w:type="dxa" w:w="180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Pre-money</w:t>
            </w:r>
          </w:p>
        </w:tc>
        <w:tc>
          <w:tcPr>
            <w:tcW w:type="dxa" w:w="1584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Raise</w:t>
            </w:r>
          </w:p>
        </w:tc>
        <w:tc>
          <w:tcPr>
            <w:tcW w:type="dxa" w:w="180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Post-money</w:t>
            </w:r>
          </w:p>
        </w:tc>
        <w:tc>
          <w:tcPr>
            <w:tcW w:type="dxa" w:w="216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Investor ownership</w:t>
            </w:r>
          </w:p>
        </w:tc>
      </w:tr>
      <w:tr>
        <w:tc>
          <w:tcPr>
            <w:tcW w:type="dxa" w:w="20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Conservative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KES 90M</w:t>
            </w:r>
          </w:p>
        </w:tc>
        <w:tc>
          <w:tcPr>
            <w:tcW w:type="dxa" w:w="158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KES 20M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KES 110M</w:t>
            </w:r>
          </w:p>
        </w:tc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18.2%</w:t>
            </w:r>
          </w:p>
        </w:tc>
      </w:tr>
      <w:tr>
        <w:tc>
          <w:tcPr>
            <w:tcW w:type="dxa" w:w="20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Recommended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KES 130M</w:t>
            </w:r>
          </w:p>
        </w:tc>
        <w:tc>
          <w:tcPr>
            <w:tcW w:type="dxa" w:w="158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KES 25M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KES 155M</w:t>
            </w:r>
          </w:p>
        </w:tc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16.1%</w:t>
            </w:r>
          </w:p>
        </w:tc>
      </w:tr>
      <w:tr>
        <w:tc>
          <w:tcPr>
            <w:tcW w:type="dxa" w:w="20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Upside ask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KES 180M</w:t>
            </w:r>
          </w:p>
        </w:tc>
        <w:tc>
          <w:tcPr>
            <w:tcW w:type="dxa" w:w="158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KES 35M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KES 215M</w:t>
            </w:r>
          </w:p>
        </w:tc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16.3%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Recommended investor ask: raise KES 25M on a KES 130M pre-money valuation. This gives enough dilution to interest an early investor while protecting founder ownership for future rounds.</w:t>
      </w: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5. Investor Narrative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Suggested wording for the pitch: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D3EA"/>
          <w:left w:val="single" w:sz="6" w:space="0" w:color="BFD3EA"/>
          <w:bottom w:val="single" w:sz="6" w:space="0" w:color="BFD3EA"/>
          <w:right w:val="single" w:sz="6" w:space="0" w:color="BFD3EA"/>
          <w:insideH w:val="single" w:sz="6" w:space="0" w:color="BFD3EA"/>
          <w:insideV w:val="single" w:sz="6" w:space="0" w:color="BFD3EA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Valuation statement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22"/>
              </w:rPr>
              <w:t>We are raising at a KES 130M pre-money valuation. EventSlot is not being valued on current ARR; it is being valued as a live event infrastructure product with 117 users, 46 events created, 480 registrations processed, 15 active events, and a clear path to Pro subscriptions, paid-event fees, analytics/report packages, and organizer tooling. We believe the fair range today is KES 90M-180M, and KES 130M is a realistic midpoint for the stage.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6. What Must Improve Before A Higher Valuation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Convert at least 10-20 organisers to paid plans or paid event tools.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Show monthly growth in events and registrations for 3 consecutive months.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Track active organisers, repeat organisers, and organizer retention as headline metrics.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Package one paid use case clearly: Pro subscription, paid-ticket commission, report download bundles, or event pass plans.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Build a simple investor dashboard showing users, events, registrations, active organisers, conversion, revenue, and churn.</w:t>
      </w: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7. Sensitivity: What Changes The Valuation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4680"/>
        <w:gridCol w:w="4680"/>
      </w:tblGrid>
      <w:tr>
        <w:tc>
          <w:tcPr>
            <w:tcW w:type="dxa" w:w="3816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Milestone reached</w:t>
            </w:r>
          </w:p>
        </w:tc>
        <w:tc>
          <w:tcPr>
            <w:tcW w:type="dxa" w:w="5544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9"/>
              </w:rPr>
              <w:t>Likely valuation effect</w:t>
            </w:r>
          </w:p>
        </w:tc>
      </w:tr>
      <w:tr>
        <w:tc>
          <w:tcPr>
            <w:tcW w:type="dxa" w:w="38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KES 100k+ monthly recurring/platform revenue</w:t>
            </w:r>
          </w:p>
        </w:tc>
        <w:tc>
          <w:tcPr>
            <w:tcW w:type="dxa" w:w="55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Could support KES 180M-300M if growth is consistent.</w:t>
            </w:r>
          </w:p>
        </w:tc>
      </w:tr>
      <w:tr>
        <w:tc>
          <w:tcPr>
            <w:tcW w:type="dxa" w:w="38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50+ active organisers with repeat event creation</w:t>
            </w:r>
          </w:p>
        </w:tc>
        <w:tc>
          <w:tcPr>
            <w:tcW w:type="dxa" w:w="55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Supports a stronger seed narrative.</w:t>
            </w:r>
          </w:p>
        </w:tc>
      </w:tr>
      <w:tr>
        <w:tc>
          <w:tcPr>
            <w:tcW w:type="dxa" w:w="38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1,000+ registrations/month</w:t>
            </w:r>
          </w:p>
        </w:tc>
        <w:tc>
          <w:tcPr>
            <w:tcW w:type="dxa" w:w="55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Shows the attendee side is scaling.</w:t>
            </w:r>
          </w:p>
        </w:tc>
      </w:tr>
      <w:tr>
        <w:tc>
          <w:tcPr>
            <w:tcW w:type="dxa" w:w="38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Paid-ticket processing live with take-rate</w:t>
            </w:r>
          </w:p>
        </w:tc>
        <w:tc>
          <w:tcPr>
            <w:tcW w:type="dxa" w:w="55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Can create transaction revenue and improve investor appetite.</w:t>
            </w:r>
          </w:p>
        </w:tc>
      </w:tr>
      <w:tr>
        <w:tc>
          <w:tcPr>
            <w:tcW w:type="dxa" w:w="38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Strategic partnership with universities/church networks</w:t>
            </w:r>
          </w:p>
        </w:tc>
        <w:tc>
          <w:tcPr>
            <w:tcW w:type="dxa" w:w="55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Could justify an upside valuation if distribution becomes predictable.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8. Market References Used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These references were used as context, not as direct comparables. EventSlot is earlier than most companies in public SaaS indices or Carta seed datasets.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SaaS Capital Index, data as of June 30, 2026: public SaaS valuation multiples are based on market capitalization divided by annualized run-rate revenue.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SaaS valuation calculator / SaaS Capital Index summary, Q2 2026: public median ARR multiple cited around 3.2x, top quartile around 6.4x.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Carta fundraising benchmark summary, July 2026: software seed valuations cited around USD 24.3M median in recent rounds.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Flowjam summary of Carta 2026 data: non-AI B2B SaaS seed expectations discussed around USD 14M-16M pre-money.</w:t>
      </w: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9. Final Recommendation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For investor presentation purposes, EventSlot should lead with KES 130M pre-money (about USD 1.0M) and be prepared to negotiate within KES 90M-180M. The argument is credible because it does not pretend current revenue already supports a large SaaS valuation. Instead, it frames EventSlot as a live, working product with early adoption, useful workflow depth, and a monetization roadmap that can become valuable if the next round of capital is used to drive paid conversion.</w:t>
      </w: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Appendix: Source Links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SaaS Capital Index: https://www.saas-capital.com/the-saas-capital-index/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SaaS valuation calculator summary: https://saasvaluationmultiple.com/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Carta benchmark summary: https://carta.com/data/linkedin-vc-fundraising-benchmarks-2026/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11827"/>
          <w:sz w:val="22"/>
        </w:rPr>
        <w:t>Flowjam seed valuation summary: https://www.flowjam.com/blog/seed-round-valuation-2025-complete-founders-guide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4B5563"/>
        <w:sz w:val="18"/>
      </w:rPr>
      <w:t>Prepared July 26,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4B5563"/>
        <w:sz w:val="18"/>
      </w:rPr>
      <w:t>EventSlot Valuation Memo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