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i w:val="0"/>
          <w:color w:val="2E74B5"/>
          <w:sz w:val="20"/>
        </w:rPr>
        <w:t>DATA ROOM CHECKLIST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8"/>
        </w:rPr>
        <w:t>EventSlot Investor Data Room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4B5563"/>
          <w:sz w:val="25"/>
        </w:rPr>
        <w:t>Checklist and index for the supporting materials behind the investor deck.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D3EA"/>
          <w:left w:val="single" w:sz="6" w:space="0" w:color="BFD3EA"/>
          <w:bottom w:val="single" w:sz="6" w:space="0" w:color="BFD3EA"/>
          <w:right w:val="single" w:sz="6" w:space="0" w:color="BFD3EA"/>
          <w:insideH w:val="single" w:sz="6" w:space="0" w:color="BFD3EA"/>
          <w:insideV w:val="single" w:sz="6" w:space="0" w:color="BFD3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The data room should allow an investor to verify the main claims in the deck quickly: what EventSlot does, what traction exists, how the round is structured, and what the capital will fund.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1. Core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Document</w:t>
            </w:r>
          </w:p>
        </w:tc>
        <w:tc>
          <w:tcPr>
            <w:tcW w:type="dxa" w:w="13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Status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Notes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Executive summary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Prepared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Forwardable one-page overview.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Pitch deck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Prepared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Primary investor presentation.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Detailed investment memo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Prepared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Longer written explanation of the opportunity.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Valuation memo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Available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Earlier working note; use carefully so round terms stay aligned.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3-year operating budget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Available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Long-term planning document; not the same as this round's 12-month use-of-funds story.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2. Evidence We Should Include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Traction snapshot export with users, events, registrations, active events, organizer counts, and top events.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Product screenshots or short walkthrough captures showing event creation, registration, attendee management, verification, and analytics.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Use-of-funds model for the USD 100,000 round.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Any customer interviews, testimonials, pilot letters, or usage stories.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Legal/company basics such as registration docs, founder bios, and a simple cap table.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3. Suggested Folder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680"/>
        <w:gridCol w:w="4680"/>
      </w:tblGrid>
      <w:tr>
        <w:tc>
          <w:tcPr>
            <w:tcW w:type="dxa" w:w="26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Folder</w:t>
            </w:r>
          </w:p>
        </w:tc>
        <w:tc>
          <w:tcPr>
            <w:tcW w:type="dxa" w:w="67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Contents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01-company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Company registration, founder profiles, cap table draft.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02-product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Screenshots, product summary, roadmap.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03-traction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Live metrics export, top-event examples, monthly snapshots if available.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04-financials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Use of funds, budget notes, valuation note, revenue model assumptions.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05-legal-and-compliance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Terms, privacy, data-handling material, payment/compliance notes.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06-fundraise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Executive summary, deck, memo, and meeting notes.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B5563"/>
        <w:sz w:val="18"/>
      </w:rPr>
      <w:t>Prepared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B5563"/>
        <w:sz w:val="18"/>
      </w:rPr>
      <w:t>EventSlot Data Room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