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b/>
          <w:i w:val="0"/>
          <w:color w:val="2E74B5"/>
          <w:sz w:val="20"/>
        </w:rPr>
        <w:t>DETAILED INVESTMENT MEMO</w:t>
      </w:r>
    </w:p>
    <w:p>
      <w:pPr>
        <w:spacing w:before="0" w:after="80" w:line="264" w:lineRule="auto"/>
      </w:pPr>
      <w:r>
        <w:rPr>
          <w:rFonts w:ascii="Calibri" w:hAnsi="Calibri"/>
          <w:b/>
          <w:i w:val="0"/>
          <w:color w:val="000000"/>
          <w:sz w:val="48"/>
        </w:rPr>
        <w:t>EventSlot Investment Opportunity</w:t>
      </w:r>
    </w:p>
    <w:p>
      <w:pPr>
        <w:spacing w:before="0" w:after="240" w:line="264" w:lineRule="auto"/>
      </w:pPr>
      <w:r>
        <w:rPr>
          <w:rFonts w:ascii="Calibri" w:hAnsi="Calibri"/>
          <w:b w:val="0"/>
          <w:i w:val="0"/>
          <w:color w:val="4B5563"/>
          <w:sz w:val="25"/>
        </w:rPr>
        <w:t>Working product, live organizer usage, and a focused 12-month execution plan.</w:t>
      </w:r>
    </w:p>
    <w:tbl>
      <w:tblPr>
        <w:tblW w:type="auto" w:w="0"/>
        <w:jc w:val="center"/>
        <w:tblLook w:firstColumn="1" w:firstRow="1" w:lastColumn="0" w:lastRow="0" w:noHBand="0" w:noVBand="1" w:val="04A0"/>
        <w:tblBorders>
          <w:top w:val="single" w:sz="6" w:space="0" w:color="BFD3EA"/>
          <w:left w:val="single" w:sz="6" w:space="0" w:color="BFD3EA"/>
          <w:bottom w:val="single" w:sz="6" w:space="0" w:color="BFD3EA"/>
          <w:right w:val="single" w:sz="6" w:space="0" w:color="BFD3EA"/>
          <w:insideH w:val="single" w:sz="6" w:space="0" w:color="BFD3EA"/>
          <w:insideV w:val="single" w:sz="6" w:space="0" w:color="BFD3EA"/>
        </w:tblBorders>
      </w:tblPr>
      <w:tblGrid>
        <w:gridCol w:w="9360"/>
      </w:tblGrid>
      <w:tr>
        <w:tc>
          <w:tcPr>
            <w:tcW w:type="dxa" w:w="9360"/>
            <w:shd w:fill="E8EEF5"/>
            <w:tcMar>
              <w:top w:w="160" w:type="dxa"/>
              <w:start w:w="180" w:type="dxa"/>
              <w:bottom w:w="160" w:type="dxa"/>
              <w:end w:w="180" w:type="dxa"/>
            </w:tcMar>
          </w:tcPr>
          <w:p>
            <w:pPr>
              <w:spacing w:after="60"/>
            </w:pPr>
            <w:r>
              <w:rPr>
                <w:rFonts w:ascii="Calibri" w:hAnsi="Calibri"/>
                <w:b/>
                <w:color w:val="1F4D78"/>
                <w:sz w:val="21"/>
              </w:rPr>
              <w:t>Investment terms</w:t>
            </w:r>
          </w:p>
          <w:p>
            <w:pPr>
              <w:spacing w:after="0"/>
            </w:pPr>
            <w:r>
              <w:rPr>
                <w:rFonts w:ascii="Calibri" w:hAnsi="Calibri"/>
                <w:color w:val="111827"/>
                <w:sz w:val="21"/>
              </w:rPr>
              <w:t>Raise: USD 100,000 | Pre-money valuation: USD 900,000 | Post-money valuation: USD 1,000,000 | Equity: 10%</w:t>
            </w:r>
          </w:p>
        </w:tc>
      </w:tr>
    </w:tbl>
    <w:p>
      <w:pPr>
        <w:spacing w:after="80"/>
      </w:pPr>
    </w:p>
    <w:p>
      <w:pPr>
        <w:spacing w:before="320" w:after="160"/>
      </w:pPr>
      <w:r>
        <w:rPr>
          <w:rFonts w:ascii="Calibri" w:hAnsi="Calibri"/>
          <w:b/>
          <w:color w:val="2E74B5"/>
          <w:sz w:val="32"/>
        </w:rPr>
        <w:t>1. Company Overview</w:t>
      </w:r>
    </w:p>
    <w:p>
      <w:pPr>
        <w:spacing w:before="0" w:after="120" w:line="264" w:lineRule="auto"/>
      </w:pPr>
      <w:r>
        <w:rPr>
          <w:rFonts w:ascii="Calibri" w:hAnsi="Calibri"/>
          <w:b w:val="0"/>
          <w:i w:val="0"/>
          <w:color w:val="111827"/>
          <w:sz w:val="22"/>
        </w:rPr>
        <w:t>EventSlot is a digital event operations platform that helps organizers create events, accept registrations, manage capacity, coordinate attendees, support verification and check-in, and review event performance. The company is based in Nairobi, Kenya and is currently at pre-seed stage.</w:t>
      </w:r>
    </w:p>
    <w:p>
      <w:pPr>
        <w:spacing w:before="320" w:after="160"/>
      </w:pPr>
      <w:r>
        <w:rPr>
          <w:rFonts w:ascii="Calibri" w:hAnsi="Calibri"/>
          <w:b/>
          <w:color w:val="2E74B5"/>
          <w:sz w:val="32"/>
        </w:rPr>
        <w:t>2. Problem</w:t>
      </w:r>
    </w:p>
    <w:p>
      <w:pPr>
        <w:spacing w:before="0" w:after="120" w:line="264" w:lineRule="auto"/>
      </w:pPr>
      <w:r>
        <w:rPr>
          <w:rFonts w:ascii="Calibri" w:hAnsi="Calibri"/>
          <w:b w:val="0"/>
          <w:i w:val="0"/>
          <w:color w:val="111827"/>
          <w:sz w:val="22"/>
        </w:rPr>
        <w:t>Many organizers still run one event across several disconnected systems. Registration may happen in Google Forms, communication in WhatsApp, payment confirmation in mobile money statements, attendee updates in spreadsheets, and check-in on paper or manual lists. This fragmentation creates confusion, slow response times, and weak operational visibility.</w:t>
      </w:r>
    </w:p>
    <w:p>
      <w:pPr>
        <w:pStyle w:val="ListBullet"/>
        <w:spacing w:after="100" w:line="280" w:lineRule="auto"/>
      </w:pPr>
      <w:r>
        <w:rPr>
          <w:rFonts w:ascii="Calibri" w:hAnsi="Calibri"/>
          <w:color w:val="111827"/>
          <w:sz w:val="21"/>
        </w:rPr>
        <w:t>Organizers struggle to know who registered, who paid, who is confirmed, and how much capacity remains.</w:t>
      </w:r>
    </w:p>
    <w:p>
      <w:pPr>
        <w:pStyle w:val="ListBullet"/>
        <w:spacing w:after="100" w:line="280" w:lineRule="auto"/>
      </w:pPr>
      <w:r>
        <w:rPr>
          <w:rFonts w:ascii="Calibri" w:hAnsi="Calibri"/>
          <w:color w:val="111827"/>
          <w:sz w:val="21"/>
        </w:rPr>
        <w:t>Manual admin work consumes time that should go into growth, guest experience, and event quality.</w:t>
      </w:r>
    </w:p>
    <w:p>
      <w:pPr>
        <w:pStyle w:val="ListBullet"/>
        <w:spacing w:after="100" w:line="280" w:lineRule="auto"/>
      </w:pPr>
      <w:r>
        <w:rPr>
          <w:rFonts w:ascii="Calibri" w:hAnsi="Calibri"/>
          <w:color w:val="111827"/>
          <w:sz w:val="21"/>
        </w:rPr>
        <w:t>Attendees experience delayed confirmations, unclear status, and inefficient event-day flow.</w:t>
      </w:r>
    </w:p>
    <w:p>
      <w:pPr>
        <w:spacing w:before="320" w:after="160"/>
      </w:pPr>
      <w:r>
        <w:rPr>
          <w:rFonts w:ascii="Calibri" w:hAnsi="Calibri"/>
          <w:b/>
          <w:color w:val="2E74B5"/>
          <w:sz w:val="32"/>
        </w:rPr>
        <w:t>3. Product</w:t>
      </w:r>
    </w:p>
    <w:p>
      <w:pPr>
        <w:spacing w:before="0" w:after="120" w:line="264" w:lineRule="auto"/>
      </w:pPr>
      <w:r>
        <w:rPr>
          <w:rFonts w:ascii="Calibri" w:hAnsi="Calibri"/>
          <w:b w:val="0"/>
          <w:i w:val="0"/>
          <w:color w:val="111827"/>
          <w:sz w:val="22"/>
        </w:rPr>
        <w:t>EventSlot replaces fragmented event administration with one connected workflow. Organizers create the event, share one registration link, manage attendees from one dashboard, and deliver the event with stronger control over capacity, communication, and attendance operations.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2736"/>
            <w:shd w:fill="F2F4F7"/>
            <w:tcMar>
              <w:top w:w="90" w:type="dxa"/>
              <w:start w:w="120" w:type="dxa"/>
              <w:bottom w:w="90" w:type="dxa"/>
              <w:end w:w="120" w:type="dxa"/>
            </w:tcMar>
            <w:vAlign w:val="center"/>
          </w:tcPr>
          <w:p>
            <w:pPr>
              <w:spacing w:after="0"/>
            </w:pPr>
            <w:r>
              <w:rPr>
                <w:rFonts w:ascii="Calibri" w:hAnsi="Calibri"/>
                <w:b/>
                <w:color w:val="111827"/>
                <w:sz w:val="18"/>
              </w:rPr>
              <w:t>Product area</w:t>
            </w:r>
          </w:p>
        </w:tc>
        <w:tc>
          <w:tcPr>
            <w:tcW w:type="dxa" w:w="6624"/>
            <w:shd w:fill="F2F4F7"/>
            <w:tcMar>
              <w:top w:w="90" w:type="dxa"/>
              <w:start w:w="120" w:type="dxa"/>
              <w:bottom w:w="90" w:type="dxa"/>
              <w:end w:w="120" w:type="dxa"/>
            </w:tcMar>
            <w:vAlign w:val="center"/>
          </w:tcPr>
          <w:p>
            <w:pPr>
              <w:spacing w:after="0"/>
            </w:pPr>
            <w:r>
              <w:rPr>
                <w:rFonts w:ascii="Calibri" w:hAnsi="Calibri"/>
                <w:b/>
                <w:color w:val="111827"/>
                <w:sz w:val="18"/>
              </w:rPr>
              <w:t>What it does</w:t>
            </w:r>
          </w:p>
        </w:tc>
      </w:tr>
      <w:tr>
        <w:tc>
          <w:tcPr>
            <w:tcW w:type="dxa" w:w="4680"/>
            <w:tcMar>
              <w:top w:w="90" w:type="dxa"/>
              <w:start w:w="120" w:type="dxa"/>
              <w:bottom w:w="90" w:type="dxa"/>
              <w:end w:w="120" w:type="dxa"/>
            </w:tcMar>
            <w:vAlign w:val="center"/>
          </w:tcPr>
          <w:p>
            <w:pPr>
              <w:spacing w:after="0"/>
            </w:pPr>
            <w:r>
              <w:rPr>
                <w:rFonts w:ascii="Calibri" w:hAnsi="Calibri"/>
                <w:color w:val="111827"/>
                <w:sz w:val="18"/>
              </w:rPr>
              <w:t>Event creation</w:t>
            </w:r>
          </w:p>
        </w:tc>
        <w:tc>
          <w:tcPr>
            <w:tcW w:type="dxa" w:w="4680"/>
            <w:tcMar>
              <w:top w:w="90" w:type="dxa"/>
              <w:start w:w="120" w:type="dxa"/>
              <w:bottom w:w="90" w:type="dxa"/>
              <w:end w:w="120" w:type="dxa"/>
            </w:tcMar>
            <w:vAlign w:val="center"/>
          </w:tcPr>
          <w:p>
            <w:pPr>
              <w:spacing w:after="0"/>
            </w:pPr>
            <w:r>
              <w:rPr>
                <w:rFonts w:ascii="Calibri" w:hAnsi="Calibri"/>
                <w:color w:val="111827"/>
                <w:sz w:val="18"/>
              </w:rPr>
              <w:t>Create events, registration questions, deadlines, locations, and public pages.</w:t>
            </w:r>
          </w:p>
        </w:tc>
      </w:tr>
      <w:tr>
        <w:tc>
          <w:tcPr>
            <w:tcW w:type="dxa" w:w="4680"/>
            <w:tcMar>
              <w:top w:w="90" w:type="dxa"/>
              <w:start w:w="120" w:type="dxa"/>
              <w:bottom w:w="90" w:type="dxa"/>
              <w:end w:w="120" w:type="dxa"/>
            </w:tcMar>
            <w:vAlign w:val="center"/>
          </w:tcPr>
          <w:p>
            <w:pPr>
              <w:spacing w:after="0"/>
            </w:pPr>
            <w:r>
              <w:rPr>
                <w:rFonts w:ascii="Calibri" w:hAnsi="Calibri"/>
                <w:color w:val="111827"/>
                <w:sz w:val="18"/>
              </w:rPr>
              <w:t>Registration flow</w:t>
            </w:r>
          </w:p>
        </w:tc>
        <w:tc>
          <w:tcPr>
            <w:tcW w:type="dxa" w:w="4680"/>
            <w:tcMar>
              <w:top w:w="90" w:type="dxa"/>
              <w:start w:w="120" w:type="dxa"/>
              <w:bottom w:w="90" w:type="dxa"/>
              <w:end w:w="120" w:type="dxa"/>
            </w:tcMar>
            <w:vAlign w:val="center"/>
          </w:tcPr>
          <w:p>
            <w:pPr>
              <w:spacing w:after="0"/>
            </w:pPr>
            <w:r>
              <w:rPr>
                <w:rFonts w:ascii="Calibri" w:hAnsi="Calibri"/>
                <w:color w:val="111827"/>
                <w:sz w:val="18"/>
              </w:rPr>
              <w:t>Collect attendee details through a dedicated event link and structured form.</w:t>
            </w:r>
          </w:p>
        </w:tc>
      </w:tr>
      <w:tr>
        <w:tc>
          <w:tcPr>
            <w:tcW w:type="dxa" w:w="4680"/>
            <w:tcMar>
              <w:top w:w="90" w:type="dxa"/>
              <w:start w:w="120" w:type="dxa"/>
              <w:bottom w:w="90" w:type="dxa"/>
              <w:end w:w="120" w:type="dxa"/>
            </w:tcMar>
            <w:vAlign w:val="center"/>
          </w:tcPr>
          <w:p>
            <w:pPr>
              <w:spacing w:after="0"/>
            </w:pPr>
            <w:r>
              <w:rPr>
                <w:rFonts w:ascii="Calibri" w:hAnsi="Calibri"/>
                <w:color w:val="111827"/>
                <w:sz w:val="18"/>
              </w:rPr>
              <w:t>Capacity and waitlist</w:t>
            </w:r>
          </w:p>
        </w:tc>
        <w:tc>
          <w:tcPr>
            <w:tcW w:type="dxa" w:w="4680"/>
            <w:tcMar>
              <w:top w:w="90" w:type="dxa"/>
              <w:start w:w="120" w:type="dxa"/>
              <w:bottom w:w="90" w:type="dxa"/>
              <w:end w:w="120" w:type="dxa"/>
            </w:tcMar>
            <w:vAlign w:val="center"/>
          </w:tcPr>
          <w:p>
            <w:pPr>
              <w:spacing w:after="0"/>
            </w:pPr>
            <w:r>
              <w:rPr>
                <w:rFonts w:ascii="Calibri" w:hAnsi="Calibri"/>
                <w:color w:val="111827"/>
                <w:sz w:val="18"/>
              </w:rPr>
              <w:t>Control available slots and manage attendee flow when events fill up.</w:t>
            </w:r>
          </w:p>
        </w:tc>
      </w:tr>
      <w:tr>
        <w:tc>
          <w:tcPr>
            <w:tcW w:type="dxa" w:w="4680"/>
            <w:tcMar>
              <w:top w:w="90" w:type="dxa"/>
              <w:start w:w="120" w:type="dxa"/>
              <w:bottom w:w="90" w:type="dxa"/>
              <w:end w:w="120" w:type="dxa"/>
            </w:tcMar>
            <w:vAlign w:val="center"/>
          </w:tcPr>
          <w:p>
            <w:pPr>
              <w:spacing w:after="0"/>
            </w:pPr>
            <w:r>
              <w:rPr>
                <w:rFonts w:ascii="Calibri" w:hAnsi="Calibri"/>
                <w:color w:val="111827"/>
                <w:sz w:val="18"/>
              </w:rPr>
              <w:t>Verification and check-in</w:t>
            </w:r>
          </w:p>
        </w:tc>
        <w:tc>
          <w:tcPr>
            <w:tcW w:type="dxa" w:w="4680"/>
            <w:tcMar>
              <w:top w:w="90" w:type="dxa"/>
              <w:start w:w="120" w:type="dxa"/>
              <w:bottom w:w="90" w:type="dxa"/>
              <w:end w:w="120" w:type="dxa"/>
            </w:tcMar>
            <w:vAlign w:val="center"/>
          </w:tcPr>
          <w:p>
            <w:pPr>
              <w:spacing w:after="0"/>
            </w:pPr>
            <w:r>
              <w:rPr>
                <w:rFonts w:ascii="Calibri" w:hAnsi="Calibri"/>
                <w:color w:val="111827"/>
                <w:sz w:val="18"/>
              </w:rPr>
              <w:t>Support attendee lookup, ticket verification, and event-day attendance handling.</w:t>
            </w:r>
          </w:p>
        </w:tc>
      </w:tr>
      <w:tr>
        <w:tc>
          <w:tcPr>
            <w:tcW w:type="dxa" w:w="4680"/>
            <w:tcMar>
              <w:top w:w="90" w:type="dxa"/>
              <w:start w:w="120" w:type="dxa"/>
              <w:bottom w:w="90" w:type="dxa"/>
              <w:end w:w="120" w:type="dxa"/>
            </w:tcMar>
            <w:vAlign w:val="center"/>
          </w:tcPr>
          <w:p>
            <w:pPr>
              <w:spacing w:after="0"/>
            </w:pPr>
            <w:r>
              <w:rPr>
                <w:rFonts w:ascii="Calibri" w:hAnsi="Calibri"/>
                <w:color w:val="111827"/>
                <w:sz w:val="18"/>
              </w:rPr>
              <w:t>Analytics and exports</w:t>
            </w:r>
          </w:p>
        </w:tc>
        <w:tc>
          <w:tcPr>
            <w:tcW w:type="dxa" w:w="4680"/>
            <w:tcMar>
              <w:top w:w="90" w:type="dxa"/>
              <w:start w:w="120" w:type="dxa"/>
              <w:bottom w:w="90" w:type="dxa"/>
              <w:end w:w="120" w:type="dxa"/>
            </w:tcMar>
            <w:vAlign w:val="center"/>
          </w:tcPr>
          <w:p>
            <w:pPr>
              <w:spacing w:after="0"/>
            </w:pPr>
            <w:r>
              <w:rPr>
                <w:rFonts w:ascii="Calibri" w:hAnsi="Calibri"/>
                <w:color w:val="111827"/>
                <w:sz w:val="18"/>
              </w:rPr>
              <w:t>Track registrations and event activity with reporting surfaces and exports.</w:t>
            </w:r>
          </w:p>
        </w:tc>
      </w:tr>
      <w:tr>
        <w:tc>
          <w:tcPr>
            <w:tcW w:type="dxa" w:w="4680"/>
            <w:tcMar>
              <w:top w:w="90" w:type="dxa"/>
              <w:start w:w="120" w:type="dxa"/>
              <w:bottom w:w="90" w:type="dxa"/>
              <w:end w:w="120" w:type="dxa"/>
            </w:tcMar>
            <w:vAlign w:val="center"/>
          </w:tcPr>
          <w:p>
            <w:pPr>
              <w:spacing w:after="0"/>
            </w:pPr>
            <w:r>
              <w:rPr>
                <w:rFonts w:ascii="Calibri" w:hAnsi="Calibri"/>
                <w:color w:val="111827"/>
                <w:sz w:val="18"/>
              </w:rPr>
              <w:t>Organizer tools</w:t>
            </w:r>
          </w:p>
        </w:tc>
        <w:tc>
          <w:tcPr>
            <w:tcW w:type="dxa" w:w="4680"/>
            <w:tcMar>
              <w:top w:w="90" w:type="dxa"/>
              <w:start w:w="120" w:type="dxa"/>
              <w:bottom w:w="90" w:type="dxa"/>
              <w:end w:w="120" w:type="dxa"/>
            </w:tcMar>
            <w:vAlign w:val="center"/>
          </w:tcPr>
          <w:p>
            <w:pPr>
              <w:spacing w:after="0"/>
            </w:pPr>
            <w:r>
              <w:rPr>
                <w:rFonts w:ascii="Calibri" w:hAnsi="Calibri"/>
                <w:color w:val="111827"/>
                <w:sz w:val="18"/>
              </w:rPr>
              <w:t>Support communication, team access, and event operations from one place.</w:t>
            </w:r>
          </w:p>
        </w:tc>
      </w:tr>
    </w:tbl>
    <w:p>
      <w:pPr>
        <w:spacing w:after="80"/>
      </w:pPr>
    </w:p>
    <w:p>
      <w:pPr>
        <w:spacing w:before="320" w:after="160"/>
      </w:pPr>
      <w:r>
        <w:rPr>
          <w:rFonts w:ascii="Calibri" w:hAnsi="Calibri"/>
          <w:b/>
          <w:color w:val="2E74B5"/>
          <w:sz w:val="32"/>
        </w:rPr>
        <w:t>4. Current Traction</w:t>
      </w:r>
    </w:p>
    <w:p>
      <w:pPr>
        <w:spacing w:before="0" w:after="120" w:line="264" w:lineRule="auto"/>
      </w:pPr>
      <w:r>
        <w:rPr>
          <w:rFonts w:ascii="Calibri" w:hAnsi="Calibri"/>
          <w:b w:val="0"/>
          <w:i w:val="0"/>
          <w:color w:val="111827"/>
          <w:sz w:val="22"/>
        </w:rPr>
        <w:t>Verified live platform snapshot as of August 6, 2026:</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120"/>
        <w:gridCol w:w="3120"/>
        <w:gridCol w:w="3120"/>
      </w:tblGrid>
      <w:tr>
        <w:tc>
          <w:tcPr>
            <w:tcW w:type="dxa" w:w="3384"/>
            <w:shd w:fill="F2F4F7"/>
            <w:tcMar>
              <w:top w:w="90" w:type="dxa"/>
              <w:start w:w="120" w:type="dxa"/>
              <w:bottom w:w="90" w:type="dxa"/>
              <w:end w:w="120" w:type="dxa"/>
            </w:tcMar>
            <w:vAlign w:val="center"/>
          </w:tcPr>
          <w:p>
            <w:pPr>
              <w:spacing w:after="0"/>
            </w:pPr>
            <w:r>
              <w:rPr>
                <w:rFonts w:ascii="Calibri" w:hAnsi="Calibri"/>
                <w:b/>
                <w:color w:val="111827"/>
                <w:sz w:val="18"/>
              </w:rPr>
              <w:t>Metric</w:t>
            </w:r>
          </w:p>
        </w:tc>
        <w:tc>
          <w:tcPr>
            <w:tcW w:type="dxa" w:w="1368"/>
            <w:shd w:fill="F2F4F7"/>
            <w:tcMar>
              <w:top w:w="90" w:type="dxa"/>
              <w:start w:w="120" w:type="dxa"/>
              <w:bottom w:w="90" w:type="dxa"/>
              <w:end w:w="120" w:type="dxa"/>
            </w:tcMar>
            <w:vAlign w:val="center"/>
          </w:tcPr>
          <w:p>
            <w:pPr>
              <w:spacing w:after="0"/>
            </w:pPr>
            <w:r>
              <w:rPr>
                <w:rFonts w:ascii="Calibri" w:hAnsi="Calibri"/>
                <w:b/>
                <w:color w:val="111827"/>
                <w:sz w:val="18"/>
              </w:rPr>
              <w:t>Value</w:t>
            </w:r>
          </w:p>
        </w:tc>
        <w:tc>
          <w:tcPr>
            <w:tcW w:type="dxa" w:w="4608"/>
            <w:shd w:fill="F2F4F7"/>
            <w:tcMar>
              <w:top w:w="90" w:type="dxa"/>
              <w:start w:w="120" w:type="dxa"/>
              <w:bottom w:w="90" w:type="dxa"/>
              <w:end w:w="120" w:type="dxa"/>
            </w:tcMar>
            <w:vAlign w:val="center"/>
          </w:tcPr>
          <w:p>
            <w:pPr>
              <w:spacing w:after="0"/>
            </w:pPr>
            <w:r>
              <w:rPr>
                <w:rFonts w:ascii="Calibri" w:hAnsi="Calibri"/>
                <w:b/>
                <w:color w:val="111827"/>
                <w:sz w:val="18"/>
              </w:rPr>
              <w:t>Meaning</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Users</w:t>
            </w:r>
          </w:p>
        </w:tc>
        <w:tc>
          <w:tcPr>
            <w:tcW w:type="dxa" w:w="3120"/>
            <w:tcMar>
              <w:top w:w="90" w:type="dxa"/>
              <w:start w:w="120" w:type="dxa"/>
              <w:bottom w:w="90" w:type="dxa"/>
              <w:end w:w="120" w:type="dxa"/>
            </w:tcMar>
            <w:vAlign w:val="center"/>
          </w:tcPr>
          <w:p>
            <w:pPr>
              <w:spacing w:after="0"/>
            </w:pPr>
            <w:r>
              <w:rPr>
                <w:rFonts w:ascii="Calibri" w:hAnsi="Calibri"/>
                <w:color w:val="111827"/>
                <w:sz w:val="18"/>
              </w:rPr>
              <w:t>120</w:t>
            </w:r>
          </w:p>
        </w:tc>
        <w:tc>
          <w:tcPr>
            <w:tcW w:type="dxa" w:w="3120"/>
            <w:tcMar>
              <w:top w:w="90" w:type="dxa"/>
              <w:start w:w="120" w:type="dxa"/>
              <w:bottom w:w="90" w:type="dxa"/>
              <w:end w:w="120" w:type="dxa"/>
            </w:tcMar>
            <w:vAlign w:val="center"/>
          </w:tcPr>
          <w:p>
            <w:pPr>
              <w:spacing w:after="0"/>
            </w:pPr>
            <w:r>
              <w:rPr>
                <w:rFonts w:ascii="Calibri" w:hAnsi="Calibri"/>
                <w:color w:val="111827"/>
                <w:sz w:val="18"/>
              </w:rPr>
              <w:t>Real product adoption, though still early.</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Events created</w:t>
            </w:r>
          </w:p>
        </w:tc>
        <w:tc>
          <w:tcPr>
            <w:tcW w:type="dxa" w:w="3120"/>
            <w:tcMar>
              <w:top w:w="90" w:type="dxa"/>
              <w:start w:w="120" w:type="dxa"/>
              <w:bottom w:w="90" w:type="dxa"/>
              <w:end w:w="120" w:type="dxa"/>
            </w:tcMar>
            <w:vAlign w:val="center"/>
          </w:tcPr>
          <w:p>
            <w:pPr>
              <w:spacing w:after="0"/>
            </w:pPr>
            <w:r>
              <w:rPr>
                <w:rFonts w:ascii="Calibri" w:hAnsi="Calibri"/>
                <w:color w:val="111827"/>
                <w:sz w:val="18"/>
              </w:rPr>
              <w:t>45</w:t>
            </w:r>
          </w:p>
        </w:tc>
        <w:tc>
          <w:tcPr>
            <w:tcW w:type="dxa" w:w="3120"/>
            <w:tcMar>
              <w:top w:w="90" w:type="dxa"/>
              <w:start w:w="120" w:type="dxa"/>
              <w:bottom w:w="90" w:type="dxa"/>
              <w:end w:w="120" w:type="dxa"/>
            </w:tcMar>
            <w:vAlign w:val="center"/>
          </w:tcPr>
          <w:p>
            <w:pPr>
              <w:spacing w:after="0"/>
            </w:pPr>
            <w:r>
              <w:rPr>
                <w:rFonts w:ascii="Calibri" w:hAnsi="Calibri"/>
                <w:color w:val="111827"/>
                <w:sz w:val="18"/>
              </w:rPr>
              <w:t>Evidence of actual organizer use.</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Registrations processed</w:t>
            </w:r>
          </w:p>
        </w:tc>
        <w:tc>
          <w:tcPr>
            <w:tcW w:type="dxa" w:w="3120"/>
            <w:tcMar>
              <w:top w:w="90" w:type="dxa"/>
              <w:start w:w="120" w:type="dxa"/>
              <w:bottom w:w="90" w:type="dxa"/>
              <w:end w:w="120" w:type="dxa"/>
            </w:tcMar>
            <w:vAlign w:val="center"/>
          </w:tcPr>
          <w:p>
            <w:pPr>
              <w:spacing w:after="0"/>
            </w:pPr>
            <w:r>
              <w:rPr>
                <w:rFonts w:ascii="Calibri" w:hAnsi="Calibri"/>
                <w:color w:val="111827"/>
                <w:sz w:val="18"/>
              </w:rPr>
              <w:t>482</w:t>
            </w:r>
          </w:p>
        </w:tc>
        <w:tc>
          <w:tcPr>
            <w:tcW w:type="dxa" w:w="3120"/>
            <w:tcMar>
              <w:top w:w="90" w:type="dxa"/>
              <w:start w:w="120" w:type="dxa"/>
              <w:bottom w:w="90" w:type="dxa"/>
              <w:end w:w="120" w:type="dxa"/>
            </w:tcMar>
            <w:vAlign w:val="center"/>
          </w:tcPr>
          <w:p>
            <w:pPr>
              <w:spacing w:after="0"/>
            </w:pPr>
            <w:r>
              <w:rPr>
                <w:rFonts w:ascii="Calibri" w:hAnsi="Calibri"/>
                <w:color w:val="111827"/>
                <w:sz w:val="18"/>
              </w:rPr>
              <w:t>Proof that real attendee workflows are happening.</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Active events</w:t>
            </w:r>
          </w:p>
        </w:tc>
        <w:tc>
          <w:tcPr>
            <w:tcW w:type="dxa" w:w="3120"/>
            <w:tcMar>
              <w:top w:w="90" w:type="dxa"/>
              <w:start w:w="120" w:type="dxa"/>
              <w:bottom w:w="90" w:type="dxa"/>
              <w:end w:w="120" w:type="dxa"/>
            </w:tcMar>
            <w:vAlign w:val="center"/>
          </w:tcPr>
          <w:p>
            <w:pPr>
              <w:spacing w:after="0"/>
            </w:pPr>
            <w:r>
              <w:rPr>
                <w:rFonts w:ascii="Calibri" w:hAnsi="Calibri"/>
                <w:color w:val="111827"/>
                <w:sz w:val="18"/>
              </w:rPr>
              <w:t>13</w:t>
            </w:r>
          </w:p>
        </w:tc>
        <w:tc>
          <w:tcPr>
            <w:tcW w:type="dxa" w:w="3120"/>
            <w:tcMar>
              <w:top w:w="90" w:type="dxa"/>
              <w:start w:w="120" w:type="dxa"/>
              <w:bottom w:w="90" w:type="dxa"/>
              <w:end w:w="120" w:type="dxa"/>
            </w:tcMar>
            <w:vAlign w:val="center"/>
          </w:tcPr>
          <w:p>
            <w:pPr>
              <w:spacing w:after="0"/>
            </w:pPr>
            <w:r>
              <w:rPr>
                <w:rFonts w:ascii="Calibri" w:hAnsi="Calibri"/>
                <w:color w:val="111827"/>
                <w:sz w:val="18"/>
              </w:rPr>
              <w:t>Current live platform activity.</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Organizers with events</w:t>
            </w:r>
          </w:p>
        </w:tc>
        <w:tc>
          <w:tcPr>
            <w:tcW w:type="dxa" w:w="3120"/>
            <w:tcMar>
              <w:top w:w="90" w:type="dxa"/>
              <w:start w:w="120" w:type="dxa"/>
              <w:bottom w:w="90" w:type="dxa"/>
              <w:end w:w="120" w:type="dxa"/>
            </w:tcMar>
            <w:vAlign w:val="center"/>
          </w:tcPr>
          <w:p>
            <w:pPr>
              <w:spacing w:after="0"/>
            </w:pPr>
            <w:r>
              <w:rPr>
                <w:rFonts w:ascii="Calibri" w:hAnsi="Calibri"/>
                <w:color w:val="111827"/>
                <w:sz w:val="18"/>
              </w:rPr>
              <w:t>27</w:t>
            </w:r>
          </w:p>
        </w:tc>
        <w:tc>
          <w:tcPr>
            <w:tcW w:type="dxa" w:w="3120"/>
            <w:tcMar>
              <w:top w:w="90" w:type="dxa"/>
              <w:start w:w="120" w:type="dxa"/>
              <w:bottom w:w="90" w:type="dxa"/>
              <w:end w:w="120" w:type="dxa"/>
            </w:tcMar>
            <w:vAlign w:val="center"/>
          </w:tcPr>
          <w:p>
            <w:pPr>
              <w:spacing w:after="0"/>
            </w:pPr>
            <w:r>
              <w:rPr>
                <w:rFonts w:ascii="Calibri" w:hAnsi="Calibri"/>
                <w:color w:val="111827"/>
                <w:sz w:val="18"/>
              </w:rPr>
              <w:t>Early core customer base.</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Organizers with 30+ confirmed attendees on an event</w:t>
            </w:r>
          </w:p>
        </w:tc>
        <w:tc>
          <w:tcPr>
            <w:tcW w:type="dxa" w:w="3120"/>
            <w:tcMar>
              <w:top w:w="90" w:type="dxa"/>
              <w:start w:w="120" w:type="dxa"/>
              <w:bottom w:w="90" w:type="dxa"/>
              <w:end w:w="120" w:type="dxa"/>
            </w:tcMar>
            <w:vAlign w:val="center"/>
          </w:tcPr>
          <w:p>
            <w:pPr>
              <w:spacing w:after="0"/>
            </w:pPr>
            <w:r>
              <w:rPr>
                <w:rFonts w:ascii="Calibri" w:hAnsi="Calibri"/>
                <w:color w:val="111827"/>
                <w:sz w:val="18"/>
              </w:rPr>
              <w:t>4</w:t>
            </w:r>
          </w:p>
        </w:tc>
        <w:tc>
          <w:tcPr>
            <w:tcW w:type="dxa" w:w="3120"/>
            <w:tcMar>
              <w:top w:w="90" w:type="dxa"/>
              <w:start w:w="120" w:type="dxa"/>
              <w:bottom w:w="90" w:type="dxa"/>
              <w:end w:w="120" w:type="dxa"/>
            </w:tcMar>
            <w:vAlign w:val="center"/>
          </w:tcPr>
          <w:p>
            <w:pPr>
              <w:spacing w:after="0"/>
            </w:pPr>
            <w:r>
              <w:rPr>
                <w:rFonts w:ascii="Calibri" w:hAnsi="Calibri"/>
                <w:color w:val="111827"/>
                <w:sz w:val="18"/>
              </w:rPr>
              <w:t>Initial signal of meaningful event usage.</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Paid users</w:t>
            </w:r>
          </w:p>
        </w:tc>
        <w:tc>
          <w:tcPr>
            <w:tcW w:type="dxa" w:w="3120"/>
            <w:tcMar>
              <w:top w:w="90" w:type="dxa"/>
              <w:start w:w="120" w:type="dxa"/>
              <w:bottom w:w="90" w:type="dxa"/>
              <w:end w:w="120" w:type="dxa"/>
            </w:tcMar>
            <w:vAlign w:val="center"/>
          </w:tcPr>
          <w:p>
            <w:pPr>
              <w:spacing w:after="0"/>
            </w:pPr>
            <w:r>
              <w:rPr>
                <w:rFonts w:ascii="Calibri" w:hAnsi="Calibri"/>
                <w:color w:val="111827"/>
                <w:sz w:val="18"/>
              </w:rPr>
              <w:t>1</w:t>
            </w:r>
          </w:p>
        </w:tc>
        <w:tc>
          <w:tcPr>
            <w:tcW w:type="dxa" w:w="3120"/>
            <w:tcMar>
              <w:top w:w="90" w:type="dxa"/>
              <w:start w:w="120" w:type="dxa"/>
              <w:bottom w:w="90" w:type="dxa"/>
              <w:end w:w="120" w:type="dxa"/>
            </w:tcMar>
            <w:vAlign w:val="center"/>
          </w:tcPr>
          <w:p>
            <w:pPr>
              <w:spacing w:after="0"/>
            </w:pPr>
            <w:r>
              <w:rPr>
                <w:rFonts w:ascii="Calibri" w:hAnsi="Calibri"/>
                <w:color w:val="111827"/>
                <w:sz w:val="18"/>
              </w:rPr>
              <w:t>Monetization exists but is still very early.</w:t>
            </w:r>
          </w:p>
        </w:tc>
      </w:tr>
    </w:tbl>
    <w:p>
      <w:pPr>
        <w:spacing w:after="80"/>
      </w:pPr>
    </w:p>
    <w:p>
      <w:pPr>
        <w:spacing w:before="320" w:after="160"/>
      </w:pPr>
      <w:r>
        <w:rPr>
          <w:rFonts w:ascii="Calibri" w:hAnsi="Calibri"/>
          <w:b/>
          <w:color w:val="2E74B5"/>
          <w:sz w:val="32"/>
        </w:rPr>
        <w:t>5. Customer Focus</w:t>
      </w:r>
    </w:p>
    <w:p>
      <w:pPr>
        <w:spacing w:before="0" w:after="120" w:line="264" w:lineRule="auto"/>
      </w:pPr>
      <w:r>
        <w:rPr>
          <w:rFonts w:ascii="Calibri" w:hAnsi="Calibri"/>
          <w:b w:val="0"/>
          <w:i w:val="0"/>
          <w:color w:val="111827"/>
          <w:sz w:val="22"/>
        </w:rPr>
        <w:t>EventSlot can eventually serve many event categories, but the early go-to-market should stay focused on organizer groups with repeated coordination pain and a clear need for structured registration and attendance management.</w:t>
      </w:r>
    </w:p>
    <w:p>
      <w:pPr>
        <w:pStyle w:val="ListBullet"/>
        <w:spacing w:after="100" w:line="280" w:lineRule="auto"/>
      </w:pPr>
      <w:r>
        <w:rPr>
          <w:rFonts w:ascii="Calibri" w:hAnsi="Calibri"/>
          <w:color w:val="111827"/>
          <w:sz w:val="21"/>
        </w:rPr>
        <w:t>Churches and ministry teams</w:t>
      </w:r>
    </w:p>
    <w:p>
      <w:pPr>
        <w:pStyle w:val="ListBullet"/>
        <w:spacing w:after="100" w:line="280" w:lineRule="auto"/>
      </w:pPr>
      <w:r>
        <w:rPr>
          <w:rFonts w:ascii="Calibri" w:hAnsi="Calibri"/>
          <w:color w:val="111827"/>
          <w:sz w:val="21"/>
        </w:rPr>
        <w:t>Universities and student organizations</w:t>
      </w:r>
    </w:p>
    <w:p>
      <w:pPr>
        <w:pStyle w:val="ListBullet"/>
        <w:spacing w:after="100" w:line="280" w:lineRule="auto"/>
      </w:pPr>
      <w:r>
        <w:rPr>
          <w:rFonts w:ascii="Calibri" w:hAnsi="Calibri"/>
          <w:color w:val="111827"/>
          <w:sz w:val="21"/>
        </w:rPr>
        <w:t>Training providers and workshop organizers</w:t>
      </w:r>
    </w:p>
    <w:p>
      <w:pPr>
        <w:pStyle w:val="ListBullet"/>
        <w:spacing w:after="100" w:line="280" w:lineRule="auto"/>
      </w:pPr>
      <w:r>
        <w:rPr>
          <w:rFonts w:ascii="Calibri" w:hAnsi="Calibri"/>
          <w:color w:val="111827"/>
          <w:sz w:val="21"/>
        </w:rPr>
        <w:t>Communities and independent event organizers</w:t>
      </w:r>
    </w:p>
    <w:p>
      <w:pPr>
        <w:spacing w:before="320" w:after="160"/>
      </w:pPr>
      <w:r>
        <w:rPr>
          <w:rFonts w:ascii="Calibri" w:hAnsi="Calibri"/>
          <w:b/>
          <w:color w:val="2E74B5"/>
          <w:sz w:val="32"/>
        </w:rPr>
        <w:t>6. Business Model</w:t>
      </w:r>
    </w:p>
    <w:p>
      <w:pPr>
        <w:spacing w:before="0" w:after="120" w:line="264" w:lineRule="auto"/>
      </w:pPr>
      <w:r>
        <w:rPr>
          <w:rFonts w:ascii="Calibri" w:hAnsi="Calibri"/>
          <w:b w:val="0"/>
          <w:i w:val="0"/>
          <w:color w:val="111827"/>
          <w:sz w:val="22"/>
        </w:rPr>
        <w:t>EventSlot is expected to monetize through a mix of paid organizer plans, premium features, and transaction-linked revenue for paid event workflows. The current raise is intended to validate which revenue streams convert best and how quickly organizer usage turns into commercial value.</w:t>
      </w:r>
    </w:p>
    <w:p>
      <w:pPr>
        <w:pStyle w:val="ListBullet"/>
        <w:spacing w:after="100" w:line="280" w:lineRule="auto"/>
      </w:pPr>
      <w:r>
        <w:rPr>
          <w:rFonts w:ascii="Calibri" w:hAnsi="Calibri"/>
          <w:color w:val="111827"/>
          <w:sz w:val="21"/>
        </w:rPr>
        <w:t>Paid organizer subscriptions</w:t>
      </w:r>
    </w:p>
    <w:p>
      <w:pPr>
        <w:pStyle w:val="ListBullet"/>
        <w:spacing w:after="100" w:line="280" w:lineRule="auto"/>
      </w:pPr>
      <w:r>
        <w:rPr>
          <w:rFonts w:ascii="Calibri" w:hAnsi="Calibri"/>
          <w:color w:val="111827"/>
          <w:sz w:val="21"/>
        </w:rPr>
        <w:t>Premium workflow features</w:t>
      </w:r>
    </w:p>
    <w:p>
      <w:pPr>
        <w:pStyle w:val="ListBullet"/>
        <w:spacing w:after="100" w:line="280" w:lineRule="auto"/>
      </w:pPr>
      <w:r>
        <w:rPr>
          <w:rFonts w:ascii="Calibri" w:hAnsi="Calibri"/>
          <w:color w:val="111827"/>
          <w:sz w:val="21"/>
        </w:rPr>
        <w:t>Paid-event transaction-linked revenue</w:t>
      </w:r>
    </w:p>
    <w:p>
      <w:pPr>
        <w:pStyle w:val="ListBullet"/>
        <w:spacing w:after="100" w:line="280" w:lineRule="auto"/>
      </w:pPr>
      <w:r>
        <w:rPr>
          <w:rFonts w:ascii="Calibri" w:hAnsi="Calibri"/>
          <w:color w:val="111827"/>
          <w:sz w:val="21"/>
        </w:rPr>
        <w:t>Institutional or team packages over time</w:t>
      </w:r>
    </w:p>
    <w:p>
      <w:pPr>
        <w:spacing w:before="320" w:after="160"/>
      </w:pPr>
      <w:r>
        <w:rPr>
          <w:rFonts w:ascii="Calibri" w:hAnsi="Calibri"/>
          <w:b/>
          <w:color w:val="2E74B5"/>
          <w:sz w:val="32"/>
        </w:rPr>
        <w:t>7. Why This Round Matters</w:t>
      </w:r>
    </w:p>
    <w:p>
      <w:pPr>
        <w:spacing w:before="0" w:after="120" w:line="264" w:lineRule="auto"/>
      </w:pPr>
      <w:r>
        <w:rPr>
          <w:rFonts w:ascii="Calibri" w:hAnsi="Calibri"/>
          <w:b w:val="0"/>
          <w:i w:val="0"/>
          <w:color w:val="111827"/>
          <w:sz w:val="22"/>
        </w:rPr>
        <w:t>This round is not about funding a fully mature company. It is about helping EventSlot cross the gap from early usage to repeatable commercial traction. The product already works. The next step is to prove that organizers come back, pay, and grow with the platform.</w:t>
      </w:r>
    </w:p>
    <w:p>
      <w:pPr>
        <w:spacing w:before="320" w:after="160"/>
      </w:pPr>
      <w:r>
        <w:rPr>
          <w:rFonts w:ascii="Calibri" w:hAnsi="Calibri"/>
          <w:b/>
          <w:color w:val="2E74B5"/>
          <w:sz w:val="32"/>
        </w:rPr>
        <w:t>8. Use of Funds</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120"/>
        <w:gridCol w:w="3120"/>
        <w:gridCol w:w="3120"/>
      </w:tblGrid>
      <w:tr>
        <w:tc>
          <w:tcPr>
            <w:tcW w:type="dxa" w:w="2952"/>
            <w:shd w:fill="F2F4F7"/>
            <w:tcMar>
              <w:top w:w="90" w:type="dxa"/>
              <w:start w:w="120" w:type="dxa"/>
              <w:bottom w:w="90" w:type="dxa"/>
              <w:end w:w="120" w:type="dxa"/>
            </w:tcMar>
            <w:vAlign w:val="center"/>
          </w:tcPr>
          <w:p>
            <w:pPr>
              <w:spacing w:after="0"/>
            </w:pPr>
            <w:r>
              <w:rPr>
                <w:rFonts w:ascii="Calibri" w:hAnsi="Calibri"/>
                <w:b/>
                <w:color w:val="111827"/>
                <w:sz w:val="18"/>
              </w:rPr>
              <w:t>Area</w:t>
            </w:r>
          </w:p>
        </w:tc>
        <w:tc>
          <w:tcPr>
            <w:tcW w:type="dxa" w:w="1656"/>
            <w:shd w:fill="F2F4F7"/>
            <w:tcMar>
              <w:top w:w="90" w:type="dxa"/>
              <w:start w:w="120" w:type="dxa"/>
              <w:bottom w:w="90" w:type="dxa"/>
              <w:end w:w="120" w:type="dxa"/>
            </w:tcMar>
            <w:vAlign w:val="center"/>
          </w:tcPr>
          <w:p>
            <w:pPr>
              <w:spacing w:after="0"/>
            </w:pPr>
            <w:r>
              <w:rPr>
                <w:rFonts w:ascii="Calibri" w:hAnsi="Calibri"/>
                <w:b/>
                <w:color w:val="111827"/>
                <w:sz w:val="18"/>
              </w:rPr>
              <w:t>Allocation</w:t>
            </w:r>
          </w:p>
        </w:tc>
        <w:tc>
          <w:tcPr>
            <w:tcW w:type="dxa" w:w="4752"/>
            <w:shd w:fill="F2F4F7"/>
            <w:tcMar>
              <w:top w:w="90" w:type="dxa"/>
              <w:start w:w="120" w:type="dxa"/>
              <w:bottom w:w="90" w:type="dxa"/>
              <w:end w:w="120" w:type="dxa"/>
            </w:tcMar>
            <w:vAlign w:val="center"/>
          </w:tcPr>
          <w:p>
            <w:pPr>
              <w:spacing w:after="0"/>
            </w:pPr>
            <w:r>
              <w:rPr>
                <w:rFonts w:ascii="Calibri" w:hAnsi="Calibri"/>
                <w:b/>
                <w:color w:val="111827"/>
                <w:sz w:val="18"/>
              </w:rPr>
              <w:t>Purpose</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Product and engineering</w:t>
            </w:r>
          </w:p>
        </w:tc>
        <w:tc>
          <w:tcPr>
            <w:tcW w:type="dxa" w:w="3120"/>
            <w:tcMar>
              <w:top w:w="90" w:type="dxa"/>
              <w:start w:w="120" w:type="dxa"/>
              <w:bottom w:w="90" w:type="dxa"/>
              <w:end w:w="120" w:type="dxa"/>
            </w:tcMar>
            <w:vAlign w:val="center"/>
          </w:tcPr>
          <w:p>
            <w:pPr>
              <w:spacing w:after="0"/>
            </w:pPr>
            <w:r>
              <w:rPr>
                <w:rFonts w:ascii="Calibri" w:hAnsi="Calibri"/>
                <w:color w:val="111827"/>
                <w:sz w:val="18"/>
              </w:rPr>
              <w:t>USD 28,000</w:t>
            </w:r>
          </w:p>
        </w:tc>
        <w:tc>
          <w:tcPr>
            <w:tcW w:type="dxa" w:w="3120"/>
            <w:tcMar>
              <w:top w:w="90" w:type="dxa"/>
              <w:start w:w="120" w:type="dxa"/>
              <w:bottom w:w="90" w:type="dxa"/>
              <w:end w:w="120" w:type="dxa"/>
            </w:tcMar>
            <w:vAlign w:val="center"/>
          </w:tcPr>
          <w:p>
            <w:pPr>
              <w:spacing w:after="0"/>
            </w:pPr>
            <w:r>
              <w:rPr>
                <w:rFonts w:ascii="Calibri" w:hAnsi="Calibri"/>
                <w:color w:val="111827"/>
                <w:sz w:val="18"/>
              </w:rPr>
              <w:t>Strengthen core product, reliability, bug fixing, and payment/event operations features.</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Growth and customer acquisition</w:t>
            </w:r>
          </w:p>
        </w:tc>
        <w:tc>
          <w:tcPr>
            <w:tcW w:type="dxa" w:w="3120"/>
            <w:tcMar>
              <w:top w:w="90" w:type="dxa"/>
              <w:start w:w="120" w:type="dxa"/>
              <w:bottom w:w="90" w:type="dxa"/>
              <w:end w:w="120" w:type="dxa"/>
            </w:tcMar>
            <w:vAlign w:val="center"/>
          </w:tcPr>
          <w:p>
            <w:pPr>
              <w:spacing w:after="0"/>
            </w:pPr>
            <w:r>
              <w:rPr>
                <w:rFonts w:ascii="Calibri" w:hAnsi="Calibri"/>
                <w:color w:val="111827"/>
                <w:sz w:val="18"/>
              </w:rPr>
              <w:t>USD 25,000</w:t>
            </w:r>
          </w:p>
        </w:tc>
        <w:tc>
          <w:tcPr>
            <w:tcW w:type="dxa" w:w="3120"/>
            <w:tcMar>
              <w:top w:w="90" w:type="dxa"/>
              <w:start w:w="120" w:type="dxa"/>
              <w:bottom w:w="90" w:type="dxa"/>
              <w:end w:w="120" w:type="dxa"/>
            </w:tcMar>
            <w:vAlign w:val="center"/>
          </w:tcPr>
          <w:p>
            <w:pPr>
              <w:spacing w:after="0"/>
            </w:pPr>
            <w:r>
              <w:rPr>
                <w:rFonts w:ascii="Calibri" w:hAnsi="Calibri"/>
                <w:color w:val="111827"/>
                <w:sz w:val="18"/>
              </w:rPr>
              <w:t>Founder-led sales, field marketing, partnerships, demos, onboarding, and campaigns.</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Customer support and operations</w:t>
            </w:r>
          </w:p>
        </w:tc>
        <w:tc>
          <w:tcPr>
            <w:tcW w:type="dxa" w:w="3120"/>
            <w:tcMar>
              <w:top w:w="90" w:type="dxa"/>
              <w:start w:w="120" w:type="dxa"/>
              <w:bottom w:w="90" w:type="dxa"/>
              <w:end w:w="120" w:type="dxa"/>
            </w:tcMar>
            <w:vAlign w:val="center"/>
          </w:tcPr>
          <w:p>
            <w:pPr>
              <w:spacing w:after="0"/>
            </w:pPr>
            <w:r>
              <w:rPr>
                <w:rFonts w:ascii="Calibri" w:hAnsi="Calibri"/>
                <w:color w:val="111827"/>
                <w:sz w:val="18"/>
              </w:rPr>
              <w:t>USD 14,000</w:t>
            </w:r>
          </w:p>
        </w:tc>
        <w:tc>
          <w:tcPr>
            <w:tcW w:type="dxa" w:w="3120"/>
            <w:tcMar>
              <w:top w:w="90" w:type="dxa"/>
              <w:start w:w="120" w:type="dxa"/>
              <w:bottom w:w="90" w:type="dxa"/>
              <w:end w:w="120" w:type="dxa"/>
            </w:tcMar>
            <w:vAlign w:val="center"/>
          </w:tcPr>
          <w:p>
            <w:pPr>
              <w:spacing w:after="0"/>
            </w:pPr>
            <w:r>
              <w:rPr>
                <w:rFonts w:ascii="Calibri" w:hAnsi="Calibri"/>
                <w:color w:val="111827"/>
                <w:sz w:val="18"/>
              </w:rPr>
              <w:t>Support capacity, helpdesk processes, onboarding material, event-day issue handling.</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Security and compliance</w:t>
            </w:r>
          </w:p>
        </w:tc>
        <w:tc>
          <w:tcPr>
            <w:tcW w:type="dxa" w:w="3120"/>
            <w:tcMar>
              <w:top w:w="90" w:type="dxa"/>
              <w:start w:w="120" w:type="dxa"/>
              <w:bottom w:w="90" w:type="dxa"/>
              <w:end w:w="120" w:type="dxa"/>
            </w:tcMar>
            <w:vAlign w:val="center"/>
          </w:tcPr>
          <w:p>
            <w:pPr>
              <w:spacing w:after="0"/>
            </w:pPr>
            <w:r>
              <w:rPr>
                <w:rFonts w:ascii="Calibri" w:hAnsi="Calibri"/>
                <w:color w:val="111827"/>
                <w:sz w:val="18"/>
              </w:rPr>
              <w:t>USD 12,000</w:t>
            </w:r>
          </w:p>
        </w:tc>
        <w:tc>
          <w:tcPr>
            <w:tcW w:type="dxa" w:w="3120"/>
            <w:tcMar>
              <w:top w:w="90" w:type="dxa"/>
              <w:start w:w="120" w:type="dxa"/>
              <w:bottom w:w="90" w:type="dxa"/>
              <w:end w:w="120" w:type="dxa"/>
            </w:tcMar>
            <w:vAlign w:val="center"/>
          </w:tcPr>
          <w:p>
            <w:pPr>
              <w:spacing w:after="0"/>
            </w:pPr>
            <w:r>
              <w:rPr>
                <w:rFonts w:ascii="Calibri" w:hAnsi="Calibri"/>
                <w:color w:val="111827"/>
                <w:sz w:val="18"/>
              </w:rPr>
              <w:t>Security retainer, penetration testing, privacy/data-protection work, and governance basics.</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Cloud and infrastructure</w:t>
            </w:r>
          </w:p>
        </w:tc>
        <w:tc>
          <w:tcPr>
            <w:tcW w:type="dxa" w:w="3120"/>
            <w:tcMar>
              <w:top w:w="90" w:type="dxa"/>
              <w:start w:w="120" w:type="dxa"/>
              <w:bottom w:w="90" w:type="dxa"/>
              <w:end w:w="120" w:type="dxa"/>
            </w:tcMar>
            <w:vAlign w:val="center"/>
          </w:tcPr>
          <w:p>
            <w:pPr>
              <w:spacing w:after="0"/>
            </w:pPr>
            <w:r>
              <w:rPr>
                <w:rFonts w:ascii="Calibri" w:hAnsi="Calibri"/>
                <w:color w:val="111827"/>
                <w:sz w:val="18"/>
              </w:rPr>
              <w:t>USD 13,000</w:t>
            </w:r>
          </w:p>
        </w:tc>
        <w:tc>
          <w:tcPr>
            <w:tcW w:type="dxa" w:w="3120"/>
            <w:tcMar>
              <w:top w:w="90" w:type="dxa"/>
              <w:start w:w="120" w:type="dxa"/>
              <w:bottom w:w="90" w:type="dxa"/>
              <w:end w:w="120" w:type="dxa"/>
            </w:tcMar>
            <w:vAlign w:val="center"/>
          </w:tcPr>
          <w:p>
            <w:pPr>
              <w:spacing w:after="0"/>
            </w:pPr>
            <w:r>
              <w:rPr>
                <w:rFonts w:ascii="Calibri" w:hAnsi="Calibri"/>
                <w:color w:val="111827"/>
                <w:sz w:val="18"/>
              </w:rPr>
              <w:t>Hosting, database, storage, email delivery, monitoring, backups, and scaling headroom.</w:t>
            </w:r>
          </w:p>
        </w:tc>
      </w:tr>
      <w:tr>
        <w:tc>
          <w:tcPr>
            <w:tcW w:type="dxa" w:w="3120"/>
            <w:tcMar>
              <w:top w:w="90" w:type="dxa"/>
              <w:start w:w="120" w:type="dxa"/>
              <w:bottom w:w="90" w:type="dxa"/>
              <w:end w:w="120" w:type="dxa"/>
            </w:tcMar>
            <w:vAlign w:val="center"/>
          </w:tcPr>
          <w:p>
            <w:pPr>
              <w:spacing w:after="0"/>
            </w:pPr>
            <w:r>
              <w:rPr>
                <w:rFonts w:ascii="Calibri" w:hAnsi="Calibri"/>
                <w:color w:val="111827"/>
                <w:sz w:val="18"/>
              </w:rPr>
              <w:t>Reserve and working capital</w:t>
            </w:r>
          </w:p>
        </w:tc>
        <w:tc>
          <w:tcPr>
            <w:tcW w:type="dxa" w:w="3120"/>
            <w:tcMar>
              <w:top w:w="90" w:type="dxa"/>
              <w:start w:w="120" w:type="dxa"/>
              <w:bottom w:w="90" w:type="dxa"/>
              <w:end w:w="120" w:type="dxa"/>
            </w:tcMar>
            <w:vAlign w:val="center"/>
          </w:tcPr>
          <w:p>
            <w:pPr>
              <w:spacing w:after="0"/>
            </w:pPr>
            <w:r>
              <w:rPr>
                <w:rFonts w:ascii="Calibri" w:hAnsi="Calibri"/>
                <w:color w:val="111827"/>
                <w:sz w:val="18"/>
              </w:rPr>
              <w:t>USD 8,000</w:t>
            </w:r>
          </w:p>
        </w:tc>
        <w:tc>
          <w:tcPr>
            <w:tcW w:type="dxa" w:w="3120"/>
            <w:tcMar>
              <w:top w:w="90" w:type="dxa"/>
              <w:start w:w="120" w:type="dxa"/>
              <w:bottom w:w="90" w:type="dxa"/>
              <w:end w:w="120" w:type="dxa"/>
            </w:tcMar>
            <w:vAlign w:val="center"/>
          </w:tcPr>
          <w:p>
            <w:pPr>
              <w:spacing w:after="0"/>
            </w:pPr>
            <w:r>
              <w:rPr>
                <w:rFonts w:ascii="Calibri" w:hAnsi="Calibri"/>
                <w:color w:val="111827"/>
                <w:sz w:val="18"/>
              </w:rPr>
              <w:t>Runway protection, finance admin, legal, and unforeseen operating pressure.</w:t>
            </w:r>
          </w:p>
        </w:tc>
      </w:tr>
    </w:tbl>
    <w:p>
      <w:pPr>
        <w:spacing w:after="80"/>
      </w:pPr>
    </w:p>
    <w:p>
      <w:pPr>
        <w:spacing w:before="320" w:after="160"/>
      </w:pPr>
      <w:r>
        <w:rPr>
          <w:rFonts w:ascii="Calibri" w:hAnsi="Calibri"/>
          <w:b/>
          <w:color w:val="2E74B5"/>
          <w:sz w:val="32"/>
        </w:rPr>
        <w:t>9. Milestones For The Next 12 Months</w:t>
      </w:r>
    </w:p>
    <w:p>
      <w:pPr>
        <w:pStyle w:val="ListBullet"/>
        <w:spacing w:after="100" w:line="280" w:lineRule="auto"/>
      </w:pPr>
      <w:r>
        <w:rPr>
          <w:rFonts w:ascii="Calibri" w:hAnsi="Calibri"/>
          <w:color w:val="111827"/>
          <w:sz w:val="21"/>
        </w:rPr>
        <w:t>Increase the number of active organizers and repeat-event creators.</w:t>
      </w:r>
    </w:p>
    <w:p>
      <w:pPr>
        <w:pStyle w:val="ListBullet"/>
        <w:spacing w:after="100" w:line="280" w:lineRule="auto"/>
      </w:pPr>
      <w:r>
        <w:rPr>
          <w:rFonts w:ascii="Calibri" w:hAnsi="Calibri"/>
          <w:color w:val="111827"/>
          <w:sz w:val="21"/>
        </w:rPr>
        <w:t>Convert early demand into more paid plans and revenue visibility.</w:t>
      </w:r>
    </w:p>
    <w:p>
      <w:pPr>
        <w:pStyle w:val="ListBullet"/>
        <w:spacing w:after="100" w:line="280" w:lineRule="auto"/>
      </w:pPr>
      <w:r>
        <w:rPr>
          <w:rFonts w:ascii="Calibri" w:hAnsi="Calibri"/>
          <w:color w:val="111827"/>
          <w:sz w:val="21"/>
        </w:rPr>
        <w:t>Improve onboarding, support, and response speed for organizers and attendees.</w:t>
      </w:r>
    </w:p>
    <w:p>
      <w:pPr>
        <w:pStyle w:val="ListBullet"/>
        <w:spacing w:after="100" w:line="280" w:lineRule="auto"/>
      </w:pPr>
      <w:r>
        <w:rPr>
          <w:rFonts w:ascii="Calibri" w:hAnsi="Calibri"/>
          <w:color w:val="111827"/>
          <w:sz w:val="21"/>
        </w:rPr>
        <w:t>Strengthen security, compliance, and operational reliability.</w:t>
      </w:r>
    </w:p>
    <w:p>
      <w:pPr>
        <w:pStyle w:val="ListBullet"/>
        <w:spacing w:after="100" w:line="280" w:lineRule="auto"/>
      </w:pPr>
      <w:r>
        <w:rPr>
          <w:rFonts w:ascii="Calibri" w:hAnsi="Calibri"/>
          <w:color w:val="111827"/>
          <w:sz w:val="21"/>
        </w:rPr>
        <w:t>Build a stronger fundraising case for a follow-on round based on validated growth.</w:t>
      </w:r>
    </w:p>
    <w:p>
      <w:pPr>
        <w:spacing w:before="320" w:after="160"/>
      </w:pPr>
      <w:r>
        <w:rPr>
          <w:rFonts w:ascii="Calibri" w:hAnsi="Calibri"/>
          <w:b/>
          <w:color w:val="2E74B5"/>
          <w:sz w:val="32"/>
        </w:rPr>
        <w:t>10. Risks And Mitigation</w:t>
      </w:r>
    </w:p>
    <w:p>
      <w:pPr>
        <w:pStyle w:val="ListBullet"/>
        <w:spacing w:after="100" w:line="280" w:lineRule="auto"/>
      </w:pPr>
      <w:r>
        <w:rPr>
          <w:rFonts w:ascii="Calibri" w:hAnsi="Calibri"/>
          <w:color w:val="111827"/>
          <w:sz w:val="21"/>
        </w:rPr>
        <w:t>Low paid conversion risk: keep pricing simple and closely observe who asks for premium workflows.</w:t>
      </w:r>
    </w:p>
    <w:p>
      <w:pPr>
        <w:pStyle w:val="ListBullet"/>
        <w:spacing w:after="100" w:line="280" w:lineRule="auto"/>
      </w:pPr>
      <w:r>
        <w:rPr>
          <w:rFonts w:ascii="Calibri" w:hAnsi="Calibri"/>
          <w:color w:val="111827"/>
          <w:sz w:val="21"/>
        </w:rPr>
        <w:t>Slow organizer acquisition risk: focus on beachhead segments and founder-led selling before broad expansion.</w:t>
      </w:r>
    </w:p>
    <w:p>
      <w:pPr>
        <w:pStyle w:val="ListBullet"/>
        <w:spacing w:after="100" w:line="280" w:lineRule="auto"/>
      </w:pPr>
      <w:r>
        <w:rPr>
          <w:rFonts w:ascii="Calibri" w:hAnsi="Calibri"/>
          <w:color w:val="111827"/>
          <w:sz w:val="21"/>
        </w:rPr>
        <w:t>Operational risk on live events: invest early in support, verification reliability, and security discipline.</w:t>
      </w:r>
    </w:p>
    <w:p>
      <w:pPr>
        <w:pStyle w:val="ListBullet"/>
        <w:spacing w:after="100" w:line="280" w:lineRule="auto"/>
      </w:pPr>
      <w:r>
        <w:rPr>
          <w:rFonts w:ascii="Calibri" w:hAnsi="Calibri"/>
          <w:color w:val="111827"/>
          <w:sz w:val="21"/>
        </w:rPr>
        <w:t>Infrastructure and payment complexity risk: keep cloud, backups, logs, and payment operations visible from day one.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Prepared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B5563"/>
        <w:sz w:val="18"/>
      </w:rPr>
      <w:t>EventSlot Investment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