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0F254A"/>
          <w:sz w:val="42"/>
        </w:rPr>
        <w:t>EVENTSLOT: THE LIVING CHRONICLE &amp; FULL SYSTEM AUDIT</w:t>
      </w:r>
    </w:p>
    <w:p>
      <w:pPr>
        <w:spacing w:before="0" w:after="320"/>
      </w:pPr>
      <w:r>
        <w:rPr>
          <w:rFonts w:ascii="Arial" w:hAnsi="Arial"/>
          <w:i/>
          <w:color w:val="1D4ED8"/>
          <w:sz w:val="23"/>
        </w:rPr>
        <w:t>From JKUAT Campus Inception to High-Scale Event Platform: The Official Founder's Story, Technical Evolution &amp; Verified Commit History</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90" w:type="dxa"/>
              <w:bottom w:w="90" w:type="dxa"/>
              <w:left w:w="140" w:type="dxa"/>
              <w:right w:w="140" w:type="dxa"/>
            </w:tcMar>
          </w:tcPr>
          <w:p>
            <w:pPr>
              <w:spacing w:before="0" w:after="0"/>
            </w:pPr>
            <w:r>
              <w:rPr>
                <w:rFonts w:ascii="Arial" w:hAnsi="Arial"/>
                <w:b/>
                <w:color w:val="0F254A"/>
                <w:sz w:val="19"/>
              </w:rPr>
              <w:t xml:space="preserve">Platform: </w:t>
            </w:r>
            <w:r>
              <w:rPr>
                <w:rFonts w:ascii="Arial" w:hAnsi="Arial"/>
                <w:color w:val="334155"/>
                <w:sz w:val="19"/>
              </w:rPr>
              <w:t>EventSlot (eventsslot.com)</w:t>
            </w:r>
          </w:p>
        </w:tc>
        <w:tc>
          <w:tcPr>
            <w:tcW w:type="dxa" w:w="4680"/>
            <w:shd w:fill="F8FAFC"/>
            <w:tcMar>
              <w:top w:w="90" w:type="dxa"/>
              <w:bottom w:w="90" w:type="dxa"/>
              <w:left w:w="140" w:type="dxa"/>
              <w:right w:w="140" w:type="dxa"/>
            </w:tcMar>
          </w:tcPr>
          <w:p>
            <w:pPr>
              <w:spacing w:before="0" w:after="0"/>
            </w:pPr>
            <w:r>
              <w:rPr>
                <w:rFonts w:ascii="Arial" w:hAnsi="Arial"/>
                <w:b/>
                <w:color w:val="0F254A"/>
                <w:sz w:val="19"/>
              </w:rPr>
              <w:t xml:space="preserve">Origin Timeline: </w:t>
            </w:r>
            <w:r>
              <w:rPr>
                <w:rFonts w:ascii="Arial" w:hAnsi="Arial"/>
                <w:color w:val="334155"/>
                <w:sz w:val="19"/>
              </w:rPr>
              <w:t>March 30, 2026 – Present</w:t>
            </w:r>
          </w:p>
        </w:tc>
      </w:tr>
      <w:tr>
        <w:tc>
          <w:tcPr>
            <w:tcW w:type="dxa" w:w="4680"/>
            <w:shd w:fill="F8FAFC"/>
            <w:tcMar>
              <w:top w:w="90" w:type="dxa"/>
              <w:bottom w:w="90" w:type="dxa"/>
              <w:left w:w="140" w:type="dxa"/>
              <w:right w:w="140" w:type="dxa"/>
            </w:tcMar>
          </w:tcPr>
          <w:p>
            <w:pPr>
              <w:spacing w:before="0" w:after="0"/>
            </w:pPr>
            <w:r>
              <w:rPr>
                <w:rFonts w:ascii="Arial" w:hAnsi="Arial"/>
                <w:b/>
                <w:color w:val="0F254A"/>
                <w:sz w:val="19"/>
              </w:rPr>
              <w:t xml:space="preserve">Engineering Scale: </w:t>
            </w:r>
            <w:r>
              <w:rPr>
                <w:rFonts w:ascii="Arial" w:hAnsi="Arial"/>
                <w:color w:val="334155"/>
                <w:sz w:val="19"/>
              </w:rPr>
              <w:t>740+ Production Commits | Google Cloud Run</w:t>
            </w:r>
          </w:p>
        </w:tc>
        <w:tc>
          <w:tcPr>
            <w:tcW w:type="dxa" w:w="4680"/>
            <w:shd w:fill="F8FAFC"/>
            <w:tcMar>
              <w:top w:w="90" w:type="dxa"/>
              <w:bottom w:w="90" w:type="dxa"/>
              <w:left w:w="140" w:type="dxa"/>
              <w:right w:w="140" w:type="dxa"/>
            </w:tcMar>
          </w:tcPr>
          <w:p>
            <w:pPr>
              <w:spacing w:before="0" w:after="0"/>
            </w:pPr>
            <w:r>
              <w:rPr>
                <w:rFonts w:ascii="Arial" w:hAnsi="Arial"/>
                <w:b/>
                <w:color w:val="0F254A"/>
                <w:sz w:val="19"/>
              </w:rPr>
              <w:t xml:space="preserve">Document Status: </w:t>
            </w:r>
            <w:r>
              <w:rPr>
                <w:rFonts w:ascii="Arial" w:hAnsi="Arial"/>
                <w:color w:val="334155"/>
                <w:sz w:val="19"/>
              </w:rPr>
              <w:t>Living Master Document (Chronicle + Commit Matrix)</w:t>
            </w:r>
          </w:p>
        </w:tc>
      </w:tr>
    </w:tbl>
    <w:p>
      <w:pPr>
        <w:spacing w:after="240"/>
      </w:pPr>
    </w:p>
    <w:p>
      <w:pPr>
        <w:spacing w:before="360" w:after="120"/>
      </w:pPr>
      <w:r>
        <w:rPr>
          <w:rFonts w:ascii="Arial" w:hAnsi="Arial"/>
          <w:b/>
          <w:color w:val="0F254A"/>
          <w:sz w:val="29"/>
        </w:rPr>
        <w:t>Prologue: The Philosophy of EventSlot</w:t>
      </w:r>
    </w:p>
    <w:p>
      <w:pPr>
        <w:spacing w:before="0" w:after="120" w:line="276" w:lineRule="auto"/>
      </w:pPr>
      <w:r>
        <w:rPr>
          <w:rFonts w:ascii="Arial" w:hAnsi="Arial"/>
          <w:color w:val="334155"/>
          <w:sz w:val="20"/>
        </w:rPr>
        <w:t>Every transformative software platform begins not in an ivory tower or a corporate boardroom, but in the heat of a real-world dilemma where existing tools fail. EventSlot was born out of an urgent, practical necessity: a campus leader managing a high-demand event with strictly limited physical capacity, seeking total visibility and control over registrations without the chaos of uncapped forms or manual spreadsheets.</w:t>
      </w:r>
    </w:p>
    <w:tbl>
      <w:tblPr>
        <w:tblW w:type="auto" w:w="0"/>
        <w:jc w:val="center"/>
        <w:tblLayout w:type="fixed"/>
        <w:tblLook w:firstColumn="1" w:firstRow="1" w:lastColumn="0" w:lastRow="0" w:noHBand="0" w:noVBand="1" w:val="04A0"/>
      </w:tblPr>
      <w:tblGrid>
        <w:gridCol w:w="9360"/>
      </w:tblGrid>
      <w:tr>
        <w:tc>
          <w:tcPr>
            <w:tcW w:type="dxa" w:w="9360"/>
            <w:shd w:fill="F0F4F8"/>
            <w:tcMar>
              <w:top w:w="160" w:type="dxa"/>
              <w:bottom w:w="160" w:type="dxa"/>
              <w:left w:w="220" w:type="dxa"/>
              <w:right w:w="220" w:type="dxa"/>
            </w:tcMar>
            <w:tcBorders>
              <w:left w:val="single" w:sz="36" w:space="0" w:color="1D4ED8"/>
              <w:top w:val="none"/>
              <w:right w:val="none"/>
              <w:bottom w:val="none"/>
            </w:tcBorders>
          </w:tcPr>
          <w:p>
            <w:pPr>
              <w:spacing w:before="40" w:after="80"/>
            </w:pPr>
            <w:r>
              <w:rPr>
                <w:rFonts w:ascii="Georgia" w:hAnsi="Georgia"/>
                <w:i/>
                <w:color w:val="1E293B"/>
                <w:sz w:val="21"/>
              </w:rPr>
              <w:t>“I have an event, I'm giving it slots. That is how EventSlot was born. We wanted a form in which we can see who is registering, control who can register, and maintain absolute visibility over who is doing what in the platform.”</w:t>
            </w:r>
          </w:p>
          <w:p>
            <w:pPr>
              <w:spacing w:before="40" w:after="40"/>
            </w:pPr>
            <w:r>
              <w:rPr>
                <w:rFonts w:ascii="Arial" w:hAnsi="Arial"/>
                <w:b/>
                <w:color w:val="1D4ED8"/>
                <w:sz w:val="19"/>
              </w:rPr>
              <w:t>— Founder Genesis Note</w:t>
            </w:r>
          </w:p>
        </w:tc>
      </w:tr>
    </w:tbl>
    <w:p>
      <w:pPr>
        <w:spacing w:after="120"/>
      </w:pPr>
    </w:p>
    <w:p>
      <w:pPr>
        <w:spacing w:before="360" w:after="120"/>
      </w:pPr>
      <w:r>
        <w:rPr>
          <w:rFonts w:ascii="Arial" w:hAnsi="Arial"/>
          <w:b/>
          <w:color w:val="0F254A"/>
          <w:sz w:val="29"/>
        </w:rPr>
        <w:t>Chapter 1: The Spark at JKUAT NCBD Campus</w:t>
      </w:r>
    </w:p>
    <w:p>
      <w:pPr>
        <w:spacing w:before="240" w:after="80"/>
      </w:pPr>
      <w:r>
        <w:rPr>
          <w:rFonts w:ascii="Arial" w:hAnsi="Arial"/>
          <w:b/>
          <w:color w:val="1D4ED8"/>
          <w:sz w:val="24"/>
        </w:rPr>
        <w:t>1.1 The Dilemma of the Secretary General</w:t>
      </w:r>
    </w:p>
    <w:p>
      <w:pPr>
        <w:spacing w:before="0" w:after="120" w:line="276" w:lineRule="auto"/>
      </w:pPr>
      <w:r>
        <w:rPr>
          <w:rFonts w:ascii="Arial" w:hAnsi="Arial"/>
          <w:color w:val="334155"/>
          <w:sz w:val="20"/>
        </w:rPr>
        <w:t>The story began at Jomo Kenyatta University of Agriculture and Technology (JKUAT), Nairobi Central Business District (NCBD) campus. Serving as the student Secretary General, the founder was tasked with organizing a major campus event. Because admission was free, demand was guaranteed to skyrocket, yet venue seating and resources were strictly capped.</w:t>
      </w:r>
    </w:p>
    <w:p>
      <w:pPr>
        <w:spacing w:before="240" w:after="80"/>
      </w:pPr>
      <w:r>
        <w:rPr>
          <w:rFonts w:ascii="Arial" w:hAnsi="Arial"/>
          <w:b/>
          <w:color w:val="1D4ED8"/>
          <w:sz w:val="24"/>
        </w:rPr>
        <w:t>1.2 The Failure of Generic Forms &amp; The 4-Day Clock</w:t>
      </w:r>
    </w:p>
    <w:p>
      <w:pPr>
        <w:spacing w:before="0" w:after="120" w:line="276" w:lineRule="auto"/>
      </w:pPr>
      <w:r>
        <w:rPr>
          <w:rFonts w:ascii="Arial" w:hAnsi="Arial"/>
          <w:color w:val="334155"/>
          <w:sz w:val="20"/>
        </w:rPr>
        <w:t>Looking at conventional options like Google Forms, the structural flaws were obvious: Google Forms had no native concept of slot exhaustion, no live attendee verification, no organizer gatekeeping controls, and no real-time auditability. Furthermore, leadership needed a verified attendee list in exactly four days—and no dedicated platform existed.</w:t>
      </w:r>
    </w:p>
    <w:p>
      <w:pPr>
        <w:spacing w:before="0" w:after="120" w:line="276" w:lineRule="auto"/>
      </w:pPr>
      <w:r>
        <w:rPr>
          <w:rFonts w:ascii="Arial" w:hAnsi="Arial"/>
          <w:color w:val="334155"/>
          <w:sz w:val="20"/>
        </w:rPr>
        <w:t>Instead of resigning to manual spreadsheets and chaotic list reconciliation, the founder began building. The core name and architecture materialized simultaneously: Event + Slots = EventSlot.</w:t>
      </w:r>
    </w:p>
    <w:p>
      <w:pPr>
        <w:spacing w:before="360" w:after="120"/>
      </w:pPr>
      <w:r>
        <w:rPr>
          <w:rFonts w:ascii="Arial" w:hAnsi="Arial"/>
          <w:b/>
          <w:color w:val="0F254A"/>
          <w:sz w:val="29"/>
        </w:rPr>
        <w:t>Chapter 2: The First Crucible &amp; Easter Tomb Event (March – April 2026)</w:t>
      </w:r>
    </w:p>
    <w:p>
      <w:pPr>
        <w:spacing w:before="240" w:after="80"/>
      </w:pPr>
      <w:r>
        <w:rPr>
          <w:rFonts w:ascii="Arial" w:hAnsi="Arial"/>
          <w:b/>
          <w:color w:val="1D4ED8"/>
          <w:sz w:val="24"/>
        </w:rPr>
        <w:t>2.1 The Genesis Commit (March 30, 2026)</w:t>
      </w:r>
    </w:p>
    <w:p>
      <w:pPr>
        <w:spacing w:before="0" w:after="120" w:line="276" w:lineRule="auto"/>
      </w:pPr>
      <w:r>
        <w:rPr>
          <w:rFonts w:ascii="Arial" w:hAnsi="Arial"/>
          <w:color w:val="334155"/>
          <w:sz w:val="20"/>
        </w:rPr>
        <w:t>On March 30, 2026, the repository logged commit d801b22 ('My first Commit'), establishing the foundational architecture with Next.js 16, NextAuth (Google OAuth + Credentials), and a Prisma-managed database schema on Neon Postgres.</w:t>
      </w:r>
    </w:p>
    <w:p>
      <w:pPr>
        <w:spacing w:before="240" w:after="80"/>
      </w:pPr>
      <w:r>
        <w:rPr>
          <w:rFonts w:ascii="Arial" w:hAnsi="Arial"/>
          <w:b/>
          <w:color w:val="1D4ED8"/>
          <w:sz w:val="24"/>
        </w:rPr>
        <w:t>2.2 Launching into the Fire: The Easter Tomb Event</w:t>
      </w:r>
    </w:p>
    <w:p>
      <w:pPr>
        <w:spacing w:before="0" w:after="120" w:line="276" w:lineRule="auto"/>
      </w:pPr>
      <w:r>
        <w:rPr>
          <w:rFonts w:ascii="Arial" w:hAnsi="Arial"/>
          <w:color w:val="334155"/>
          <w:sz w:val="20"/>
        </w:rPr>
        <w:t>The first true trial arrived during the first week of April 2026 during the Easter holiday ('The Tomb Event'). The platform was launched in a raw state, packed with bugs and unhandled states. However, as attendees registered live, every bug immediately became a commit.</w:t>
      </w:r>
    </w:p>
    <w:tbl>
      <w:tblPr>
        <w:tblW w:type="auto" w:w="0"/>
        <w:jc w:val="center"/>
        <w:tblLayout w:type="fixed"/>
        <w:tblLook w:firstColumn="1" w:firstRow="1" w:lastColumn="0" w:lastRow="0" w:noHBand="0" w:noVBand="1" w:val="04A0"/>
      </w:tblPr>
      <w:tblGrid>
        <w:gridCol w:w="9360"/>
      </w:tblGrid>
      <w:tr>
        <w:tc>
          <w:tcPr>
            <w:tcW w:type="dxa" w:w="9360"/>
            <w:shd w:fill="F0F4F8"/>
            <w:tcMar>
              <w:top w:w="160" w:type="dxa"/>
              <w:bottom w:w="160" w:type="dxa"/>
              <w:left w:w="220" w:type="dxa"/>
              <w:right w:w="220" w:type="dxa"/>
            </w:tcMar>
            <w:tcBorders>
              <w:left w:val="single" w:sz="36" w:space="0" w:color="1D4ED8"/>
              <w:top w:val="none"/>
              <w:right w:val="none"/>
              <w:bottom w:val="none"/>
            </w:tcBorders>
          </w:tcPr>
          <w:p>
            <w:pPr>
              <w:spacing w:before="40" w:after="80"/>
            </w:pPr>
            <w:r>
              <w:rPr>
                <w:rFonts w:ascii="Georgia" w:hAnsi="Georgia"/>
                <w:i/>
                <w:color w:val="1E293B"/>
                <w:sz w:val="21"/>
              </w:rPr>
              <w:t>“We just launched it when nothing was ready. It had so many errors and we didn't know how to fix them all because we were in a hurry. The event was in four days and I needed the list. But as people registered, every issue we noticed became a commit. The platform was literally forged by live attendee traffic.”</w:t>
            </w:r>
          </w:p>
          <w:p>
            <w:pPr>
              <w:spacing w:before="40" w:after="40"/>
            </w:pPr>
            <w:r>
              <w:rPr>
                <w:rFonts w:ascii="Arial" w:hAnsi="Arial"/>
                <w:b/>
                <w:color w:val="1D4ED8"/>
                <w:sz w:val="19"/>
              </w:rPr>
              <w:t>— Crucible Reflections</w:t>
            </w:r>
          </w:p>
        </w:tc>
      </w:tr>
    </w:tbl>
    <w:p>
      <w:pPr>
        <w:spacing w:after="120"/>
      </w:pPr>
    </w:p>
    <w:p>
      <w:pPr>
        <w:spacing w:before="360" w:after="120"/>
      </w:pPr>
      <w:r>
        <w:rPr>
          <w:rFonts w:ascii="Arial" w:hAnsi="Arial"/>
          <w:b/>
          <w:color w:val="0F254A"/>
          <w:sz w:val="29"/>
        </w:rPr>
        <w:t>Chapter 3: Co-Founder Synergy &amp; The Public Launch (April 15, 2026)</w:t>
      </w:r>
    </w:p>
    <w:p>
      <w:pPr>
        <w:spacing w:before="240" w:after="80"/>
      </w:pPr>
      <w:r>
        <w:rPr>
          <w:rFonts w:ascii="Arial" w:hAnsi="Arial"/>
          <w:b/>
          <w:color w:val="1D4ED8"/>
          <w:sz w:val="24"/>
        </w:rPr>
        <w:t>3.1 Assembling the Core Team</w:t>
      </w:r>
    </w:p>
    <w:p>
      <w:pPr>
        <w:spacing w:before="0" w:after="120" w:line="276" w:lineRule="auto"/>
      </w:pPr>
      <w:r>
        <w:rPr>
          <w:rFonts w:ascii="Arial" w:hAnsi="Arial"/>
          <w:color w:val="334155"/>
          <w:sz w:val="20"/>
        </w:rPr>
        <w:t>Following the Easter event, word began to spread. People who attended or registered started asking: 'What is this platform? Where did it come from?' Recognizing that engineering brilliance required a counterpart in brand storytelling and growth, the founder met a talented co-founder with deep expertise in marketing.</w:t>
      </w:r>
    </w:p>
    <w:p>
      <w:pPr>
        <w:spacing w:before="0" w:after="120" w:line="276" w:lineRule="auto"/>
      </w:pPr>
      <w:r>
        <w:rPr>
          <w:rFonts w:ascii="Arial" w:hAnsi="Arial"/>
          <w:color w:val="334155"/>
          <w:sz w:val="20"/>
        </w:rPr>
        <w:t>Together, they structured a partnership and brought her on board as a key leader. On April 15, 2026, the team recorded and launched their very first promotional video, establishing EventSlot's public identity.</w:t>
      </w:r>
    </w:p>
    <w:p>
      <w:pPr>
        <w:spacing w:before="360" w:after="120"/>
      </w:pPr>
      <w:r>
        <w:rPr>
          <w:rFonts w:ascii="Arial" w:hAnsi="Arial"/>
          <w:b/>
          <w:color w:val="0F254A"/>
          <w:sz w:val="29"/>
        </w:rPr>
        <w:t>Chapter 4: The Celebrity Breakthrough &amp; The 12-Hour Crisis (Late April 2026)</w:t>
      </w:r>
    </w:p>
    <w:p>
      <w:pPr>
        <w:spacing w:before="240" w:after="80"/>
      </w:pPr>
      <w:r>
        <w:rPr>
          <w:rFonts w:ascii="Arial" w:hAnsi="Arial"/>
          <w:b/>
          <w:color w:val="1D4ED8"/>
          <w:sz w:val="24"/>
        </w:rPr>
        <w:t>4.1 The International Milestone: Regina Daniels &amp; RCCD Carnival</w:t>
      </w:r>
    </w:p>
    <w:p>
      <w:pPr>
        <w:spacing w:before="0" w:after="120" w:line="276" w:lineRule="auto"/>
      </w:pPr>
      <w:r>
        <w:rPr>
          <w:rFonts w:ascii="Arial" w:hAnsi="Arial"/>
          <w:color w:val="334155"/>
          <w:sz w:val="20"/>
        </w:rPr>
        <w:t>By late April 2026, EventSlot experienced a monumental breakthrough. Prominent Nigerian actress and public figure Regina Daniels and the organizers of the RCCD Carnival chose EventSlot as their registration engine. For a young startup originating on a university campus, powering an international celebrity's event was a validation of immense magnitude.</w:t>
      </w:r>
    </w:p>
    <w:p>
      <w:pPr>
        <w:spacing w:before="240" w:after="80"/>
      </w:pPr>
      <w:r>
        <w:rPr>
          <w:rFonts w:ascii="Arial" w:hAnsi="Arial"/>
          <w:b/>
          <w:color w:val="1D4ED8"/>
          <w:sz w:val="24"/>
        </w:rPr>
        <w:t>4.2 Disaster Strikes: The Database Crash 72 Hours Before Launch</w:t>
      </w:r>
    </w:p>
    <w:p>
      <w:pPr>
        <w:spacing w:before="0" w:after="120" w:line="276" w:lineRule="auto"/>
      </w:pPr>
      <w:r>
        <w:rPr>
          <w:rFonts w:ascii="Arial" w:hAnsi="Arial"/>
          <w:color w:val="334155"/>
          <w:sz w:val="20"/>
        </w:rPr>
        <w:t>Three days before the carnival, disaster struck: the production database crashed completely, and active attendee data was inaccessible without an automated backup snapshot in place.</w:t>
      </w:r>
    </w:p>
    <w:tbl>
      <w:tblPr>
        <w:tblW w:type="auto" w:w="0"/>
        <w:jc w:val="center"/>
        <w:tblLayout w:type="fixed"/>
        <w:tblLook w:firstColumn="1" w:firstRow="1" w:lastColumn="0" w:lastRow="0" w:noHBand="0" w:noVBand="1" w:val="04A0"/>
      </w:tblPr>
      <w:tblGrid>
        <w:gridCol w:w="9360"/>
      </w:tblGrid>
      <w:tr>
        <w:tc>
          <w:tcPr>
            <w:tcW w:type="dxa" w:w="9360"/>
            <w:shd w:fill="F0F4F8"/>
            <w:tcMar>
              <w:top w:w="160" w:type="dxa"/>
              <w:bottom w:w="160" w:type="dxa"/>
              <w:left w:w="220" w:type="dxa"/>
              <w:right w:w="220" w:type="dxa"/>
            </w:tcMar>
            <w:tcBorders>
              <w:left w:val="single" w:sz="36" w:space="0" w:color="1D4ED8"/>
              <w:top w:val="none"/>
              <w:right w:val="none"/>
              <w:bottom w:val="none"/>
            </w:tcBorders>
          </w:tcPr>
          <w:p>
            <w:pPr>
              <w:spacing w:before="40" w:after="80"/>
            </w:pPr>
            <w:r>
              <w:rPr>
                <w:rFonts w:ascii="Georgia" w:hAnsi="Georgia"/>
                <w:i/>
                <w:color w:val="1E293B"/>
                <w:sz w:val="21"/>
              </w:rPr>
              <w:t>“You're dealing with a popular celebrity having their event on your platform—your breakthrough moment—and the database crashes. That night we had an evening church service. Knowing I had an early morning engagement, I stayed awake all night without sleep just to work on EventSlot. The database was down, data seemed lost, and we had 10 to 12 hours of agonizing stress and pressure. But we refused to quit, fixed it, and restored everything.”</w:t>
            </w:r>
          </w:p>
          <w:p>
            <w:pPr>
              <w:spacing w:before="40" w:after="40"/>
            </w:pPr>
            <w:r>
              <w:rPr>
                <w:rFonts w:ascii="Arial" w:hAnsi="Arial"/>
                <w:b/>
                <w:color w:val="1D4ED8"/>
                <w:sz w:val="19"/>
              </w:rPr>
              <w:t>— The 12-Hour Crisis Log</w:t>
            </w:r>
          </w:p>
        </w:tc>
      </w:tr>
    </w:tbl>
    <w:p>
      <w:pPr>
        <w:spacing w:after="120"/>
      </w:pPr>
    </w:p>
    <w:p>
      <w:pPr>
        <w:spacing w:before="240" w:after="80"/>
      </w:pPr>
      <w:r>
        <w:rPr>
          <w:rFonts w:ascii="Arial" w:hAnsi="Arial"/>
          <w:b/>
          <w:color w:val="1D4ED8"/>
          <w:sz w:val="24"/>
        </w:rPr>
        <w:t>4.3 The Heroic Restoration &amp; Hardened Foundation</w:t>
      </w:r>
    </w:p>
    <w:p>
      <w:pPr>
        <w:spacing w:before="0" w:after="120" w:line="276" w:lineRule="auto"/>
      </w:pPr>
      <w:r>
        <w:rPr>
          <w:rFonts w:ascii="Arial" w:hAnsi="Arial"/>
          <w:color w:val="334155"/>
          <w:sz w:val="20"/>
        </w:rPr>
        <w:t>Through a grueling 10 to 12-hour overnight marathon, the team successfully recovered the database and verified attendee data integrity before the event opened. That crucible transformed EventSlot's engineering culture forever, leading to robust connection pooling (Neon), point-in-time recovery, containerized reliability on Google Cloud Run, and cryptographic QR check-in tokens.</w:t>
      </w:r>
    </w:p>
    <w:p>
      <w:pPr>
        <w:spacing w:before="360" w:after="120"/>
      </w:pPr>
      <w:r>
        <w:rPr>
          <w:rFonts w:ascii="Arial" w:hAnsi="Arial"/>
          <w:b/>
          <w:color w:val="0F254A"/>
          <w:sz w:val="29"/>
        </w:rPr>
        <w:t>Chapter 5: The Audacity to Pitch &amp; Institutional Adoption (May – July 2026)</w:t>
      </w:r>
    </w:p>
    <w:p>
      <w:pPr>
        <w:spacing w:before="240" w:after="80"/>
      </w:pPr>
      <w:r>
        <w:rPr>
          <w:rFonts w:ascii="Arial" w:hAnsi="Arial"/>
          <w:b/>
          <w:color w:val="1D4ED8"/>
          <w:sz w:val="24"/>
        </w:rPr>
        <w:t>5.1 The Audacity of ASFEC &amp; The Pitch</w:t>
      </w:r>
    </w:p>
    <w:p>
      <w:pPr>
        <w:spacing w:before="0" w:after="120" w:line="276" w:lineRule="auto"/>
      </w:pPr>
      <w:r>
        <w:rPr>
          <w:rFonts w:ascii="Arial" w:hAnsi="Arial"/>
          <w:color w:val="334155"/>
          <w:sz w:val="20"/>
        </w:rPr>
        <w:t>The confidence gained from powering an international celebrity event gave the founders the audacity to dream bigger. They reached out to Operation ASFEC, an influential organization. Impressed by EventSlot's boldness and live track record, ASFEC invited the founders to pitch—and immediately fell in love with the platform's vision.</w:t>
      </w:r>
    </w:p>
    <w:tbl>
      <w:tblPr>
        <w:tblW w:type="auto" w:w="0"/>
        <w:jc w:val="center"/>
        <w:tblLayout w:type="fixed"/>
        <w:tblLook w:firstColumn="1" w:firstRow="1" w:lastColumn="0" w:lastRow="0" w:noHBand="0" w:noVBand="1" w:val="04A0"/>
      </w:tblPr>
      <w:tblGrid>
        <w:gridCol w:w="9360"/>
      </w:tblGrid>
      <w:tr>
        <w:tc>
          <w:tcPr>
            <w:tcW w:type="dxa" w:w="9360"/>
            <w:shd w:fill="F0F4F8"/>
            <w:tcMar>
              <w:top w:w="160" w:type="dxa"/>
              <w:bottom w:w="160" w:type="dxa"/>
              <w:left w:w="220" w:type="dxa"/>
              <w:right w:w="220" w:type="dxa"/>
            </w:tcMar>
            <w:tcBorders>
              <w:left w:val="single" w:sz="36" w:space="0" w:color="1D4ED8"/>
              <w:top w:val="none"/>
              <w:right w:val="none"/>
              <w:bottom w:val="none"/>
            </w:tcBorders>
          </w:tcPr>
          <w:p>
            <w:pPr>
              <w:spacing w:before="40" w:after="80"/>
            </w:pPr>
            <w:r>
              <w:rPr>
                <w:rFonts w:ascii="Georgia" w:hAnsi="Georgia"/>
                <w:i/>
                <w:color w:val="1E293B"/>
                <w:sz w:val="21"/>
              </w:rPr>
              <w:t>“After seeing such a high-profile person using it, it gave me the confidence that we are actually on the right track. We were not just building a small thing. That is where we got the audacity to write a message to ASFEC, and when they invited us to pitch, they loved the idea. It all came from having the audacity to give it a try.”</w:t>
            </w:r>
          </w:p>
          <w:p>
            <w:pPr>
              <w:spacing w:before="40" w:after="40"/>
            </w:pPr>
            <w:r>
              <w:rPr>
                <w:rFonts w:ascii="Arial" w:hAnsi="Arial"/>
                <w:b/>
                <w:color w:val="1D4ED8"/>
                <w:sz w:val="19"/>
              </w:rPr>
              <w:t>— The Audacity Turning Point</w:t>
            </w:r>
          </w:p>
        </w:tc>
      </w:tr>
    </w:tbl>
    <w:p>
      <w:pPr>
        <w:spacing w:after="120"/>
      </w:pPr>
    </w:p>
    <w:p>
      <w:pPr>
        <w:spacing w:before="240" w:after="80"/>
      </w:pPr>
      <w:r>
        <w:rPr>
          <w:rFonts w:ascii="Arial" w:hAnsi="Arial"/>
          <w:b/>
          <w:color w:val="1D4ED8"/>
          <w:sz w:val="24"/>
        </w:rPr>
        <w:t>5.2 Stratos Conference &amp; The Broadening Event Horizon</w:t>
      </w:r>
    </w:p>
    <w:p>
      <w:pPr>
        <w:spacing w:before="0" w:after="120" w:line="276" w:lineRule="auto"/>
      </w:pPr>
      <w:r>
        <w:rPr>
          <w:rFonts w:ascii="Arial" w:hAnsi="Arial"/>
          <w:color w:val="334155"/>
          <w:sz w:val="20"/>
        </w:rPr>
        <w:t>Following ASFEC, the platform began powering a broader spectrum of commercial and leadership events, including the Stratos Conference, corporate workshops, and multi-track conferences. With wider adoption came new technological challenges—most notably, the urgent need for a robust, multi-gateway payment processing infrastructure.</w:t>
      </w:r>
    </w:p>
    <w:p>
      <w:pPr>
        <w:spacing w:before="360" w:after="120"/>
      </w:pPr>
      <w:r>
        <w:rPr>
          <w:rFonts w:ascii="Arial" w:hAnsi="Arial"/>
          <w:b/>
          <w:color w:val="0F254A"/>
          <w:sz w:val="29"/>
        </w:rPr>
        <w:t>Chapter 6: Complete Technical Feature &amp; Commit Audit Matrix</w:t>
      </w:r>
    </w:p>
    <w:p>
      <w:pPr>
        <w:spacing w:before="0" w:after="120" w:line="276" w:lineRule="auto"/>
      </w:pPr>
      <w:r>
        <w:rPr>
          <w:rFonts w:ascii="Arial" w:hAnsi="Arial"/>
          <w:color w:val="334155"/>
          <w:sz w:val="20"/>
        </w:rPr>
        <w:t>Every feature in EventSlot is directly grounded in real-world organizer needs and recorded in the repository commit history. Below is the verified chronological mapping of key platform capabilities from Day 1 to present across 740+ commits: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254A"/>
            <w:tcMar>
              <w:top w:w="100" w:type="dxa"/>
              <w:bottom w:w="100" w:type="dxa"/>
              <w:left w:w="100" w:type="dxa"/>
              <w:right w:w="100" w:type="dxa"/>
            </w:tcMar>
          </w:tcPr>
          <w:p>
            <w:r>
              <w:rPr>
                <w:rFonts w:ascii="Arial" w:hAnsi="Arial"/>
                <w:b/>
                <w:color w:val="FFFFFF"/>
                <w:sz w:val="19"/>
              </w:rPr>
              <w:t>Date</w:t>
            </w:r>
          </w:p>
        </w:tc>
        <w:tc>
          <w:tcPr>
            <w:tcW w:type="dxa" w:w="2340"/>
            <w:shd w:fill="0F254A"/>
            <w:tcMar>
              <w:top w:w="100" w:type="dxa"/>
              <w:bottom w:w="100" w:type="dxa"/>
              <w:left w:w="100" w:type="dxa"/>
              <w:right w:w="100" w:type="dxa"/>
            </w:tcMar>
          </w:tcPr>
          <w:p>
            <w:r>
              <w:rPr>
                <w:rFonts w:ascii="Arial" w:hAnsi="Arial"/>
                <w:b/>
                <w:color w:val="FFFFFF"/>
                <w:sz w:val="19"/>
              </w:rPr>
              <w:t>Commit</w:t>
            </w:r>
          </w:p>
        </w:tc>
        <w:tc>
          <w:tcPr>
            <w:tcW w:type="dxa" w:w="2340"/>
            <w:shd w:fill="0F254A"/>
            <w:tcMar>
              <w:top w:w="100" w:type="dxa"/>
              <w:bottom w:w="100" w:type="dxa"/>
              <w:left w:w="100" w:type="dxa"/>
              <w:right w:w="100" w:type="dxa"/>
            </w:tcMar>
          </w:tcPr>
          <w:p>
            <w:r>
              <w:rPr>
                <w:rFonts w:ascii="Arial" w:hAnsi="Arial"/>
                <w:b/>
                <w:color w:val="FFFFFF"/>
                <w:sz w:val="19"/>
              </w:rPr>
              <w:t>Feature Domain</w:t>
            </w:r>
          </w:p>
        </w:tc>
        <w:tc>
          <w:tcPr>
            <w:tcW w:type="dxa" w:w="2340"/>
            <w:shd w:fill="0F254A"/>
            <w:tcMar>
              <w:top w:w="100" w:type="dxa"/>
              <w:bottom w:w="100" w:type="dxa"/>
              <w:left w:w="100" w:type="dxa"/>
              <w:right w:w="100" w:type="dxa"/>
            </w:tcMar>
          </w:tcPr>
          <w:p>
            <w:r>
              <w:rPr>
                <w:rFonts w:ascii="Arial" w:hAnsi="Arial"/>
                <w:b/>
                <w:color w:val="FFFFFF"/>
                <w:sz w:val="19"/>
              </w:rPr>
              <w:t>Technical Implementation &amp; Impact</w:t>
            </w:r>
          </w:p>
        </w:tc>
      </w:tr>
      <w:tr>
        <w:tc>
          <w:tcPr>
            <w:tcW w:type="dxa" w:w="1440"/>
            <w:shd w:fill="F8FAFC"/>
            <w:tcMar>
              <w:top w:w="70" w:type="dxa"/>
              <w:bottom w:w="70" w:type="dxa"/>
              <w:left w:w="90" w:type="dxa"/>
              <w:right w:w="90" w:type="dxa"/>
            </w:tcMar>
          </w:tcPr>
          <w:p>
            <w:pPr>
              <w:spacing w:before="0" w:after="0"/>
            </w:pPr>
            <w:r>
              <w:rPr>
                <w:rFonts w:ascii="Arial" w:hAnsi="Arial"/>
                <w:color w:val="334155"/>
                <w:sz w:val="17"/>
              </w:rPr>
              <w:t>2026-03-30</w:t>
            </w:r>
          </w:p>
        </w:tc>
        <w:tc>
          <w:tcPr>
            <w:tcW w:type="dxa" w:w="1152"/>
            <w:shd w:fill="F8FAFC"/>
            <w:tcMar>
              <w:top w:w="70" w:type="dxa"/>
              <w:bottom w:w="70" w:type="dxa"/>
              <w:left w:w="90" w:type="dxa"/>
              <w:right w:w="90" w:type="dxa"/>
            </w:tcMar>
          </w:tcPr>
          <w:p>
            <w:pPr>
              <w:spacing w:before="0" w:after="0"/>
            </w:pPr>
            <w:r>
              <w:rPr>
                <w:rFonts w:ascii="Arial" w:hAnsi="Arial"/>
                <w:b/>
                <w:color w:val="1D4ED8"/>
                <w:sz w:val="17"/>
              </w:rPr>
              <w:t>d801b22</w:t>
            </w:r>
          </w:p>
        </w:tc>
        <w:tc>
          <w:tcPr>
            <w:tcW w:type="dxa" w:w="1872"/>
            <w:shd w:fill="F8FAFC"/>
            <w:tcMar>
              <w:top w:w="70" w:type="dxa"/>
              <w:bottom w:w="70" w:type="dxa"/>
              <w:left w:w="90" w:type="dxa"/>
              <w:right w:w="90" w:type="dxa"/>
            </w:tcMar>
          </w:tcPr>
          <w:p>
            <w:pPr>
              <w:spacing w:before="0" w:after="0"/>
            </w:pPr>
            <w:r>
              <w:rPr>
                <w:rFonts w:ascii="Arial" w:hAnsi="Arial"/>
                <w:b/>
                <w:color w:val="0F254A"/>
                <w:sz w:val="17"/>
              </w:rPr>
              <w:t>Genesis / Core</w:t>
            </w:r>
          </w:p>
        </w:tc>
        <w:tc>
          <w:tcPr>
            <w:tcW w:type="dxa" w:w="4896"/>
            <w:shd w:fill="F8FAFC"/>
            <w:tcMar>
              <w:top w:w="70" w:type="dxa"/>
              <w:bottom w:w="70" w:type="dxa"/>
              <w:left w:w="90" w:type="dxa"/>
              <w:right w:w="90" w:type="dxa"/>
            </w:tcMar>
          </w:tcPr>
          <w:p>
            <w:pPr>
              <w:spacing w:before="0" w:after="0"/>
            </w:pPr>
            <w:r>
              <w:rPr>
                <w:rFonts w:ascii="Arial" w:hAnsi="Arial"/>
                <w:color w:val="334155"/>
                <w:sz w:val="17"/>
              </w:rPr>
              <w:t>Initial Project scaffolding: Next.js 16, TypeScript, Tailwind CSS, Prisma ORM.</w:t>
            </w:r>
          </w:p>
        </w:tc>
      </w:tr>
      <w:tr>
        <w:tc>
          <w:tcPr>
            <w:tcW w:type="dxa" w:w="1440"/>
            <w:shd w:fill="FFFFFF"/>
            <w:tcMar>
              <w:top w:w="70" w:type="dxa"/>
              <w:bottom w:w="70" w:type="dxa"/>
              <w:left w:w="90" w:type="dxa"/>
              <w:right w:w="90" w:type="dxa"/>
            </w:tcMar>
          </w:tcPr>
          <w:p>
            <w:pPr>
              <w:spacing w:before="0" w:after="0"/>
            </w:pPr>
            <w:r>
              <w:rPr>
                <w:rFonts w:ascii="Arial" w:hAnsi="Arial"/>
                <w:color w:val="334155"/>
                <w:sz w:val="17"/>
              </w:rPr>
              <w:t>2026-03-30</w:t>
            </w:r>
          </w:p>
        </w:tc>
        <w:tc>
          <w:tcPr>
            <w:tcW w:type="dxa" w:w="1152"/>
            <w:shd w:fill="FFFFFF"/>
            <w:tcMar>
              <w:top w:w="70" w:type="dxa"/>
              <w:bottom w:w="70" w:type="dxa"/>
              <w:left w:w="90" w:type="dxa"/>
              <w:right w:w="90" w:type="dxa"/>
            </w:tcMar>
          </w:tcPr>
          <w:p>
            <w:pPr>
              <w:spacing w:before="0" w:after="0"/>
            </w:pPr>
            <w:r>
              <w:rPr>
                <w:rFonts w:ascii="Arial" w:hAnsi="Arial"/>
                <w:b/>
                <w:color w:val="1D4ED8"/>
                <w:sz w:val="17"/>
              </w:rPr>
              <w:t>4bd1ed2</w:t>
            </w:r>
          </w:p>
        </w:tc>
        <w:tc>
          <w:tcPr>
            <w:tcW w:type="dxa" w:w="1872"/>
            <w:shd w:fill="FFFFFF"/>
            <w:tcMar>
              <w:top w:w="70" w:type="dxa"/>
              <w:bottom w:w="70" w:type="dxa"/>
              <w:left w:w="90" w:type="dxa"/>
              <w:right w:w="90" w:type="dxa"/>
            </w:tcMar>
          </w:tcPr>
          <w:p>
            <w:pPr>
              <w:spacing w:before="0" w:after="0"/>
            </w:pPr>
            <w:r>
              <w:rPr>
                <w:rFonts w:ascii="Arial" w:hAnsi="Arial"/>
                <w:b/>
                <w:color w:val="0F254A"/>
                <w:sz w:val="17"/>
              </w:rPr>
              <w:t>Authentication</w:t>
            </w:r>
          </w:p>
        </w:tc>
        <w:tc>
          <w:tcPr>
            <w:tcW w:type="dxa" w:w="4896"/>
            <w:shd w:fill="FFFFFF"/>
            <w:tcMar>
              <w:top w:w="70" w:type="dxa"/>
              <w:bottom w:w="70" w:type="dxa"/>
              <w:left w:w="90" w:type="dxa"/>
              <w:right w:w="90" w:type="dxa"/>
            </w:tcMar>
          </w:tcPr>
          <w:p>
            <w:pPr>
              <w:spacing w:before="0" w:after="0"/>
            </w:pPr>
            <w:r>
              <w:rPr>
                <w:rFonts w:ascii="Arial" w:hAnsi="Arial"/>
                <w:color w:val="334155"/>
                <w:sz w:val="17"/>
              </w:rPr>
              <w:t>NextAuth.js engine: Google OAuth integration + Credentials provider with secure password hashing.</w:t>
            </w:r>
          </w:p>
        </w:tc>
      </w:tr>
      <w:tr>
        <w:tc>
          <w:tcPr>
            <w:tcW w:type="dxa" w:w="1440"/>
            <w:shd w:fill="F8FAFC"/>
            <w:tcMar>
              <w:top w:w="70" w:type="dxa"/>
              <w:bottom w:w="70" w:type="dxa"/>
              <w:left w:w="90" w:type="dxa"/>
              <w:right w:w="90" w:type="dxa"/>
            </w:tcMar>
          </w:tcPr>
          <w:p>
            <w:pPr>
              <w:spacing w:before="0" w:after="0"/>
            </w:pPr>
            <w:r>
              <w:rPr>
                <w:rFonts w:ascii="Arial" w:hAnsi="Arial"/>
                <w:color w:val="334155"/>
                <w:sz w:val="17"/>
              </w:rPr>
              <w:t>2026-03-30</w:t>
            </w:r>
          </w:p>
        </w:tc>
        <w:tc>
          <w:tcPr>
            <w:tcW w:type="dxa" w:w="1152"/>
            <w:shd w:fill="F8FAFC"/>
            <w:tcMar>
              <w:top w:w="70" w:type="dxa"/>
              <w:bottom w:w="70" w:type="dxa"/>
              <w:left w:w="90" w:type="dxa"/>
              <w:right w:w="90" w:type="dxa"/>
            </w:tcMar>
          </w:tcPr>
          <w:p>
            <w:pPr>
              <w:spacing w:before="0" w:after="0"/>
            </w:pPr>
            <w:r>
              <w:rPr>
                <w:rFonts w:ascii="Arial" w:hAnsi="Arial"/>
                <w:b/>
                <w:color w:val="1D4ED8"/>
                <w:sz w:val="17"/>
              </w:rPr>
              <w:t>33ac67e</w:t>
            </w:r>
          </w:p>
        </w:tc>
        <w:tc>
          <w:tcPr>
            <w:tcW w:type="dxa" w:w="1872"/>
            <w:shd w:fill="F8FAFC"/>
            <w:tcMar>
              <w:top w:w="70" w:type="dxa"/>
              <w:bottom w:w="70" w:type="dxa"/>
              <w:left w:w="90" w:type="dxa"/>
              <w:right w:w="90" w:type="dxa"/>
            </w:tcMar>
          </w:tcPr>
          <w:p>
            <w:pPr>
              <w:spacing w:before="0" w:after="0"/>
            </w:pPr>
            <w:r>
              <w:rPr>
                <w:rFonts w:ascii="Arial" w:hAnsi="Arial"/>
                <w:b/>
                <w:color w:val="0F254A"/>
                <w:sz w:val="17"/>
              </w:rPr>
              <w:t>Registration</w:t>
            </w:r>
          </w:p>
        </w:tc>
        <w:tc>
          <w:tcPr>
            <w:tcW w:type="dxa" w:w="4896"/>
            <w:shd w:fill="F8FAFC"/>
            <w:tcMar>
              <w:top w:w="70" w:type="dxa"/>
              <w:bottom w:w="70" w:type="dxa"/>
              <w:left w:w="90" w:type="dxa"/>
              <w:right w:w="90" w:type="dxa"/>
            </w:tcMar>
          </w:tcPr>
          <w:p>
            <w:pPr>
              <w:spacing w:before="0" w:after="0"/>
            </w:pPr>
            <w:r>
              <w:rPr>
                <w:rFonts w:ascii="Arial" w:hAnsi="Arial"/>
                <w:color w:val="334155"/>
                <w:sz w:val="17"/>
              </w:rPr>
              <w:t>Bulk Registration Engine: Multi-attendee form submissions and dynamic participant allocation.</w:t>
            </w:r>
          </w:p>
        </w:tc>
      </w:tr>
      <w:tr>
        <w:tc>
          <w:tcPr>
            <w:tcW w:type="dxa" w:w="1440"/>
            <w:shd w:fill="FFFFFF"/>
            <w:tcMar>
              <w:top w:w="70" w:type="dxa"/>
              <w:bottom w:w="70" w:type="dxa"/>
              <w:left w:w="90" w:type="dxa"/>
              <w:right w:w="90" w:type="dxa"/>
            </w:tcMar>
          </w:tcPr>
          <w:p>
            <w:pPr>
              <w:spacing w:before="0" w:after="0"/>
            </w:pPr>
            <w:r>
              <w:rPr>
                <w:rFonts w:ascii="Arial" w:hAnsi="Arial"/>
                <w:color w:val="334155"/>
                <w:sz w:val="17"/>
              </w:rPr>
              <w:t>2026-03-30</w:t>
            </w:r>
          </w:p>
        </w:tc>
        <w:tc>
          <w:tcPr>
            <w:tcW w:type="dxa" w:w="1152"/>
            <w:shd w:fill="FFFFFF"/>
            <w:tcMar>
              <w:top w:w="70" w:type="dxa"/>
              <w:bottom w:w="70" w:type="dxa"/>
              <w:left w:w="90" w:type="dxa"/>
              <w:right w:w="90" w:type="dxa"/>
            </w:tcMar>
          </w:tcPr>
          <w:p>
            <w:pPr>
              <w:spacing w:before="0" w:after="0"/>
            </w:pPr>
            <w:r>
              <w:rPr>
                <w:rFonts w:ascii="Arial" w:hAnsi="Arial"/>
                <w:b/>
                <w:color w:val="1D4ED8"/>
                <w:sz w:val="17"/>
              </w:rPr>
              <w:t>bc301a7</w:t>
            </w:r>
          </w:p>
        </w:tc>
        <w:tc>
          <w:tcPr>
            <w:tcW w:type="dxa" w:w="1872"/>
            <w:shd w:fill="FFFFFF"/>
            <w:tcMar>
              <w:top w:w="70" w:type="dxa"/>
              <w:bottom w:w="70" w:type="dxa"/>
              <w:left w:w="90" w:type="dxa"/>
              <w:right w:w="90" w:type="dxa"/>
            </w:tcMar>
          </w:tcPr>
          <w:p>
            <w:pPr>
              <w:spacing w:before="0" w:after="0"/>
            </w:pPr>
            <w:r>
              <w:rPr>
                <w:rFonts w:ascii="Arial" w:hAnsi="Arial"/>
                <w:b/>
                <w:color w:val="0F254A"/>
                <w:sz w:val="17"/>
              </w:rPr>
              <w:t>Automations</w:t>
            </w:r>
          </w:p>
        </w:tc>
        <w:tc>
          <w:tcPr>
            <w:tcW w:type="dxa" w:w="4896"/>
            <w:shd w:fill="FFFFFF"/>
            <w:tcMar>
              <w:top w:w="70" w:type="dxa"/>
              <w:bottom w:w="70" w:type="dxa"/>
              <w:left w:w="90" w:type="dxa"/>
              <w:right w:w="90" w:type="dxa"/>
            </w:tcMar>
          </w:tcPr>
          <w:p>
            <w:pPr>
              <w:spacing w:before="0" w:after="0"/>
            </w:pPr>
            <w:r>
              <w:rPr>
                <w:rFonts w:ascii="Arial" w:hAnsi="Arial"/>
                <w:color w:val="334155"/>
                <w:sz w:val="17"/>
              </w:rPr>
              <w:t>Email Dispatcher: Resend API integration for automated waitlist promotions and registration alerts.</w:t>
            </w:r>
          </w:p>
        </w:tc>
      </w:tr>
      <w:tr>
        <w:tc>
          <w:tcPr>
            <w:tcW w:type="dxa" w:w="1440"/>
            <w:shd w:fill="F8FAFC"/>
            <w:tcMar>
              <w:top w:w="70" w:type="dxa"/>
              <w:bottom w:w="70" w:type="dxa"/>
              <w:left w:w="90" w:type="dxa"/>
              <w:right w:w="90" w:type="dxa"/>
            </w:tcMar>
          </w:tcPr>
          <w:p>
            <w:pPr>
              <w:spacing w:before="0" w:after="0"/>
            </w:pPr>
            <w:r>
              <w:rPr>
                <w:rFonts w:ascii="Arial" w:hAnsi="Arial"/>
                <w:color w:val="334155"/>
                <w:sz w:val="17"/>
              </w:rPr>
              <w:t>2026-03-30</w:t>
            </w:r>
          </w:p>
        </w:tc>
        <w:tc>
          <w:tcPr>
            <w:tcW w:type="dxa" w:w="1152"/>
            <w:shd w:fill="F8FAFC"/>
            <w:tcMar>
              <w:top w:w="70" w:type="dxa"/>
              <w:bottom w:w="70" w:type="dxa"/>
              <w:left w:w="90" w:type="dxa"/>
              <w:right w:w="90" w:type="dxa"/>
            </w:tcMar>
          </w:tcPr>
          <w:p>
            <w:pPr>
              <w:spacing w:before="0" w:after="0"/>
            </w:pPr>
            <w:r>
              <w:rPr>
                <w:rFonts w:ascii="Arial" w:hAnsi="Arial"/>
                <w:b/>
                <w:color w:val="1D4ED8"/>
                <w:sz w:val="17"/>
              </w:rPr>
              <w:t>08665f0</w:t>
            </w:r>
          </w:p>
        </w:tc>
        <w:tc>
          <w:tcPr>
            <w:tcW w:type="dxa" w:w="1872"/>
            <w:shd w:fill="F8FAFC"/>
            <w:tcMar>
              <w:top w:w="70" w:type="dxa"/>
              <w:bottom w:w="70" w:type="dxa"/>
              <w:left w:w="90" w:type="dxa"/>
              <w:right w:w="90" w:type="dxa"/>
            </w:tcMar>
          </w:tcPr>
          <w:p>
            <w:pPr>
              <w:spacing w:before="0" w:after="0"/>
            </w:pPr>
            <w:r>
              <w:rPr>
                <w:rFonts w:ascii="Arial" w:hAnsi="Arial"/>
                <w:b/>
                <w:color w:val="0F254A"/>
                <w:sz w:val="17"/>
              </w:rPr>
              <w:t>Media Storage</w:t>
            </w:r>
          </w:p>
        </w:tc>
        <w:tc>
          <w:tcPr>
            <w:tcW w:type="dxa" w:w="4896"/>
            <w:shd w:fill="F8FAFC"/>
            <w:tcMar>
              <w:top w:w="70" w:type="dxa"/>
              <w:bottom w:w="70" w:type="dxa"/>
              <w:left w:w="90" w:type="dxa"/>
              <w:right w:w="90" w:type="dxa"/>
            </w:tcMar>
          </w:tcPr>
          <w:p>
            <w:pPr>
              <w:spacing w:before="0" w:after="0"/>
            </w:pPr>
            <w:r>
              <w:rPr>
                <w:rFonts w:ascii="Arial" w:hAnsi="Arial"/>
                <w:color w:val="334155"/>
                <w:sz w:val="17"/>
              </w:rPr>
              <w:t>Cloudflare R2 Storage: Event banner and poster uploads with zero-egress fee architecture.</w:t>
            </w:r>
          </w:p>
        </w:tc>
      </w:tr>
      <w:tr>
        <w:tc>
          <w:tcPr>
            <w:tcW w:type="dxa" w:w="1440"/>
            <w:shd w:fill="FFFFFF"/>
            <w:tcMar>
              <w:top w:w="70" w:type="dxa"/>
              <w:bottom w:w="70" w:type="dxa"/>
              <w:left w:w="90" w:type="dxa"/>
              <w:right w:w="90" w:type="dxa"/>
            </w:tcMar>
          </w:tcPr>
          <w:p>
            <w:pPr>
              <w:spacing w:before="0" w:after="0"/>
            </w:pPr>
            <w:r>
              <w:rPr>
                <w:rFonts w:ascii="Arial" w:hAnsi="Arial"/>
                <w:color w:val="334155"/>
                <w:sz w:val="17"/>
              </w:rPr>
              <w:t>2026-03-30</w:t>
            </w:r>
          </w:p>
        </w:tc>
        <w:tc>
          <w:tcPr>
            <w:tcW w:type="dxa" w:w="1152"/>
            <w:shd w:fill="FFFFFF"/>
            <w:tcMar>
              <w:top w:w="70" w:type="dxa"/>
              <w:bottom w:w="70" w:type="dxa"/>
              <w:left w:w="90" w:type="dxa"/>
              <w:right w:w="90" w:type="dxa"/>
            </w:tcMar>
          </w:tcPr>
          <w:p>
            <w:pPr>
              <w:spacing w:before="0" w:after="0"/>
            </w:pPr>
            <w:r>
              <w:rPr>
                <w:rFonts w:ascii="Arial" w:hAnsi="Arial"/>
                <w:b/>
                <w:color w:val="1D4ED8"/>
                <w:sz w:val="17"/>
              </w:rPr>
              <w:t>2f8d42c</w:t>
            </w:r>
          </w:p>
        </w:tc>
        <w:tc>
          <w:tcPr>
            <w:tcW w:type="dxa" w:w="1872"/>
            <w:shd w:fill="FFFFFF"/>
            <w:tcMar>
              <w:top w:w="70" w:type="dxa"/>
              <w:bottom w:w="70" w:type="dxa"/>
              <w:left w:w="90" w:type="dxa"/>
              <w:right w:w="90" w:type="dxa"/>
            </w:tcMar>
          </w:tcPr>
          <w:p>
            <w:pPr>
              <w:spacing w:before="0" w:after="0"/>
            </w:pPr>
            <w:r>
              <w:rPr>
                <w:rFonts w:ascii="Arial" w:hAnsi="Arial"/>
                <w:b/>
                <w:color w:val="0F254A"/>
                <w:sz w:val="17"/>
              </w:rPr>
              <w:t>Mobile PWA</w:t>
            </w:r>
          </w:p>
        </w:tc>
        <w:tc>
          <w:tcPr>
            <w:tcW w:type="dxa" w:w="4896"/>
            <w:shd w:fill="FFFFFF"/>
            <w:tcMar>
              <w:top w:w="70" w:type="dxa"/>
              <w:bottom w:w="70" w:type="dxa"/>
              <w:left w:w="90" w:type="dxa"/>
              <w:right w:w="90" w:type="dxa"/>
            </w:tcMar>
          </w:tcPr>
          <w:p>
            <w:pPr>
              <w:spacing w:before="0" w:after="0"/>
            </w:pPr>
            <w:r>
              <w:rPr>
                <w:rFonts w:ascii="Arial" w:hAnsi="Arial"/>
                <w:color w:val="334155"/>
                <w:sz w:val="17"/>
              </w:rPr>
              <w:t>Progressive Web App: Service workers, app manifests, and offline splash screens for mobile web.</w:t>
            </w:r>
          </w:p>
        </w:tc>
      </w:tr>
      <w:tr>
        <w:tc>
          <w:tcPr>
            <w:tcW w:type="dxa" w:w="1440"/>
            <w:shd w:fill="F8FAFC"/>
            <w:tcMar>
              <w:top w:w="70" w:type="dxa"/>
              <w:bottom w:w="70" w:type="dxa"/>
              <w:left w:w="90" w:type="dxa"/>
              <w:right w:w="90" w:type="dxa"/>
            </w:tcMar>
          </w:tcPr>
          <w:p>
            <w:pPr>
              <w:spacing w:before="0" w:after="0"/>
            </w:pPr>
            <w:r>
              <w:rPr>
                <w:rFonts w:ascii="Arial" w:hAnsi="Arial"/>
                <w:color w:val="334155"/>
                <w:sz w:val="17"/>
              </w:rPr>
              <w:t>2026-03-31</w:t>
            </w:r>
          </w:p>
        </w:tc>
        <w:tc>
          <w:tcPr>
            <w:tcW w:type="dxa" w:w="1152"/>
            <w:shd w:fill="F8FAFC"/>
            <w:tcMar>
              <w:top w:w="70" w:type="dxa"/>
              <w:bottom w:w="70" w:type="dxa"/>
              <w:left w:w="90" w:type="dxa"/>
              <w:right w:w="90" w:type="dxa"/>
            </w:tcMar>
          </w:tcPr>
          <w:p>
            <w:pPr>
              <w:spacing w:before="0" w:after="0"/>
            </w:pPr>
            <w:r>
              <w:rPr>
                <w:rFonts w:ascii="Arial" w:hAnsi="Arial"/>
                <w:b/>
                <w:color w:val="1D4ED8"/>
                <w:sz w:val="17"/>
              </w:rPr>
              <w:t>2950908</w:t>
            </w:r>
          </w:p>
        </w:tc>
        <w:tc>
          <w:tcPr>
            <w:tcW w:type="dxa" w:w="1872"/>
            <w:shd w:fill="F8FAFC"/>
            <w:tcMar>
              <w:top w:w="70" w:type="dxa"/>
              <w:bottom w:w="70" w:type="dxa"/>
              <w:left w:w="90" w:type="dxa"/>
              <w:right w:w="90" w:type="dxa"/>
            </w:tcMar>
          </w:tcPr>
          <w:p>
            <w:pPr>
              <w:spacing w:before="0" w:after="0"/>
            </w:pPr>
            <w:r>
              <w:rPr>
                <w:rFonts w:ascii="Arial" w:hAnsi="Arial"/>
                <w:b/>
                <w:color w:val="0F254A"/>
                <w:sz w:val="17"/>
              </w:rPr>
              <w:t>Organizer Hub</w:t>
            </w:r>
          </w:p>
        </w:tc>
        <w:tc>
          <w:tcPr>
            <w:tcW w:type="dxa" w:w="4896"/>
            <w:shd w:fill="F8FAFC"/>
            <w:tcMar>
              <w:top w:w="70" w:type="dxa"/>
              <w:bottom w:w="70" w:type="dxa"/>
              <w:left w:w="90" w:type="dxa"/>
              <w:right w:w="90" w:type="dxa"/>
            </w:tcMar>
          </w:tcPr>
          <w:p>
            <w:pPr>
              <w:spacing w:before="0" w:after="0"/>
            </w:pPr>
            <w:r>
              <w:rPr>
                <w:rFonts w:ascii="Arial" w:hAnsi="Arial"/>
                <w:color w:val="334155"/>
                <w:sz w:val="17"/>
              </w:rPr>
              <w:t>Dashboard Shell: Event lifecycle management (Overview, Confirmed, Waitlist, Settings, In-line rename).</w:t>
            </w:r>
          </w:p>
        </w:tc>
      </w:tr>
      <w:tr>
        <w:tc>
          <w:tcPr>
            <w:tcW w:type="dxa" w:w="1440"/>
            <w:shd w:fill="FFFFFF"/>
            <w:tcMar>
              <w:top w:w="70" w:type="dxa"/>
              <w:bottom w:w="70" w:type="dxa"/>
              <w:left w:w="90" w:type="dxa"/>
              <w:right w:w="90" w:type="dxa"/>
            </w:tcMar>
          </w:tcPr>
          <w:p>
            <w:pPr>
              <w:spacing w:before="0" w:after="0"/>
            </w:pPr>
            <w:r>
              <w:rPr>
                <w:rFonts w:ascii="Arial" w:hAnsi="Arial"/>
                <w:color w:val="334155"/>
                <w:sz w:val="17"/>
              </w:rPr>
              <w:t>2026-03-31</w:t>
            </w:r>
          </w:p>
        </w:tc>
        <w:tc>
          <w:tcPr>
            <w:tcW w:type="dxa" w:w="1152"/>
            <w:shd w:fill="FFFFFF"/>
            <w:tcMar>
              <w:top w:w="70" w:type="dxa"/>
              <w:bottom w:w="70" w:type="dxa"/>
              <w:left w:w="90" w:type="dxa"/>
              <w:right w:w="90" w:type="dxa"/>
            </w:tcMar>
          </w:tcPr>
          <w:p>
            <w:pPr>
              <w:spacing w:before="0" w:after="0"/>
            </w:pPr>
            <w:r>
              <w:rPr>
                <w:rFonts w:ascii="Arial" w:hAnsi="Arial"/>
                <w:b/>
                <w:color w:val="1D4ED8"/>
                <w:sz w:val="17"/>
              </w:rPr>
              <w:t>fa9190e</w:t>
            </w:r>
          </w:p>
        </w:tc>
        <w:tc>
          <w:tcPr>
            <w:tcW w:type="dxa" w:w="1872"/>
            <w:shd w:fill="FFFFFF"/>
            <w:tcMar>
              <w:top w:w="70" w:type="dxa"/>
              <w:bottom w:w="70" w:type="dxa"/>
              <w:left w:w="90" w:type="dxa"/>
              <w:right w:w="90" w:type="dxa"/>
            </w:tcMar>
          </w:tcPr>
          <w:p>
            <w:pPr>
              <w:spacing w:before="0" w:after="0"/>
            </w:pPr>
            <w:r>
              <w:rPr>
                <w:rFonts w:ascii="Arial" w:hAnsi="Arial"/>
                <w:b/>
                <w:color w:val="0F254A"/>
                <w:sz w:val="17"/>
              </w:rPr>
              <w:t>Compliance</w:t>
            </w:r>
          </w:p>
        </w:tc>
        <w:tc>
          <w:tcPr>
            <w:tcW w:type="dxa" w:w="4896"/>
            <w:shd w:fill="FFFFFF"/>
            <w:tcMar>
              <w:top w:w="70" w:type="dxa"/>
              <w:bottom w:w="70" w:type="dxa"/>
              <w:left w:w="90" w:type="dxa"/>
              <w:right w:w="90" w:type="dxa"/>
            </w:tcMar>
          </w:tcPr>
          <w:p>
            <w:pPr>
              <w:spacing w:before="0" w:after="0"/>
            </w:pPr>
            <w:r>
              <w:rPr>
                <w:rFonts w:ascii="Arial" w:hAnsi="Arial"/>
                <w:color w:val="334155"/>
                <w:sz w:val="17"/>
              </w:rPr>
              <w:t>PDPA &amp; Privacy: Explicit consent checkboxes, data privacy notices, and transactional email consent guards.</w:t>
            </w:r>
          </w:p>
        </w:tc>
      </w:tr>
      <w:tr>
        <w:tc>
          <w:tcPr>
            <w:tcW w:type="dxa" w:w="1440"/>
            <w:shd w:fill="F8FAFC"/>
            <w:tcMar>
              <w:top w:w="70" w:type="dxa"/>
              <w:bottom w:w="70" w:type="dxa"/>
              <w:left w:w="90" w:type="dxa"/>
              <w:right w:w="90" w:type="dxa"/>
            </w:tcMar>
          </w:tcPr>
          <w:p>
            <w:pPr>
              <w:spacing w:before="0" w:after="0"/>
            </w:pPr>
            <w:r>
              <w:rPr>
                <w:rFonts w:ascii="Arial" w:hAnsi="Arial"/>
                <w:color w:val="334155"/>
                <w:sz w:val="17"/>
              </w:rPr>
              <w:t>2026-04-01</w:t>
            </w:r>
          </w:p>
        </w:tc>
        <w:tc>
          <w:tcPr>
            <w:tcW w:type="dxa" w:w="1152"/>
            <w:shd w:fill="F8FAFC"/>
            <w:tcMar>
              <w:top w:w="70" w:type="dxa"/>
              <w:bottom w:w="70" w:type="dxa"/>
              <w:left w:w="90" w:type="dxa"/>
              <w:right w:w="90" w:type="dxa"/>
            </w:tcMar>
          </w:tcPr>
          <w:p>
            <w:pPr>
              <w:spacing w:before="0" w:after="0"/>
            </w:pPr>
            <w:r>
              <w:rPr>
                <w:rFonts w:ascii="Arial" w:hAnsi="Arial"/>
                <w:b/>
                <w:color w:val="1D4ED8"/>
                <w:sz w:val="17"/>
              </w:rPr>
              <w:t>1075769</w:t>
            </w:r>
          </w:p>
        </w:tc>
        <w:tc>
          <w:tcPr>
            <w:tcW w:type="dxa" w:w="1872"/>
            <w:shd w:fill="F8FAFC"/>
            <w:tcMar>
              <w:top w:w="70" w:type="dxa"/>
              <w:bottom w:w="70" w:type="dxa"/>
              <w:left w:w="90" w:type="dxa"/>
              <w:right w:w="90" w:type="dxa"/>
            </w:tcMar>
          </w:tcPr>
          <w:p>
            <w:pPr>
              <w:spacing w:before="0" w:after="0"/>
            </w:pPr>
            <w:r>
              <w:rPr>
                <w:rFonts w:ascii="Arial" w:hAnsi="Arial"/>
                <w:b/>
                <w:color w:val="0F254A"/>
                <w:sz w:val="17"/>
              </w:rPr>
              <w:t>Fraud Detection</w:t>
            </w:r>
          </w:p>
        </w:tc>
        <w:tc>
          <w:tcPr>
            <w:tcW w:type="dxa" w:w="4896"/>
            <w:shd w:fill="F8FAFC"/>
            <w:tcMar>
              <w:top w:w="70" w:type="dxa"/>
              <w:bottom w:w="70" w:type="dxa"/>
              <w:left w:w="90" w:type="dxa"/>
              <w:right w:w="90" w:type="dxa"/>
            </w:tcMar>
          </w:tcPr>
          <w:p>
            <w:pPr>
              <w:spacing w:before="0" w:after="0"/>
            </w:pPr>
            <w:r>
              <w:rPr>
                <w:rFonts w:ascii="Arial" w:hAnsi="Arial"/>
                <w:color w:val="334155"/>
                <w:sz w:val="17"/>
              </w:rPr>
              <w:t>Duplicate Detection Scanner: Algorithmic screening to prevent double-booking and seat hogging.</w:t>
            </w:r>
          </w:p>
        </w:tc>
      </w:tr>
      <w:tr>
        <w:tc>
          <w:tcPr>
            <w:tcW w:type="dxa" w:w="1440"/>
            <w:shd w:fill="FFFFFF"/>
            <w:tcMar>
              <w:top w:w="70" w:type="dxa"/>
              <w:bottom w:w="70" w:type="dxa"/>
              <w:left w:w="90" w:type="dxa"/>
              <w:right w:w="90" w:type="dxa"/>
            </w:tcMar>
          </w:tcPr>
          <w:p>
            <w:pPr>
              <w:spacing w:before="0" w:after="0"/>
            </w:pPr>
            <w:r>
              <w:rPr>
                <w:rFonts w:ascii="Arial" w:hAnsi="Arial"/>
                <w:color w:val="334155"/>
                <w:sz w:val="17"/>
              </w:rPr>
              <w:t>2026-04-01</w:t>
            </w:r>
          </w:p>
        </w:tc>
        <w:tc>
          <w:tcPr>
            <w:tcW w:type="dxa" w:w="1152"/>
            <w:shd w:fill="FFFFFF"/>
            <w:tcMar>
              <w:top w:w="70" w:type="dxa"/>
              <w:bottom w:w="70" w:type="dxa"/>
              <w:left w:w="90" w:type="dxa"/>
              <w:right w:w="90" w:type="dxa"/>
            </w:tcMar>
          </w:tcPr>
          <w:p>
            <w:pPr>
              <w:spacing w:before="0" w:after="0"/>
            </w:pPr>
            <w:r>
              <w:rPr>
                <w:rFonts w:ascii="Arial" w:hAnsi="Arial"/>
                <w:b/>
                <w:color w:val="1D4ED8"/>
                <w:sz w:val="17"/>
              </w:rPr>
              <w:t>3dd910e</w:t>
            </w:r>
          </w:p>
        </w:tc>
        <w:tc>
          <w:tcPr>
            <w:tcW w:type="dxa" w:w="1872"/>
            <w:shd w:fill="FFFFFF"/>
            <w:tcMar>
              <w:top w:w="70" w:type="dxa"/>
              <w:bottom w:w="70" w:type="dxa"/>
              <w:left w:w="90" w:type="dxa"/>
              <w:right w:w="90" w:type="dxa"/>
            </w:tcMar>
          </w:tcPr>
          <w:p>
            <w:pPr>
              <w:spacing w:before="0" w:after="0"/>
            </w:pPr>
            <w:r>
              <w:rPr>
                <w:rFonts w:ascii="Arial" w:hAnsi="Arial"/>
                <w:b/>
                <w:color w:val="0F254A"/>
                <w:sz w:val="17"/>
              </w:rPr>
              <w:t>Collaboration</w:t>
            </w:r>
          </w:p>
        </w:tc>
        <w:tc>
          <w:tcPr>
            <w:tcW w:type="dxa" w:w="4896"/>
            <w:shd w:fill="FFFFFF"/>
            <w:tcMar>
              <w:top w:w="70" w:type="dxa"/>
              <w:bottom w:w="70" w:type="dxa"/>
              <w:left w:w="90" w:type="dxa"/>
              <w:right w:w="90" w:type="dxa"/>
            </w:tcMar>
          </w:tcPr>
          <w:p>
            <w:pPr>
              <w:spacing w:before="0" w:after="0"/>
            </w:pPr>
            <w:r>
              <w:rPr>
                <w:rFonts w:ascii="Arial" w:hAnsi="Arial"/>
                <w:color w:val="334155"/>
                <w:sz w:val="17"/>
              </w:rPr>
              <w:t>Team Workspaces: Multi-user organizer team invites, role-based access control, and permissions.</w:t>
            </w:r>
          </w:p>
        </w:tc>
      </w:tr>
      <w:tr>
        <w:tc>
          <w:tcPr>
            <w:tcW w:type="dxa" w:w="1440"/>
            <w:shd w:fill="F8FAFC"/>
            <w:tcMar>
              <w:top w:w="70" w:type="dxa"/>
              <w:bottom w:w="70" w:type="dxa"/>
              <w:left w:w="90" w:type="dxa"/>
              <w:right w:w="90" w:type="dxa"/>
            </w:tcMar>
          </w:tcPr>
          <w:p>
            <w:pPr>
              <w:spacing w:before="0" w:after="0"/>
            </w:pPr>
            <w:r>
              <w:rPr>
                <w:rFonts w:ascii="Arial" w:hAnsi="Arial"/>
                <w:color w:val="334155"/>
                <w:sz w:val="17"/>
              </w:rPr>
              <w:t>2026-04-01</w:t>
            </w:r>
          </w:p>
        </w:tc>
        <w:tc>
          <w:tcPr>
            <w:tcW w:type="dxa" w:w="1152"/>
            <w:shd w:fill="F8FAFC"/>
            <w:tcMar>
              <w:top w:w="70" w:type="dxa"/>
              <w:bottom w:w="70" w:type="dxa"/>
              <w:left w:w="90" w:type="dxa"/>
              <w:right w:w="90" w:type="dxa"/>
            </w:tcMar>
          </w:tcPr>
          <w:p>
            <w:pPr>
              <w:spacing w:before="0" w:after="0"/>
            </w:pPr>
            <w:r>
              <w:rPr>
                <w:rFonts w:ascii="Arial" w:hAnsi="Arial"/>
                <w:b/>
                <w:color w:val="1D4ED8"/>
                <w:sz w:val="17"/>
              </w:rPr>
              <w:t>6af6b5f</w:t>
            </w:r>
          </w:p>
        </w:tc>
        <w:tc>
          <w:tcPr>
            <w:tcW w:type="dxa" w:w="1872"/>
            <w:shd w:fill="F8FAFC"/>
            <w:tcMar>
              <w:top w:w="70" w:type="dxa"/>
              <w:bottom w:w="70" w:type="dxa"/>
              <w:left w:w="90" w:type="dxa"/>
              <w:right w:w="90" w:type="dxa"/>
            </w:tcMar>
          </w:tcPr>
          <w:p>
            <w:pPr>
              <w:spacing w:before="0" w:after="0"/>
            </w:pPr>
            <w:r>
              <w:rPr>
                <w:rFonts w:ascii="Arial" w:hAnsi="Arial"/>
                <w:b/>
                <w:color w:val="0F254A"/>
                <w:sz w:val="17"/>
              </w:rPr>
              <w:t>Data Lifecycle</w:t>
            </w:r>
          </w:p>
        </w:tc>
        <w:tc>
          <w:tcPr>
            <w:tcW w:type="dxa" w:w="4896"/>
            <w:shd w:fill="F8FAFC"/>
            <w:tcMar>
              <w:top w:w="70" w:type="dxa"/>
              <w:bottom w:w="70" w:type="dxa"/>
              <w:left w:w="90" w:type="dxa"/>
              <w:right w:w="90" w:type="dxa"/>
            </w:tcMar>
          </w:tcPr>
          <w:p>
            <w:pPr>
              <w:spacing w:before="0" w:after="0"/>
            </w:pPr>
            <w:r>
              <w:rPr>
                <w:rFonts w:ascii="Arial" w:hAnsi="Arial"/>
                <w:color w:val="334155"/>
                <w:sz w:val="17"/>
              </w:rPr>
              <w:t>Free Plan Lifecycle: Data retention policies, automated expiration cron jobs, and warning badges.</w:t>
            </w:r>
          </w:p>
        </w:tc>
      </w:tr>
      <w:tr>
        <w:tc>
          <w:tcPr>
            <w:tcW w:type="dxa" w:w="1440"/>
            <w:shd w:fill="FFFFFF"/>
            <w:tcMar>
              <w:top w:w="70" w:type="dxa"/>
              <w:bottom w:w="70" w:type="dxa"/>
              <w:left w:w="90" w:type="dxa"/>
              <w:right w:w="90" w:type="dxa"/>
            </w:tcMar>
          </w:tcPr>
          <w:p>
            <w:pPr>
              <w:spacing w:before="0" w:after="0"/>
            </w:pPr>
            <w:r>
              <w:rPr>
                <w:rFonts w:ascii="Arial" w:hAnsi="Arial"/>
                <w:color w:val="334155"/>
                <w:sz w:val="17"/>
              </w:rPr>
              <w:t>2026-05-15</w:t>
            </w:r>
          </w:p>
        </w:tc>
        <w:tc>
          <w:tcPr>
            <w:tcW w:type="dxa" w:w="1152"/>
            <w:shd w:fill="FFFFFF"/>
            <w:tcMar>
              <w:top w:w="70" w:type="dxa"/>
              <w:bottom w:w="70" w:type="dxa"/>
              <w:left w:w="90" w:type="dxa"/>
              <w:right w:w="90" w:type="dxa"/>
            </w:tcMar>
          </w:tcPr>
          <w:p>
            <w:pPr>
              <w:spacing w:before="0" w:after="0"/>
            </w:pPr>
            <w:r>
              <w:rPr>
                <w:rFonts w:ascii="Arial" w:hAnsi="Arial"/>
                <w:b/>
                <w:color w:val="1D4ED8"/>
                <w:sz w:val="17"/>
              </w:rPr>
              <w:t>a804e12</w:t>
            </w:r>
          </w:p>
        </w:tc>
        <w:tc>
          <w:tcPr>
            <w:tcW w:type="dxa" w:w="1872"/>
            <w:shd w:fill="FFFFFF"/>
            <w:tcMar>
              <w:top w:w="70" w:type="dxa"/>
              <w:bottom w:w="70" w:type="dxa"/>
              <w:left w:w="90" w:type="dxa"/>
              <w:right w:w="90" w:type="dxa"/>
            </w:tcMar>
          </w:tcPr>
          <w:p>
            <w:pPr>
              <w:spacing w:before="0" w:after="0"/>
            </w:pPr>
            <w:r>
              <w:rPr>
                <w:rFonts w:ascii="Arial" w:hAnsi="Arial"/>
                <w:b/>
                <w:color w:val="0F254A"/>
                <w:sz w:val="17"/>
              </w:rPr>
              <w:t>Security &amp; Link Crypto</w:t>
            </w:r>
          </w:p>
        </w:tc>
        <w:tc>
          <w:tcPr>
            <w:tcW w:type="dxa" w:w="4896"/>
            <w:shd w:fill="FFFFFF"/>
            <w:tcMar>
              <w:top w:w="70" w:type="dxa"/>
              <w:bottom w:w="70" w:type="dxa"/>
              <w:left w:w="90" w:type="dxa"/>
              <w:right w:w="90" w:type="dxa"/>
            </w:tcMar>
          </w:tcPr>
          <w:p>
            <w:pPr>
              <w:spacing w:before="0" w:after="0"/>
            </w:pPr>
            <w:r>
              <w:rPr>
                <w:rFonts w:ascii="Arial" w:hAnsi="Arial"/>
                <w:color w:val="334155"/>
                <w:sz w:val="17"/>
              </w:rPr>
              <w:t>AES-256-GCM Virtual Encryption: Automatic encryption/decryption of private meeting links (Zoom/Meet).</w:t>
            </w:r>
          </w:p>
        </w:tc>
      </w:tr>
      <w:tr>
        <w:tc>
          <w:tcPr>
            <w:tcW w:type="dxa" w:w="1440"/>
            <w:shd w:fill="F8FAFC"/>
            <w:tcMar>
              <w:top w:w="70" w:type="dxa"/>
              <w:bottom w:w="70" w:type="dxa"/>
              <w:left w:w="90" w:type="dxa"/>
              <w:right w:w="90" w:type="dxa"/>
            </w:tcMar>
          </w:tcPr>
          <w:p>
            <w:pPr>
              <w:spacing w:before="0" w:after="0"/>
            </w:pPr>
            <w:r>
              <w:rPr>
                <w:rFonts w:ascii="Arial" w:hAnsi="Arial"/>
                <w:color w:val="334155"/>
                <w:sz w:val="17"/>
              </w:rPr>
              <w:t>2026-06-10</w:t>
            </w:r>
          </w:p>
        </w:tc>
        <w:tc>
          <w:tcPr>
            <w:tcW w:type="dxa" w:w="1152"/>
            <w:shd w:fill="F8FAFC"/>
            <w:tcMar>
              <w:top w:w="70" w:type="dxa"/>
              <w:bottom w:w="70" w:type="dxa"/>
              <w:left w:w="90" w:type="dxa"/>
              <w:right w:w="90" w:type="dxa"/>
            </w:tcMar>
          </w:tcPr>
          <w:p>
            <w:pPr>
              <w:spacing w:before="0" w:after="0"/>
            </w:pPr>
            <w:r>
              <w:rPr>
                <w:rFonts w:ascii="Arial" w:hAnsi="Arial"/>
                <w:b/>
                <w:color w:val="1D4ED8"/>
                <w:sz w:val="17"/>
              </w:rPr>
              <w:t>c34091a</w:t>
            </w:r>
          </w:p>
        </w:tc>
        <w:tc>
          <w:tcPr>
            <w:tcW w:type="dxa" w:w="1872"/>
            <w:shd w:fill="F8FAFC"/>
            <w:tcMar>
              <w:top w:w="70" w:type="dxa"/>
              <w:bottom w:w="70" w:type="dxa"/>
              <w:left w:w="90" w:type="dxa"/>
              <w:right w:w="90" w:type="dxa"/>
            </w:tcMar>
          </w:tcPr>
          <w:p>
            <w:pPr>
              <w:spacing w:before="0" w:after="0"/>
            </w:pPr>
            <w:r>
              <w:rPr>
                <w:rFonts w:ascii="Arial" w:hAnsi="Arial"/>
                <w:b/>
                <w:color w:val="0F254A"/>
                <w:sz w:val="17"/>
              </w:rPr>
              <w:t>Ticketing &amp; Gates</w:t>
            </w:r>
          </w:p>
        </w:tc>
        <w:tc>
          <w:tcPr>
            <w:tcW w:type="dxa" w:w="4896"/>
            <w:shd w:fill="F8FAFC"/>
            <w:tcMar>
              <w:top w:w="70" w:type="dxa"/>
              <w:bottom w:w="70" w:type="dxa"/>
              <w:left w:w="90" w:type="dxa"/>
              <w:right w:w="90" w:type="dxa"/>
            </w:tcMar>
          </w:tcPr>
          <w:p>
            <w:pPr>
              <w:spacing w:before="0" w:after="0"/>
            </w:pPr>
            <w:r>
              <w:rPr>
                <w:rFonts w:ascii="Arial" w:hAnsi="Arial"/>
                <w:color w:val="334155"/>
                <w:sz w:val="17"/>
              </w:rPr>
              <w:t>HMAC-SHA256 Signed QR Tickets: Tamper-proof check-in QR codes verifiable offline by scanners.</w:t>
            </w:r>
          </w:p>
        </w:tc>
      </w:tr>
      <w:tr>
        <w:tc>
          <w:tcPr>
            <w:tcW w:type="dxa" w:w="1440"/>
            <w:shd w:fill="FFFFFF"/>
            <w:tcMar>
              <w:top w:w="70" w:type="dxa"/>
              <w:bottom w:w="70" w:type="dxa"/>
              <w:left w:w="90" w:type="dxa"/>
              <w:right w:w="90" w:type="dxa"/>
            </w:tcMar>
          </w:tcPr>
          <w:p>
            <w:pPr>
              <w:spacing w:before="0" w:after="0"/>
            </w:pPr>
            <w:r>
              <w:rPr>
                <w:rFonts w:ascii="Arial" w:hAnsi="Arial"/>
                <w:color w:val="334155"/>
                <w:sz w:val="17"/>
              </w:rPr>
              <w:t>2026-06-25</w:t>
            </w:r>
          </w:p>
        </w:tc>
        <w:tc>
          <w:tcPr>
            <w:tcW w:type="dxa" w:w="1152"/>
            <w:shd w:fill="FFFFFF"/>
            <w:tcMar>
              <w:top w:w="70" w:type="dxa"/>
              <w:bottom w:w="70" w:type="dxa"/>
              <w:left w:w="90" w:type="dxa"/>
              <w:right w:w="90" w:type="dxa"/>
            </w:tcMar>
          </w:tcPr>
          <w:p>
            <w:pPr>
              <w:spacing w:before="0" w:after="0"/>
            </w:pPr>
            <w:r>
              <w:rPr>
                <w:rFonts w:ascii="Arial" w:hAnsi="Arial"/>
                <w:b/>
                <w:color w:val="1D4ED8"/>
                <w:sz w:val="17"/>
              </w:rPr>
              <w:t>e1049fa</w:t>
            </w:r>
          </w:p>
        </w:tc>
        <w:tc>
          <w:tcPr>
            <w:tcW w:type="dxa" w:w="1872"/>
            <w:shd w:fill="FFFFFF"/>
            <w:tcMar>
              <w:top w:w="70" w:type="dxa"/>
              <w:bottom w:w="70" w:type="dxa"/>
              <w:left w:w="90" w:type="dxa"/>
              <w:right w:w="90" w:type="dxa"/>
            </w:tcMar>
          </w:tcPr>
          <w:p>
            <w:pPr>
              <w:spacing w:before="0" w:after="0"/>
            </w:pPr>
            <w:r>
              <w:rPr>
                <w:rFonts w:ascii="Arial" w:hAnsi="Arial"/>
                <w:b/>
                <w:color w:val="0F254A"/>
                <w:sz w:val="17"/>
              </w:rPr>
              <w:t>Cloud Infrastructure</w:t>
            </w:r>
          </w:p>
        </w:tc>
        <w:tc>
          <w:tcPr>
            <w:tcW w:type="dxa" w:w="4896"/>
            <w:shd w:fill="FFFFFF"/>
            <w:tcMar>
              <w:top w:w="70" w:type="dxa"/>
              <w:bottom w:w="70" w:type="dxa"/>
              <w:left w:w="90" w:type="dxa"/>
              <w:right w:w="90" w:type="dxa"/>
            </w:tcMar>
          </w:tcPr>
          <w:p>
            <w:pPr>
              <w:spacing w:before="0" w:after="0"/>
            </w:pPr>
            <w:r>
              <w:rPr>
                <w:rFonts w:ascii="Arial" w:hAnsi="Arial"/>
                <w:color w:val="334155"/>
                <w:sz w:val="17"/>
              </w:rPr>
              <w:t>Google Cloud Run Containerization: Production Dockerfile + Cloud Build + Artifact Registry pipelines.</w:t>
            </w:r>
          </w:p>
        </w:tc>
      </w:tr>
      <w:tr>
        <w:tc>
          <w:tcPr>
            <w:tcW w:type="dxa" w:w="1440"/>
            <w:shd w:fill="F8FAFC"/>
            <w:tcMar>
              <w:top w:w="70" w:type="dxa"/>
              <w:bottom w:w="70" w:type="dxa"/>
              <w:left w:w="90" w:type="dxa"/>
              <w:right w:w="90" w:type="dxa"/>
            </w:tcMar>
          </w:tcPr>
          <w:p>
            <w:pPr>
              <w:spacing w:before="0" w:after="0"/>
            </w:pPr>
            <w:r>
              <w:rPr>
                <w:rFonts w:ascii="Arial" w:hAnsi="Arial"/>
                <w:color w:val="334155"/>
                <w:sz w:val="17"/>
              </w:rPr>
              <w:t>2026-07-18</w:t>
            </w:r>
          </w:p>
        </w:tc>
        <w:tc>
          <w:tcPr>
            <w:tcW w:type="dxa" w:w="1152"/>
            <w:shd w:fill="F8FAFC"/>
            <w:tcMar>
              <w:top w:w="70" w:type="dxa"/>
              <w:bottom w:w="70" w:type="dxa"/>
              <w:left w:w="90" w:type="dxa"/>
              <w:right w:w="90" w:type="dxa"/>
            </w:tcMar>
          </w:tcPr>
          <w:p>
            <w:pPr>
              <w:spacing w:before="0" w:after="0"/>
            </w:pPr>
            <w:r>
              <w:rPr>
                <w:rFonts w:ascii="Arial" w:hAnsi="Arial"/>
                <w:b/>
                <w:color w:val="1D4ED8"/>
                <w:sz w:val="17"/>
              </w:rPr>
              <w:t>db63064</w:t>
            </w:r>
          </w:p>
        </w:tc>
        <w:tc>
          <w:tcPr>
            <w:tcW w:type="dxa" w:w="1872"/>
            <w:shd w:fill="F8FAFC"/>
            <w:tcMar>
              <w:top w:w="70" w:type="dxa"/>
              <w:bottom w:w="70" w:type="dxa"/>
              <w:left w:w="90" w:type="dxa"/>
              <w:right w:w="90" w:type="dxa"/>
            </w:tcMar>
          </w:tcPr>
          <w:p>
            <w:pPr>
              <w:spacing w:before="0" w:after="0"/>
            </w:pPr>
            <w:r>
              <w:rPr>
                <w:rFonts w:ascii="Arial" w:hAnsi="Arial"/>
                <w:b/>
                <w:color w:val="0F254A"/>
                <w:sz w:val="17"/>
              </w:rPr>
              <w:t>Communications</w:t>
            </w:r>
          </w:p>
        </w:tc>
        <w:tc>
          <w:tcPr>
            <w:tcW w:type="dxa" w:w="4896"/>
            <w:shd w:fill="F8FAFC"/>
            <w:tcMar>
              <w:top w:w="70" w:type="dxa"/>
              <w:bottom w:w="70" w:type="dxa"/>
              <w:left w:w="90" w:type="dxa"/>
              <w:right w:w="90" w:type="dxa"/>
            </w:tcMar>
          </w:tcPr>
          <w:p>
            <w:pPr>
              <w:spacing w:before="0" w:after="0"/>
            </w:pPr>
            <w:r>
              <w:rPr>
                <w:rFonts w:ascii="Arial" w:hAnsi="Arial"/>
                <w:color w:val="334155"/>
                <w:sz w:val="17"/>
              </w:rPr>
              <w:t>Resend Production Sender: Verified domain infrastructure for transactional delivery at high volume.</w:t>
            </w:r>
          </w:p>
        </w:tc>
      </w:tr>
      <w:tr>
        <w:tc>
          <w:tcPr>
            <w:tcW w:type="dxa" w:w="1440"/>
            <w:shd w:fill="FFFFFF"/>
            <w:tcMar>
              <w:top w:w="70" w:type="dxa"/>
              <w:bottom w:w="70" w:type="dxa"/>
              <w:left w:w="90" w:type="dxa"/>
              <w:right w:w="90" w:type="dxa"/>
            </w:tcMar>
          </w:tcPr>
          <w:p>
            <w:pPr>
              <w:spacing w:before="0" w:after="0"/>
            </w:pPr>
            <w:r>
              <w:rPr>
                <w:rFonts w:ascii="Arial" w:hAnsi="Arial"/>
                <w:color w:val="334155"/>
                <w:sz w:val="17"/>
              </w:rPr>
              <w:t>2026-07-19</w:t>
            </w:r>
          </w:p>
        </w:tc>
        <w:tc>
          <w:tcPr>
            <w:tcW w:type="dxa" w:w="1152"/>
            <w:shd w:fill="FFFFFF"/>
            <w:tcMar>
              <w:top w:w="70" w:type="dxa"/>
              <w:bottom w:w="70" w:type="dxa"/>
              <w:left w:w="90" w:type="dxa"/>
              <w:right w:w="90" w:type="dxa"/>
            </w:tcMar>
          </w:tcPr>
          <w:p>
            <w:pPr>
              <w:spacing w:before="0" w:after="0"/>
            </w:pPr>
            <w:r>
              <w:rPr>
                <w:rFonts w:ascii="Arial" w:hAnsi="Arial"/>
                <w:b/>
                <w:color w:val="1D4ED8"/>
                <w:sz w:val="17"/>
              </w:rPr>
              <w:t>0f9bc75</w:t>
            </w:r>
          </w:p>
        </w:tc>
        <w:tc>
          <w:tcPr>
            <w:tcW w:type="dxa" w:w="1872"/>
            <w:shd w:fill="FFFFFF"/>
            <w:tcMar>
              <w:top w:w="70" w:type="dxa"/>
              <w:bottom w:w="70" w:type="dxa"/>
              <w:left w:w="90" w:type="dxa"/>
              <w:right w:w="90" w:type="dxa"/>
            </w:tcMar>
          </w:tcPr>
          <w:p>
            <w:pPr>
              <w:spacing w:before="0" w:after="0"/>
            </w:pPr>
            <w:r>
              <w:rPr>
                <w:rFonts w:ascii="Arial" w:hAnsi="Arial"/>
                <w:b/>
                <w:color w:val="0F254A"/>
                <w:sz w:val="17"/>
              </w:rPr>
              <w:t>Localization</w:t>
            </w:r>
          </w:p>
        </w:tc>
        <w:tc>
          <w:tcPr>
            <w:tcW w:type="dxa" w:w="4896"/>
            <w:shd w:fill="FFFFFF"/>
            <w:tcMar>
              <w:top w:w="70" w:type="dxa"/>
              <w:bottom w:w="70" w:type="dxa"/>
              <w:left w:w="90" w:type="dxa"/>
              <w:right w:w="90" w:type="dxa"/>
            </w:tcMar>
          </w:tcPr>
          <w:p>
            <w:pPr>
              <w:spacing w:before="0" w:after="0"/>
            </w:pPr>
            <w:r>
              <w:rPr>
                <w:rFonts w:ascii="Arial" w:hAnsi="Arial"/>
                <w:color w:val="334155"/>
                <w:sz w:val="17"/>
              </w:rPr>
              <w:t>Multi-Language Engine: Attendee description translation controls and localized language preferences.</w:t>
            </w:r>
          </w:p>
        </w:tc>
      </w:tr>
      <w:tr>
        <w:tc>
          <w:tcPr>
            <w:tcW w:type="dxa" w:w="1440"/>
            <w:shd w:fill="F8FAFC"/>
            <w:tcMar>
              <w:top w:w="70" w:type="dxa"/>
              <w:bottom w:w="70" w:type="dxa"/>
              <w:left w:w="90" w:type="dxa"/>
              <w:right w:w="90" w:type="dxa"/>
            </w:tcMar>
          </w:tcPr>
          <w:p>
            <w:pPr>
              <w:spacing w:before="0" w:after="0"/>
            </w:pPr>
            <w:r>
              <w:rPr>
                <w:rFonts w:ascii="Arial" w:hAnsi="Arial"/>
                <w:color w:val="334155"/>
                <w:sz w:val="17"/>
              </w:rPr>
              <w:t>2026-07-20</w:t>
            </w:r>
          </w:p>
        </w:tc>
        <w:tc>
          <w:tcPr>
            <w:tcW w:type="dxa" w:w="1152"/>
            <w:shd w:fill="F8FAFC"/>
            <w:tcMar>
              <w:top w:w="70" w:type="dxa"/>
              <w:bottom w:w="70" w:type="dxa"/>
              <w:left w:w="90" w:type="dxa"/>
              <w:right w:w="90" w:type="dxa"/>
            </w:tcMar>
          </w:tcPr>
          <w:p>
            <w:pPr>
              <w:spacing w:before="0" w:after="0"/>
            </w:pPr>
            <w:r>
              <w:rPr>
                <w:rFonts w:ascii="Arial" w:hAnsi="Arial"/>
                <w:b/>
                <w:color w:val="1D4ED8"/>
                <w:sz w:val="17"/>
              </w:rPr>
              <w:t>6b91a5b</w:t>
            </w:r>
          </w:p>
        </w:tc>
        <w:tc>
          <w:tcPr>
            <w:tcW w:type="dxa" w:w="1872"/>
            <w:shd w:fill="F8FAFC"/>
            <w:tcMar>
              <w:top w:w="70" w:type="dxa"/>
              <w:bottom w:w="70" w:type="dxa"/>
              <w:left w:w="90" w:type="dxa"/>
              <w:right w:w="90" w:type="dxa"/>
            </w:tcMar>
          </w:tcPr>
          <w:p>
            <w:pPr>
              <w:spacing w:before="0" w:after="0"/>
            </w:pPr>
            <w:r>
              <w:rPr>
                <w:rFonts w:ascii="Arial" w:hAnsi="Arial"/>
                <w:b/>
                <w:color w:val="0F254A"/>
                <w:sz w:val="17"/>
              </w:rPr>
              <w:t>Gate Operations</w:t>
            </w:r>
          </w:p>
        </w:tc>
        <w:tc>
          <w:tcPr>
            <w:tcW w:type="dxa" w:w="4896"/>
            <w:shd w:fill="F8FAFC"/>
            <w:tcMar>
              <w:top w:w="70" w:type="dxa"/>
              <w:bottom w:w="70" w:type="dxa"/>
              <w:left w:w="90" w:type="dxa"/>
              <w:right w:w="90" w:type="dxa"/>
            </w:tcMar>
          </w:tcPr>
          <w:p>
            <w:pPr>
              <w:spacing w:before="0" w:after="0"/>
            </w:pPr>
            <w:r>
              <w:rPr>
                <w:rFonts w:ascii="Arial" w:hAnsi="Arial"/>
                <w:color w:val="334155"/>
                <w:sz w:val="17"/>
              </w:rPr>
              <w:t>Verifier Access Codes: Granular access codes allowing event volunteers to scan tickets without full logins.</w:t>
            </w:r>
          </w:p>
        </w:tc>
      </w:tr>
      <w:tr>
        <w:tc>
          <w:tcPr>
            <w:tcW w:type="dxa" w:w="1440"/>
            <w:shd w:fill="FFFFFF"/>
            <w:tcMar>
              <w:top w:w="70" w:type="dxa"/>
              <w:bottom w:w="70" w:type="dxa"/>
              <w:left w:w="90" w:type="dxa"/>
              <w:right w:w="90" w:type="dxa"/>
            </w:tcMar>
          </w:tcPr>
          <w:p>
            <w:pPr>
              <w:spacing w:before="0" w:after="0"/>
            </w:pPr>
            <w:r>
              <w:rPr>
                <w:rFonts w:ascii="Arial" w:hAnsi="Arial"/>
                <w:color w:val="334155"/>
                <w:sz w:val="17"/>
              </w:rPr>
              <w:t>2026-07-20</w:t>
            </w:r>
          </w:p>
        </w:tc>
        <w:tc>
          <w:tcPr>
            <w:tcW w:type="dxa" w:w="1152"/>
            <w:shd w:fill="FFFFFF"/>
            <w:tcMar>
              <w:top w:w="70" w:type="dxa"/>
              <w:bottom w:w="70" w:type="dxa"/>
              <w:left w:w="90" w:type="dxa"/>
              <w:right w:w="90" w:type="dxa"/>
            </w:tcMar>
          </w:tcPr>
          <w:p>
            <w:pPr>
              <w:spacing w:before="0" w:after="0"/>
            </w:pPr>
            <w:r>
              <w:rPr>
                <w:rFonts w:ascii="Arial" w:hAnsi="Arial"/>
                <w:b/>
                <w:color w:val="1D4ED8"/>
                <w:sz w:val="17"/>
              </w:rPr>
              <w:t>75000a9</w:t>
            </w:r>
          </w:p>
        </w:tc>
        <w:tc>
          <w:tcPr>
            <w:tcW w:type="dxa" w:w="1872"/>
            <w:shd w:fill="FFFFFF"/>
            <w:tcMar>
              <w:top w:w="70" w:type="dxa"/>
              <w:bottom w:w="70" w:type="dxa"/>
              <w:left w:w="90" w:type="dxa"/>
              <w:right w:w="90" w:type="dxa"/>
            </w:tcMar>
          </w:tcPr>
          <w:p>
            <w:pPr>
              <w:spacing w:before="0" w:after="0"/>
            </w:pPr>
            <w:r>
              <w:rPr>
                <w:rFonts w:ascii="Arial" w:hAnsi="Arial"/>
                <w:b/>
                <w:color w:val="0F254A"/>
                <w:sz w:val="17"/>
              </w:rPr>
              <w:t>Custom Fields</w:t>
            </w:r>
          </w:p>
        </w:tc>
        <w:tc>
          <w:tcPr>
            <w:tcW w:type="dxa" w:w="4896"/>
            <w:shd w:fill="FFFFFF"/>
            <w:tcMar>
              <w:top w:w="70" w:type="dxa"/>
              <w:bottom w:w="70" w:type="dxa"/>
              <w:left w:w="90" w:type="dxa"/>
              <w:right w:w="90" w:type="dxa"/>
            </w:tcMar>
          </w:tcPr>
          <w:p>
            <w:pPr>
              <w:spacing w:before="0" w:after="0"/>
            </w:pPr>
            <w:r>
              <w:rPr>
                <w:rFonts w:ascii="Arial" w:hAnsi="Arial"/>
                <w:color w:val="334155"/>
                <w:sz w:val="17"/>
              </w:rPr>
              <w:t>File Upload Questions: Dynamic registration questions supporting attendee CVs, IDs, and proof attachments.</w:t>
            </w:r>
          </w:p>
        </w:tc>
      </w:tr>
      <w:tr>
        <w:tc>
          <w:tcPr>
            <w:tcW w:type="dxa" w:w="1440"/>
            <w:shd w:fill="F8FAFC"/>
            <w:tcMar>
              <w:top w:w="70" w:type="dxa"/>
              <w:bottom w:w="70" w:type="dxa"/>
              <w:left w:w="90" w:type="dxa"/>
              <w:right w:w="90" w:type="dxa"/>
            </w:tcMar>
          </w:tcPr>
          <w:p>
            <w:pPr>
              <w:spacing w:before="0" w:after="0"/>
            </w:pPr>
            <w:r>
              <w:rPr>
                <w:rFonts w:ascii="Arial" w:hAnsi="Arial"/>
                <w:color w:val="334155"/>
                <w:sz w:val="17"/>
              </w:rPr>
              <w:t>2026-07-21</w:t>
            </w:r>
          </w:p>
        </w:tc>
        <w:tc>
          <w:tcPr>
            <w:tcW w:type="dxa" w:w="1152"/>
            <w:shd w:fill="F8FAFC"/>
            <w:tcMar>
              <w:top w:w="70" w:type="dxa"/>
              <w:bottom w:w="70" w:type="dxa"/>
              <w:left w:w="90" w:type="dxa"/>
              <w:right w:w="90" w:type="dxa"/>
            </w:tcMar>
          </w:tcPr>
          <w:p>
            <w:pPr>
              <w:spacing w:before="0" w:after="0"/>
            </w:pPr>
            <w:r>
              <w:rPr>
                <w:rFonts w:ascii="Arial" w:hAnsi="Arial"/>
                <w:b/>
                <w:color w:val="1D4ED8"/>
                <w:sz w:val="17"/>
              </w:rPr>
              <w:t>2b58fc1</w:t>
            </w:r>
          </w:p>
        </w:tc>
        <w:tc>
          <w:tcPr>
            <w:tcW w:type="dxa" w:w="1872"/>
            <w:shd w:fill="F8FAFC"/>
            <w:tcMar>
              <w:top w:w="70" w:type="dxa"/>
              <w:bottom w:w="70" w:type="dxa"/>
              <w:left w:w="90" w:type="dxa"/>
              <w:right w:w="90" w:type="dxa"/>
            </w:tcMar>
          </w:tcPr>
          <w:p>
            <w:pPr>
              <w:spacing w:before="0" w:after="0"/>
            </w:pPr>
            <w:r>
              <w:rPr>
                <w:rFonts w:ascii="Arial" w:hAnsi="Arial"/>
                <w:b/>
                <w:color w:val="0F254A"/>
                <w:sz w:val="17"/>
              </w:rPr>
              <w:t>Android Release</w:t>
            </w:r>
          </w:p>
        </w:tc>
        <w:tc>
          <w:tcPr>
            <w:tcW w:type="dxa" w:w="4896"/>
            <w:shd w:fill="F8FAFC"/>
            <w:tcMar>
              <w:top w:w="70" w:type="dxa"/>
              <w:bottom w:w="70" w:type="dxa"/>
              <w:left w:w="90" w:type="dxa"/>
              <w:right w:w="90" w:type="dxa"/>
            </w:tcMar>
          </w:tcPr>
          <w:p>
            <w:pPr>
              <w:spacing w:before="0" w:after="0"/>
            </w:pPr>
            <w:r>
              <w:rPr>
                <w:rFonts w:ascii="Arial" w:hAnsi="Arial"/>
                <w:color w:val="334155"/>
                <w:sz w:val="17"/>
              </w:rPr>
              <w:t>Google Play Store Bundle: Trusted Web Activity (TWA) bundle and release signing configuration.</w:t>
            </w:r>
          </w:p>
        </w:tc>
      </w:tr>
      <w:tr>
        <w:tc>
          <w:tcPr>
            <w:tcW w:type="dxa" w:w="1440"/>
            <w:shd w:fill="FFFFFF"/>
            <w:tcMar>
              <w:top w:w="70" w:type="dxa"/>
              <w:bottom w:w="70" w:type="dxa"/>
              <w:left w:w="90" w:type="dxa"/>
              <w:right w:w="90" w:type="dxa"/>
            </w:tcMar>
          </w:tcPr>
          <w:p>
            <w:pPr>
              <w:spacing w:before="0" w:after="0"/>
            </w:pPr>
            <w:r>
              <w:rPr>
                <w:rFonts w:ascii="Arial" w:hAnsi="Arial"/>
                <w:color w:val="334155"/>
                <w:sz w:val="17"/>
              </w:rPr>
              <w:t>2026-07-23</w:t>
            </w:r>
          </w:p>
        </w:tc>
        <w:tc>
          <w:tcPr>
            <w:tcW w:type="dxa" w:w="1152"/>
            <w:shd w:fill="FFFFFF"/>
            <w:tcMar>
              <w:top w:w="70" w:type="dxa"/>
              <w:bottom w:w="70" w:type="dxa"/>
              <w:left w:w="90" w:type="dxa"/>
              <w:right w:w="90" w:type="dxa"/>
            </w:tcMar>
          </w:tcPr>
          <w:p>
            <w:pPr>
              <w:spacing w:before="0" w:after="0"/>
            </w:pPr>
            <w:r>
              <w:rPr>
                <w:rFonts w:ascii="Arial" w:hAnsi="Arial"/>
                <w:b/>
                <w:color w:val="1D4ED8"/>
                <w:sz w:val="17"/>
              </w:rPr>
              <w:t>ef776c8</w:t>
            </w:r>
          </w:p>
        </w:tc>
        <w:tc>
          <w:tcPr>
            <w:tcW w:type="dxa" w:w="1872"/>
            <w:shd w:fill="FFFFFF"/>
            <w:tcMar>
              <w:top w:w="70" w:type="dxa"/>
              <w:bottom w:w="70" w:type="dxa"/>
              <w:left w:w="90" w:type="dxa"/>
              <w:right w:w="90" w:type="dxa"/>
            </w:tcMar>
          </w:tcPr>
          <w:p>
            <w:pPr>
              <w:spacing w:before="0" w:after="0"/>
            </w:pPr>
            <w:r>
              <w:rPr>
                <w:rFonts w:ascii="Arial" w:hAnsi="Arial"/>
                <w:b/>
                <w:color w:val="0F254A"/>
                <w:sz w:val="17"/>
              </w:rPr>
              <w:t>Native Mobile</w:t>
            </w:r>
          </w:p>
        </w:tc>
        <w:tc>
          <w:tcPr>
            <w:tcW w:type="dxa" w:w="4896"/>
            <w:shd w:fill="FFFFFF"/>
            <w:tcMar>
              <w:top w:w="70" w:type="dxa"/>
              <w:bottom w:w="70" w:type="dxa"/>
              <w:left w:w="90" w:type="dxa"/>
              <w:right w:w="90" w:type="dxa"/>
            </w:tcMar>
          </w:tcPr>
          <w:p>
            <w:pPr>
              <w:spacing w:before="0" w:after="0"/>
            </w:pPr>
            <w:r>
              <w:rPr>
                <w:rFonts w:ascii="Arial" w:hAnsi="Arial"/>
                <w:color w:val="334155"/>
                <w:sz w:val="17"/>
              </w:rPr>
              <w:t>Native Mobile Core: Native camera scanner stream, offline draft recovery, and session lifecycle shell.</w:t>
            </w:r>
          </w:p>
        </w:tc>
      </w:tr>
      <w:tr>
        <w:tc>
          <w:tcPr>
            <w:tcW w:type="dxa" w:w="1440"/>
            <w:shd w:fill="F8FAFC"/>
            <w:tcMar>
              <w:top w:w="70" w:type="dxa"/>
              <w:bottom w:w="70" w:type="dxa"/>
              <w:left w:w="90" w:type="dxa"/>
              <w:right w:w="90" w:type="dxa"/>
            </w:tcMar>
          </w:tcPr>
          <w:p>
            <w:pPr>
              <w:spacing w:before="0" w:after="0"/>
            </w:pPr>
            <w:r>
              <w:rPr>
                <w:rFonts w:ascii="Arial" w:hAnsi="Arial"/>
                <w:color w:val="334155"/>
                <w:sz w:val="17"/>
              </w:rPr>
              <w:t>2026-08-06</w:t>
            </w:r>
          </w:p>
        </w:tc>
        <w:tc>
          <w:tcPr>
            <w:tcW w:type="dxa" w:w="1152"/>
            <w:shd w:fill="F8FAFC"/>
            <w:tcMar>
              <w:top w:w="70" w:type="dxa"/>
              <w:bottom w:w="70" w:type="dxa"/>
              <w:left w:w="90" w:type="dxa"/>
              <w:right w:w="90" w:type="dxa"/>
            </w:tcMar>
          </w:tcPr>
          <w:p>
            <w:pPr>
              <w:spacing w:before="0" w:after="0"/>
            </w:pPr>
            <w:r>
              <w:rPr>
                <w:rFonts w:ascii="Arial" w:hAnsi="Arial"/>
                <w:b/>
                <w:color w:val="1D4ED8"/>
                <w:sz w:val="17"/>
              </w:rPr>
              <w:t>f2220bf</w:t>
            </w:r>
          </w:p>
        </w:tc>
        <w:tc>
          <w:tcPr>
            <w:tcW w:type="dxa" w:w="1872"/>
            <w:shd w:fill="F8FAFC"/>
            <w:tcMar>
              <w:top w:w="70" w:type="dxa"/>
              <w:bottom w:w="70" w:type="dxa"/>
              <w:left w:w="90" w:type="dxa"/>
              <w:right w:w="90" w:type="dxa"/>
            </w:tcMar>
          </w:tcPr>
          <w:p>
            <w:pPr>
              <w:spacing w:before="0" w:after="0"/>
            </w:pPr>
            <w:r>
              <w:rPr>
                <w:rFonts w:ascii="Arial" w:hAnsi="Arial"/>
                <w:b/>
                <w:color w:val="0F254A"/>
                <w:sz w:val="17"/>
              </w:rPr>
              <w:t>Discovery</w:t>
            </w:r>
          </w:p>
        </w:tc>
        <w:tc>
          <w:tcPr>
            <w:tcW w:type="dxa" w:w="4896"/>
            <w:shd w:fill="F8FAFC"/>
            <w:tcMar>
              <w:top w:w="70" w:type="dxa"/>
              <w:bottom w:w="70" w:type="dxa"/>
              <w:left w:w="90" w:type="dxa"/>
              <w:right w:w="90" w:type="dxa"/>
            </w:tcMar>
          </w:tcPr>
          <w:p>
            <w:pPr>
              <w:spacing w:before="0" w:after="0"/>
            </w:pPr>
            <w:r>
              <w:rPr>
                <w:rFonts w:ascii="Arial" w:hAnsi="Arial"/>
                <w:color w:val="334155"/>
                <w:sz w:val="17"/>
              </w:rPr>
              <w:t>Public Event Discovery: Runtime discovery feed, public event browsing, and category indexing.</w:t>
            </w:r>
          </w:p>
        </w:tc>
      </w:tr>
      <w:tr>
        <w:tc>
          <w:tcPr>
            <w:tcW w:type="dxa" w:w="1440"/>
            <w:shd w:fill="FFFFFF"/>
            <w:tcMar>
              <w:top w:w="70" w:type="dxa"/>
              <w:bottom w:w="70" w:type="dxa"/>
              <w:left w:w="90" w:type="dxa"/>
              <w:right w:w="90" w:type="dxa"/>
            </w:tcMar>
          </w:tcPr>
          <w:p>
            <w:pPr>
              <w:spacing w:before="0" w:after="0"/>
            </w:pPr>
            <w:r>
              <w:rPr>
                <w:rFonts w:ascii="Arial" w:hAnsi="Arial"/>
                <w:color w:val="334155"/>
                <w:sz w:val="17"/>
              </w:rPr>
              <w:t>2026-08-07</w:t>
            </w:r>
          </w:p>
        </w:tc>
        <w:tc>
          <w:tcPr>
            <w:tcW w:type="dxa" w:w="1152"/>
            <w:shd w:fill="FFFFFF"/>
            <w:tcMar>
              <w:top w:w="70" w:type="dxa"/>
              <w:bottom w:w="70" w:type="dxa"/>
              <w:left w:w="90" w:type="dxa"/>
              <w:right w:w="90" w:type="dxa"/>
            </w:tcMar>
          </w:tcPr>
          <w:p>
            <w:pPr>
              <w:spacing w:before="0" w:after="0"/>
            </w:pPr>
            <w:r>
              <w:rPr>
                <w:rFonts w:ascii="Arial" w:hAnsi="Arial"/>
                <w:b/>
                <w:color w:val="1D4ED8"/>
                <w:sz w:val="17"/>
              </w:rPr>
              <w:t>fe1fe45</w:t>
            </w:r>
          </w:p>
        </w:tc>
        <w:tc>
          <w:tcPr>
            <w:tcW w:type="dxa" w:w="1872"/>
            <w:shd w:fill="FFFFFF"/>
            <w:tcMar>
              <w:top w:w="70" w:type="dxa"/>
              <w:bottom w:w="70" w:type="dxa"/>
              <w:left w:w="90" w:type="dxa"/>
              <w:right w:w="90" w:type="dxa"/>
            </w:tcMar>
          </w:tcPr>
          <w:p>
            <w:pPr>
              <w:spacing w:before="0" w:after="0"/>
            </w:pPr>
            <w:r>
              <w:rPr>
                <w:rFonts w:ascii="Arial" w:hAnsi="Arial"/>
                <w:b/>
                <w:color w:val="0F254A"/>
                <w:sz w:val="17"/>
              </w:rPr>
              <w:t>Live Indicators</w:t>
            </w:r>
          </w:p>
        </w:tc>
        <w:tc>
          <w:tcPr>
            <w:tcW w:type="dxa" w:w="4896"/>
            <w:shd w:fill="FFFFFF"/>
            <w:tcMar>
              <w:top w:w="70" w:type="dxa"/>
              <w:bottom w:w="70" w:type="dxa"/>
              <w:left w:w="90" w:type="dxa"/>
              <w:right w:w="90" w:type="dxa"/>
            </w:tcMar>
          </w:tcPr>
          <w:p>
            <w:pPr>
              <w:spacing w:before="0" w:after="0"/>
            </w:pPr>
            <w:r>
              <w:rPr>
                <w:rFonts w:ascii="Arial" w:hAnsi="Arial"/>
                <w:color w:val="334155"/>
                <w:sz w:val="17"/>
              </w:rPr>
              <w:t>Show Remaining Spots: Real-time visual capacity counters and live availability meters.</w:t>
            </w:r>
          </w:p>
        </w:tc>
      </w:tr>
      <w:tr>
        <w:tc>
          <w:tcPr>
            <w:tcW w:type="dxa" w:w="1440"/>
            <w:shd w:fill="F8FAFC"/>
            <w:tcMar>
              <w:top w:w="70" w:type="dxa"/>
              <w:bottom w:w="70" w:type="dxa"/>
              <w:left w:w="90" w:type="dxa"/>
              <w:right w:w="90" w:type="dxa"/>
            </w:tcMar>
          </w:tcPr>
          <w:p>
            <w:pPr>
              <w:spacing w:before="0" w:after="0"/>
            </w:pPr>
            <w:r>
              <w:rPr>
                <w:rFonts w:ascii="Arial" w:hAnsi="Arial"/>
                <w:color w:val="334155"/>
                <w:sz w:val="17"/>
              </w:rPr>
              <w:t>2026-08-24</w:t>
            </w:r>
          </w:p>
        </w:tc>
        <w:tc>
          <w:tcPr>
            <w:tcW w:type="dxa" w:w="1152"/>
            <w:shd w:fill="F8FAFC"/>
            <w:tcMar>
              <w:top w:w="70" w:type="dxa"/>
              <w:bottom w:w="70" w:type="dxa"/>
              <w:left w:w="90" w:type="dxa"/>
              <w:right w:w="90" w:type="dxa"/>
            </w:tcMar>
          </w:tcPr>
          <w:p>
            <w:pPr>
              <w:spacing w:before="0" w:after="0"/>
            </w:pPr>
            <w:r>
              <w:rPr>
                <w:rFonts w:ascii="Arial" w:hAnsi="Arial"/>
                <w:b/>
                <w:color w:val="1D4ED8"/>
                <w:sz w:val="17"/>
              </w:rPr>
              <w:t>7e03723</w:t>
            </w:r>
          </w:p>
        </w:tc>
        <w:tc>
          <w:tcPr>
            <w:tcW w:type="dxa" w:w="1872"/>
            <w:shd w:fill="F8FAFC"/>
            <w:tcMar>
              <w:top w:w="70" w:type="dxa"/>
              <w:bottom w:w="70" w:type="dxa"/>
              <w:left w:w="90" w:type="dxa"/>
              <w:right w:w="90" w:type="dxa"/>
            </w:tcMar>
          </w:tcPr>
          <w:p>
            <w:pPr>
              <w:spacing w:before="0" w:after="0"/>
            </w:pPr>
            <w:r>
              <w:rPr>
                <w:rFonts w:ascii="Arial" w:hAnsi="Arial"/>
                <w:b/>
                <w:color w:val="0F254A"/>
                <w:sz w:val="17"/>
              </w:rPr>
              <w:t>Enterprise Scale</w:t>
            </w:r>
          </w:p>
        </w:tc>
        <w:tc>
          <w:tcPr>
            <w:tcW w:type="dxa" w:w="4896"/>
            <w:shd w:fill="F8FAFC"/>
            <w:tcMar>
              <w:top w:w="70" w:type="dxa"/>
              <w:bottom w:w="70" w:type="dxa"/>
              <w:left w:w="90" w:type="dxa"/>
              <w:right w:w="90" w:type="dxa"/>
            </w:tcMar>
          </w:tcPr>
          <w:p>
            <w:pPr>
              <w:spacing w:before="0" w:after="0"/>
            </w:pPr>
            <w:r>
              <w:rPr>
                <w:rFonts w:ascii="Arial" w:hAnsi="Arial"/>
                <w:color w:val="334155"/>
                <w:sz w:val="17"/>
              </w:rPr>
              <w:t>Group Booking MVP, Advanced Email Suite, Analytics PDF exports, and 2-Month Session Timeout.</w:t>
            </w:r>
          </w:p>
        </w:tc>
      </w:tr>
      <w:tr>
        <w:tc>
          <w:tcPr>
            <w:tcW w:type="dxa" w:w="1440"/>
            <w:shd w:fill="FFFFFF"/>
            <w:tcMar>
              <w:top w:w="70" w:type="dxa"/>
              <w:bottom w:w="70" w:type="dxa"/>
              <w:left w:w="90" w:type="dxa"/>
              <w:right w:w="90" w:type="dxa"/>
            </w:tcMar>
          </w:tcPr>
          <w:p>
            <w:pPr>
              <w:spacing w:before="0" w:after="0"/>
            </w:pPr>
            <w:r>
              <w:rPr>
                <w:rFonts w:ascii="Arial" w:hAnsi="Arial"/>
                <w:color w:val="334155"/>
                <w:sz w:val="17"/>
              </w:rPr>
              <w:t>2026-08-25</w:t>
            </w:r>
          </w:p>
        </w:tc>
        <w:tc>
          <w:tcPr>
            <w:tcW w:type="dxa" w:w="1152"/>
            <w:shd w:fill="FFFFFF"/>
            <w:tcMar>
              <w:top w:w="70" w:type="dxa"/>
              <w:bottom w:w="70" w:type="dxa"/>
              <w:left w:w="90" w:type="dxa"/>
              <w:right w:w="90" w:type="dxa"/>
            </w:tcMar>
          </w:tcPr>
          <w:p>
            <w:pPr>
              <w:spacing w:before="0" w:after="0"/>
            </w:pPr>
            <w:r>
              <w:rPr>
                <w:rFonts w:ascii="Arial" w:hAnsi="Arial"/>
                <w:b/>
                <w:color w:val="1D4ED8"/>
                <w:sz w:val="17"/>
              </w:rPr>
              <w:t>b04cf35</w:t>
            </w:r>
          </w:p>
        </w:tc>
        <w:tc>
          <w:tcPr>
            <w:tcW w:type="dxa" w:w="1872"/>
            <w:shd w:fill="FFFFFF"/>
            <w:tcMar>
              <w:top w:w="70" w:type="dxa"/>
              <w:bottom w:w="70" w:type="dxa"/>
              <w:left w:w="90" w:type="dxa"/>
              <w:right w:w="90" w:type="dxa"/>
            </w:tcMar>
          </w:tcPr>
          <w:p>
            <w:pPr>
              <w:spacing w:before="0" w:after="0"/>
            </w:pPr>
            <w:r>
              <w:rPr>
                <w:rFonts w:ascii="Arial" w:hAnsi="Arial"/>
                <w:b/>
                <w:color w:val="0F254A"/>
                <w:sz w:val="17"/>
              </w:rPr>
              <w:t>Super Admin</w:t>
            </w:r>
          </w:p>
        </w:tc>
        <w:tc>
          <w:tcPr>
            <w:tcW w:type="dxa" w:w="4896"/>
            <w:shd w:fill="FFFFFF"/>
            <w:tcMar>
              <w:top w:w="70" w:type="dxa"/>
              <w:bottom w:w="70" w:type="dxa"/>
              <w:left w:w="90" w:type="dxa"/>
              <w:right w:w="90" w:type="dxa"/>
            </w:tcMar>
          </w:tcPr>
          <w:p>
            <w:pPr>
              <w:spacing w:before="0" w:after="0"/>
            </w:pPr>
            <w:r>
              <w:rPr>
                <w:rFonts w:ascii="Arial" w:hAnsi="Arial"/>
                <w:color w:val="334155"/>
                <w:sz w:val="17"/>
              </w:rPr>
              <w:t>Super Admin Command Center: One-click event editing, emergency overrides, and platform telemetry.</w:t>
            </w:r>
          </w:p>
        </w:tc>
      </w:tr>
      <w:tr>
        <w:tc>
          <w:tcPr>
            <w:tcW w:type="dxa" w:w="1440"/>
            <w:shd w:fill="F8FAFC"/>
            <w:tcMar>
              <w:top w:w="70" w:type="dxa"/>
              <w:bottom w:w="70" w:type="dxa"/>
              <w:left w:w="90" w:type="dxa"/>
              <w:right w:w="90" w:type="dxa"/>
            </w:tcMar>
          </w:tcPr>
          <w:p>
            <w:pPr>
              <w:spacing w:before="0" w:after="0"/>
            </w:pPr>
            <w:r>
              <w:rPr>
                <w:rFonts w:ascii="Arial" w:hAnsi="Arial"/>
                <w:color w:val="334155"/>
                <w:sz w:val="17"/>
              </w:rPr>
              <w:t>2026-08-28</w:t>
            </w:r>
          </w:p>
        </w:tc>
        <w:tc>
          <w:tcPr>
            <w:tcW w:type="dxa" w:w="1152"/>
            <w:shd w:fill="F8FAFC"/>
            <w:tcMar>
              <w:top w:w="70" w:type="dxa"/>
              <w:bottom w:w="70" w:type="dxa"/>
              <w:left w:w="90" w:type="dxa"/>
              <w:right w:w="90" w:type="dxa"/>
            </w:tcMar>
          </w:tcPr>
          <w:p>
            <w:pPr>
              <w:spacing w:before="0" w:after="0"/>
            </w:pPr>
            <w:r>
              <w:rPr>
                <w:rFonts w:ascii="Arial" w:hAnsi="Arial"/>
                <w:b/>
                <w:color w:val="1D4ED8"/>
                <w:sz w:val="17"/>
              </w:rPr>
              <w:t>8635bc5</w:t>
            </w:r>
          </w:p>
        </w:tc>
        <w:tc>
          <w:tcPr>
            <w:tcW w:type="dxa" w:w="1872"/>
            <w:shd w:fill="F8FAFC"/>
            <w:tcMar>
              <w:top w:w="70" w:type="dxa"/>
              <w:bottom w:w="70" w:type="dxa"/>
              <w:left w:w="90" w:type="dxa"/>
              <w:right w:w="90" w:type="dxa"/>
            </w:tcMar>
          </w:tcPr>
          <w:p>
            <w:pPr>
              <w:spacing w:before="0" w:after="0"/>
            </w:pPr>
            <w:r>
              <w:rPr>
                <w:rFonts w:ascii="Arial" w:hAnsi="Arial"/>
                <w:b/>
                <w:color w:val="0F254A"/>
                <w:sz w:val="17"/>
              </w:rPr>
              <w:t>Form Builder</w:t>
            </w:r>
          </w:p>
        </w:tc>
        <w:tc>
          <w:tcPr>
            <w:tcW w:type="dxa" w:w="4896"/>
            <w:shd w:fill="F8FAFC"/>
            <w:tcMar>
              <w:top w:w="70" w:type="dxa"/>
              <w:bottom w:w="70" w:type="dxa"/>
              <w:left w:w="90" w:type="dxa"/>
              <w:right w:w="90" w:type="dxa"/>
            </w:tcMar>
          </w:tcPr>
          <w:p>
            <w:pPr>
              <w:spacing w:before="0" w:after="0"/>
            </w:pPr>
            <w:r>
              <w:rPr>
                <w:rFonts w:ascii="Arial" w:hAnsi="Arial"/>
                <w:color w:val="334155"/>
                <w:sz w:val="17"/>
              </w:rPr>
              <w:t>Reorderable Questions: Drag-and-drop / up-down position selectors for customizable event forms.</w:t>
            </w:r>
          </w:p>
        </w:tc>
      </w:tr>
      <w:tr>
        <w:tc>
          <w:tcPr>
            <w:tcW w:type="dxa" w:w="1440"/>
            <w:shd w:fill="FFFFFF"/>
            <w:tcMar>
              <w:top w:w="70" w:type="dxa"/>
              <w:bottom w:w="70" w:type="dxa"/>
              <w:left w:w="90" w:type="dxa"/>
              <w:right w:w="90" w:type="dxa"/>
            </w:tcMar>
          </w:tcPr>
          <w:p>
            <w:pPr>
              <w:spacing w:before="0" w:after="0"/>
            </w:pPr>
            <w:r>
              <w:rPr>
                <w:rFonts w:ascii="Arial" w:hAnsi="Arial"/>
                <w:color w:val="334155"/>
                <w:sz w:val="17"/>
              </w:rPr>
              <w:t>2026-08-28</w:t>
            </w:r>
          </w:p>
        </w:tc>
        <w:tc>
          <w:tcPr>
            <w:tcW w:type="dxa" w:w="1152"/>
            <w:shd w:fill="FFFFFF"/>
            <w:tcMar>
              <w:top w:w="70" w:type="dxa"/>
              <w:bottom w:w="70" w:type="dxa"/>
              <w:left w:w="90" w:type="dxa"/>
              <w:right w:w="90" w:type="dxa"/>
            </w:tcMar>
          </w:tcPr>
          <w:p>
            <w:pPr>
              <w:spacing w:before="0" w:after="0"/>
            </w:pPr>
            <w:r>
              <w:rPr>
                <w:rFonts w:ascii="Arial" w:hAnsi="Arial"/>
                <w:b/>
                <w:color w:val="1D4ED8"/>
                <w:sz w:val="17"/>
              </w:rPr>
              <w:t>99267ad</w:t>
            </w:r>
          </w:p>
        </w:tc>
        <w:tc>
          <w:tcPr>
            <w:tcW w:type="dxa" w:w="1872"/>
            <w:shd w:fill="FFFFFF"/>
            <w:tcMar>
              <w:top w:w="70" w:type="dxa"/>
              <w:bottom w:w="70" w:type="dxa"/>
              <w:left w:w="90" w:type="dxa"/>
              <w:right w:w="90" w:type="dxa"/>
            </w:tcMar>
          </w:tcPr>
          <w:p>
            <w:pPr>
              <w:spacing w:before="0" w:after="0"/>
            </w:pPr>
            <w:r>
              <w:rPr>
                <w:rFonts w:ascii="Arial" w:hAnsi="Arial"/>
                <w:b/>
                <w:color w:val="0F254A"/>
                <w:sz w:val="17"/>
              </w:rPr>
              <w:t>AI &amp; Intelligence</w:t>
            </w:r>
          </w:p>
        </w:tc>
        <w:tc>
          <w:tcPr>
            <w:tcW w:type="dxa" w:w="4896"/>
            <w:shd w:fill="FFFFFF"/>
            <w:tcMar>
              <w:top w:w="70" w:type="dxa"/>
              <w:bottom w:w="70" w:type="dxa"/>
              <w:left w:w="90" w:type="dxa"/>
              <w:right w:w="90" w:type="dxa"/>
            </w:tcMar>
          </w:tcPr>
          <w:p>
            <w:pPr>
              <w:spacing w:before="0" w:after="0"/>
            </w:pPr>
            <w:r>
              <w:rPr>
                <w:rFonts w:ascii="Arial" w:hAnsi="Arial"/>
                <w:color w:val="334155"/>
                <w:sz w:val="17"/>
              </w:rPr>
              <w:t>AI FAQ Import (Gemini), Google Maps Iframe integration, and Checkbox 'Other' custom fill inputs.</w:t>
            </w:r>
          </w:p>
        </w:tc>
      </w:tr>
    </w:tbl>
    <w:p>
      <w:pPr>
        <w:spacing w:after="240"/>
      </w:pPr>
    </w:p>
    <w:p>
      <w:pPr>
        <w:spacing w:before="360" w:after="120"/>
      </w:pPr>
      <w:r>
        <w:rPr>
          <w:rFonts w:ascii="Arial" w:hAnsi="Arial"/>
          <w:b/>
          <w:color w:val="0F254A"/>
          <w:sz w:val="29"/>
        </w:rPr>
        <w:t>Chapter 7: The Active Frontier &amp; Future Horizon</w:t>
      </w:r>
    </w:p>
    <w:p>
      <w:pPr>
        <w:spacing w:before="240" w:after="80"/>
      </w:pPr>
      <w:r>
        <w:rPr>
          <w:rFonts w:ascii="Arial" w:hAnsi="Arial"/>
          <w:b/>
          <w:color w:val="1D4ED8"/>
          <w:sz w:val="24"/>
        </w:rPr>
        <w:t>7.1 The Active Frontier: Payment Gateway Integration</w:t>
      </w:r>
    </w:p>
    <w:p>
      <w:pPr>
        <w:spacing w:before="0" w:after="120" w:line="276" w:lineRule="auto"/>
      </w:pPr>
      <w:r>
        <w:rPr>
          <w:rFonts w:ascii="Arial" w:hAnsi="Arial"/>
          <w:color w:val="334155"/>
          <w:sz w:val="20"/>
        </w:rPr>
        <w:t>EventSlot's most critical active development focus is the end-to-end Payment Processing Engine. This will enable organizers to effortlessly monetize paid tickets, handle multi-currency checkouts (M-Pesa, Card, Bank Transfer, Stripe/Paystack), automate refund workflows, and support tiered pricing models with instant financial settlement.</w:t>
      </w:r>
    </w:p>
    <w:p>
      <w:pPr>
        <w:spacing w:before="240" w:after="80"/>
      </w:pPr>
      <w:r>
        <w:rPr>
          <w:rFonts w:ascii="Arial" w:hAnsi="Arial"/>
          <w:b/>
          <w:color w:val="1D4ED8"/>
          <w:sz w:val="24"/>
        </w:rPr>
        <w:t>7.2 The 5-Year Vision</w:t>
      </w:r>
    </w:p>
    <w:p>
      <w:pPr>
        <w:spacing w:before="0" w:after="120" w:line="276" w:lineRule="auto"/>
      </w:pPr>
      <w:r>
        <w:rPr>
          <w:rFonts w:ascii="Arial" w:hAnsi="Arial"/>
          <w:color w:val="334155"/>
          <w:sz w:val="20"/>
        </w:rPr>
        <w:t>EventSlot is evolving from a rapid campus registration tool into the definitive operating system for live and virtual experiences across Africa and the global stage. By unifying smart ticketing, fraud-proof cryptographic check-ins, AI organizer assistance, and seamless payments, EventSlot removes every ounce of friction between an organizer's vision and an attendee's seat.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