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10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По умолчанию первый кабинет WB связан с первой</w:t>
      </w:r>
    </w:p>
    <w:p>
      <w:r>
        <w:rPr>
          <w:rFonts w:ascii="Geologica" w:hAnsi="Geologica" w:eastAsia="Geologica"/>
        </w:rPr>
        <w:t>организацией 1С, второй кабинет WB связан со второй организацией 1С. Эту связку</w:t>
      </w:r>
    </w:p>
    <w:p>
      <w:r>
        <w:rPr>
          <w:rFonts w:ascii="Geologica" w:hAnsi="Geologica" w:eastAsia="Geologica"/>
        </w:rPr>
        <w:t>можно переопределить конфигурацией.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ОСНО отдельно показываются `НДС к уплате`, налог на прибыль и `прибыль до</w:t>
      </w:r>
    </w:p>
    <w:p>
      <w:r>
        <w:rPr>
          <w:rFonts w:ascii="Geologica" w:hAnsi="Geologica" w:eastAsia="Geologica"/>
        </w:rPr>
        <w:t>НДФЛ`. Если профиль, ставка 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source_sha256=b239a9d4b95bc6966e98cb03e91dfb0bfea91f9a508a5c3913a725ee60290f53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