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F24965" w:rsidRPr="00990745" w14:paraId="54E0474B" w14:textId="77777777" w:rsidTr="00990745">
        <w:tc>
          <w:tcPr>
            <w:tcW w:w="993" w:type="dxa"/>
            <w:tcBorders>
              <w:top w:val="single" w:sz="4" w:space="0" w:color="auto"/>
            </w:tcBorders>
          </w:tcPr>
          <w:p w14:paraId="2017DD67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To: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4E9568BF" w14:textId="15353804" w:rsidR="00F24965" w:rsidRPr="00990745" w:rsidRDefault="00CF5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</w:t>
            </w:r>
          </w:p>
        </w:tc>
      </w:tr>
      <w:tr w:rsidR="00F24965" w:rsidRPr="00990745" w14:paraId="37773228" w14:textId="77777777" w:rsidTr="00990745">
        <w:tc>
          <w:tcPr>
            <w:tcW w:w="993" w:type="dxa"/>
          </w:tcPr>
          <w:p w14:paraId="3B1BF544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From:</w:t>
            </w:r>
          </w:p>
        </w:tc>
        <w:tc>
          <w:tcPr>
            <w:tcW w:w="8363" w:type="dxa"/>
          </w:tcPr>
          <w:p w14:paraId="3A9D168F" w14:textId="71A77F2A" w:rsidR="00F24965" w:rsidRPr="00990745" w:rsidRDefault="00CF5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Offori</w:t>
            </w:r>
          </w:p>
        </w:tc>
      </w:tr>
      <w:tr w:rsidR="00F24965" w:rsidRPr="00990745" w14:paraId="376B537F" w14:textId="77777777" w:rsidTr="00990745">
        <w:trPr>
          <w:trHeight w:val="320"/>
        </w:trPr>
        <w:tc>
          <w:tcPr>
            <w:tcW w:w="993" w:type="dxa"/>
            <w:tcBorders>
              <w:bottom w:val="single" w:sz="4" w:space="0" w:color="auto"/>
            </w:tcBorders>
          </w:tcPr>
          <w:p w14:paraId="72CC09EF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Subject: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8A61B20" w14:textId="75571F22" w:rsidR="00F24965" w:rsidRPr="00990745" w:rsidRDefault="00CF5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M&amp;A target</w:t>
            </w:r>
          </w:p>
        </w:tc>
      </w:tr>
      <w:tr w:rsidR="00990745" w:rsidRPr="00990745" w14:paraId="452EA0B5" w14:textId="77777777" w:rsidTr="00990745">
        <w:trPr>
          <w:trHeight w:val="12760"/>
        </w:trPr>
        <w:tc>
          <w:tcPr>
            <w:tcW w:w="9356" w:type="dxa"/>
            <w:gridSpan w:val="2"/>
            <w:tcBorders>
              <w:top w:val="single" w:sz="4" w:space="0" w:color="auto"/>
            </w:tcBorders>
          </w:tcPr>
          <w:p w14:paraId="50D61CE4" w14:textId="77777777" w:rsidR="00990745" w:rsidRPr="00990745" w:rsidRDefault="00990745" w:rsidP="00990745">
            <w:pPr>
              <w:rPr>
                <w:sz w:val="20"/>
                <w:szCs w:val="20"/>
              </w:rPr>
            </w:pPr>
          </w:p>
          <w:p w14:paraId="0D5661BB" w14:textId="03A15D09" w:rsidR="00AF616A" w:rsidRPr="00AF616A" w:rsidRDefault="00CF56C9" w:rsidP="003906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Dear,</w:t>
            </w:r>
          </w:p>
          <w:p w14:paraId="6B8E06B7" w14:textId="77777777" w:rsidR="00AF616A" w:rsidRPr="006624F4" w:rsidRDefault="00AF616A" w:rsidP="006624F4">
            <w:pPr>
              <w:rPr>
                <w:sz w:val="20"/>
                <w:szCs w:val="20"/>
              </w:rPr>
            </w:pPr>
          </w:p>
          <w:p w14:paraId="5D68EA3A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3"/>
              <w:gridCol w:w="2294"/>
              <w:gridCol w:w="2893"/>
              <w:gridCol w:w="2350"/>
            </w:tblGrid>
            <w:tr w:rsidR="009B6A6C" w:rsidRPr="00757AEB" w14:paraId="421F4B46" w14:textId="77777777" w:rsidTr="00082A5E">
              <w:tc>
                <w:tcPr>
                  <w:tcW w:w="1593" w:type="dxa"/>
                </w:tcPr>
                <w:p w14:paraId="60517C97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2294" w:type="dxa"/>
                </w:tcPr>
                <w:p w14:paraId="3125A53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893" w:type="dxa"/>
                </w:tcPr>
                <w:p w14:paraId="0C3F17B4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Relevance to WorldWide Brewing</w:t>
                  </w:r>
                </w:p>
                <w:p w14:paraId="6B7D122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382D6F9A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Recommendation</w:t>
                  </w:r>
                </w:p>
              </w:tc>
            </w:tr>
            <w:tr w:rsidR="009B6A6C" w:rsidRPr="007773A3" w14:paraId="316921FD" w14:textId="77777777" w:rsidTr="00082A5E">
              <w:tc>
                <w:tcPr>
                  <w:tcW w:w="1593" w:type="dxa"/>
                </w:tcPr>
                <w:p w14:paraId="45979E96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HappyHour Co.</w:t>
                  </w:r>
                </w:p>
              </w:tc>
              <w:tc>
                <w:tcPr>
                  <w:tcW w:w="2294" w:type="dxa"/>
                </w:tcPr>
                <w:p w14:paraId="64ABB862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HappyHour Co. is the largest player in Singapore and Malaysia, in the segments of beer, spirits and non-alcoholic beverages. Its operations include manufacturing facilities, distribution and direct sales and it has demonstrated strong growth in EBITDA in FY2020 which was up 20% pcp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 amounted to US$300mm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893" w:type="dxa"/>
                </w:tcPr>
                <w:p w14:paraId="2ACD63EA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has similar operations to WorldWide Brewing across the same segments and is the leading player in Singapore and Malaysia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 suggesting the potential for strategic benefits and synergies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It has solid financial results and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an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ownership structure that is owned by 3 families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rendering a potential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acquisition relatively simple and feasible. HappyHour Co. would be appropriate to share.</w:t>
                  </w:r>
                </w:p>
              </w:tc>
              <w:tc>
                <w:tcPr>
                  <w:tcW w:w="2350" w:type="dxa"/>
                </w:tcPr>
                <w:p w14:paraId="247ED975" w14:textId="33AC025F" w:rsidR="009B6A6C" w:rsidRPr="007773A3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  <w:r w:rsidR="004656DF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(Very High)</w:t>
                  </w:r>
                </w:p>
              </w:tc>
            </w:tr>
            <w:tr w:rsidR="009B6A6C" w:rsidRPr="007773A3" w14:paraId="4B9C7CCF" w14:textId="77777777" w:rsidTr="00082A5E">
              <w:tc>
                <w:tcPr>
                  <w:tcW w:w="1593" w:type="dxa"/>
                </w:tcPr>
                <w:p w14:paraId="682DFD08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D965103" w14:textId="0BB012EF" w:rsidR="009B6A6C" w:rsidRDefault="002E234E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Spirit Bay</w:t>
                  </w:r>
                </w:p>
                <w:p w14:paraId="761DD652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F8730EC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5153DA7F" w14:textId="71B3F33C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294" w:type="dxa"/>
                </w:tcPr>
                <w:p w14:paraId="454897D6" w14:textId="77777777" w:rsidR="00E10D3D" w:rsidRDefault="002E234E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Spirit Bay</w:t>
                  </w:r>
                  <w:r w:rsidR="00E10D3D">
                    <w:rPr>
                      <w:rFonts w:ascii="Calibri" w:hAnsi="Calibri" w:cs="Calibri"/>
                      <w:sz w:val="20"/>
                      <w:szCs w:val="20"/>
                    </w:rPr>
                    <w:t xml:space="preserve"> an Indonesia company,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="00E10D3D">
                    <w:rPr>
                      <w:rFonts w:ascii="Calibri" w:hAnsi="Calibri" w:cs="Calibri"/>
                      <w:sz w:val="20"/>
                      <w:szCs w:val="20"/>
                    </w:rPr>
                    <w:t>number one player in Indonesia and 2</w:t>
                  </w:r>
                  <w:r w:rsidR="00E10D3D" w:rsidRPr="00E10D3D">
                    <w:rPr>
                      <w:rFonts w:ascii="Calibri" w:hAnsi="Calibri" w:cs="Calibri"/>
                      <w:sz w:val="20"/>
                      <w:szCs w:val="20"/>
                      <w:vertAlign w:val="superscript"/>
                    </w:rPr>
                    <w:t>nd</w:t>
                  </w:r>
                  <w:r w:rsidR="00E10D3D">
                    <w:rPr>
                      <w:rFonts w:ascii="Calibri" w:hAnsi="Calibri" w:cs="Calibri"/>
                      <w:sz w:val="20"/>
                      <w:szCs w:val="20"/>
                    </w:rPr>
                    <w:t xml:space="preserve"> in Singapore and Malesia.</w:t>
                  </w:r>
                </w:p>
                <w:p w14:paraId="4BE712C4" w14:textId="7DBF707B" w:rsidR="00E10D3D" w:rsidRDefault="00E10D3D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They operate in beer, spirit, non-alcoholic beverages in Singapore, Malaysia and China  </w:t>
                  </w:r>
                </w:p>
                <w:p w14:paraId="05AA3BEC" w14:textId="77777777" w:rsidR="009B6A6C" w:rsidRDefault="00E10D3D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There operations are mostly integrated and they manufacturing facilities are based Indonesia. </w:t>
                  </w:r>
                </w:p>
                <w:p w14:paraId="18F2157A" w14:textId="4882E4ED" w:rsidR="00FA08DE" w:rsidRPr="00757AEB" w:rsidRDefault="00FA08DE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60% owed by global sponsors, they are reported FY2020 US$400 mm in EBITDA 40% pcp</w:t>
                  </w:r>
                </w:p>
              </w:tc>
              <w:tc>
                <w:tcPr>
                  <w:tcW w:w="2893" w:type="dxa"/>
                </w:tcPr>
                <w:p w14:paraId="1578DEA2" w14:textId="6BF68B69" w:rsidR="00D74A99" w:rsidRDefault="0029723A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 has the same similarities to WorldWide Brewing co across their segments and it is the leading player in Indonesia, furthermore second leader in Singapore and Malaysia suggesting potential</w:t>
                  </w:r>
                  <w:r w:rsidR="00B62D80">
                    <w:rPr>
                      <w:rFonts w:ascii="Calibri" w:hAnsi="Calibri" w:cs="Calibri"/>
                      <w:sz w:val="20"/>
                      <w:szCs w:val="20"/>
                    </w:rPr>
                    <w:t xml:space="preserve"> strategic for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benefits and synergies in Asia, mainly in Indonesia country. It has a</w:t>
                  </w:r>
                  <w:r w:rsidR="00B62D80">
                    <w:rPr>
                      <w:rFonts w:ascii="Calibri" w:hAnsi="Calibri" w:cs="Calibri"/>
                      <w:sz w:val="20"/>
                      <w:szCs w:val="20"/>
                    </w:rPr>
                    <w:t xml:space="preserve"> very huge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="00D74A99">
                    <w:rPr>
                      <w:rFonts w:ascii="Calibri" w:hAnsi="Calibri" w:cs="Calibri"/>
                      <w:sz w:val="20"/>
                      <w:szCs w:val="20"/>
                    </w:rPr>
                    <w:t>solid financial result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 the structure is owned </w:t>
                  </w:r>
                  <w:r w:rsidR="00D74A99">
                    <w:rPr>
                      <w:rFonts w:ascii="Calibri" w:hAnsi="Calibri" w:cs="Calibri"/>
                      <w:sz w:val="20"/>
                      <w:szCs w:val="20"/>
                    </w:rPr>
                    <w:t>60% by Global Sponsor and 40% employee owned, rendering a</w:t>
                  </w:r>
                  <w:r w:rsidR="001F7E9A">
                    <w:rPr>
                      <w:rFonts w:ascii="Calibri" w:hAnsi="Calibri" w:cs="Calibri"/>
                      <w:sz w:val="20"/>
                      <w:szCs w:val="20"/>
                    </w:rPr>
                    <w:t xml:space="preserve">n </w:t>
                  </w:r>
                  <w:r w:rsidR="00D74A99">
                    <w:rPr>
                      <w:rFonts w:ascii="Calibri" w:hAnsi="Calibri" w:cs="Calibri"/>
                      <w:sz w:val="20"/>
                      <w:szCs w:val="20"/>
                    </w:rPr>
                    <w:t xml:space="preserve">acquisition relatively </w:t>
                  </w:r>
                  <w:r w:rsidR="00745C8C">
                    <w:rPr>
                      <w:rFonts w:ascii="Calibri" w:hAnsi="Calibri" w:cs="Calibri"/>
                      <w:sz w:val="20"/>
                      <w:szCs w:val="20"/>
                    </w:rPr>
                    <w:t>a bit</w:t>
                  </w:r>
                  <w:r w:rsidR="00D74A99">
                    <w:rPr>
                      <w:rFonts w:ascii="Calibri" w:hAnsi="Calibri" w:cs="Calibri"/>
                      <w:sz w:val="20"/>
                      <w:szCs w:val="20"/>
                    </w:rPr>
                    <w:t xml:space="preserve"> easy to earn.</w:t>
                  </w:r>
                </w:p>
                <w:p w14:paraId="1A2EB85F" w14:textId="607125C9" w:rsidR="009B6A6C" w:rsidRDefault="00D74A99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Spirit Bay is quite appropriate to share.</w:t>
                  </w:r>
                </w:p>
              </w:tc>
              <w:tc>
                <w:tcPr>
                  <w:tcW w:w="2350" w:type="dxa"/>
                </w:tcPr>
                <w:p w14:paraId="0D63E031" w14:textId="6EE64F74" w:rsidR="009B6A6C" w:rsidRDefault="00082A5E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</w:t>
                  </w:r>
                  <w:r w:rsidR="00082982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e</w:t>
                  </w: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nd</w:t>
                  </w:r>
                  <w:r w:rsidR="002250CC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4656DF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(High)</w:t>
                  </w:r>
                </w:p>
              </w:tc>
            </w:tr>
            <w:tr w:rsidR="009B6A6C" w:rsidRPr="007773A3" w14:paraId="42F211ED" w14:textId="77777777" w:rsidTr="00082A5E">
              <w:tc>
                <w:tcPr>
                  <w:tcW w:w="1593" w:type="dxa"/>
                </w:tcPr>
                <w:p w14:paraId="1D52A033" w14:textId="18DF4250" w:rsidR="009B6A6C" w:rsidRDefault="00D74A99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Hi</w:t>
                  </w:r>
                  <w:r w:rsidR="00082A5E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p</w:t>
                  </w: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sters’ Ale</w:t>
                  </w:r>
                </w:p>
                <w:p w14:paraId="6099C0D4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39C9B5A1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4A5F2EC8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8AFD947" w14:textId="0A49C03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294" w:type="dxa"/>
                </w:tcPr>
                <w:p w14:paraId="4E9FBCAF" w14:textId="6BBB374C" w:rsidR="00082982" w:rsidRDefault="00082A5E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Hipster’ Ale a Malaysia company operating in beer and spirits HQ Malaysia and other location Singapore,</w:t>
                  </w:r>
                  <w:r w:rsidRPr="00082A5E">
                    <w:rPr>
                      <w:rFonts w:ascii="Calibri" w:hAnsi="Calibri" w:cs="Calibri"/>
                      <w:sz w:val="20"/>
                      <w:szCs w:val="20"/>
                    </w:rPr>
                    <w:t xml:space="preserve"> Indonesia, Japan, Korea and Cambodia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. They manufacture, distribute and sell their products directly.</w:t>
                  </w:r>
                  <w:r w:rsidR="00082982">
                    <w:rPr>
                      <w:rFonts w:ascii="Calibri" w:hAnsi="Calibri" w:cs="Calibri"/>
                      <w:sz w:val="20"/>
                      <w:szCs w:val="20"/>
                    </w:rPr>
                    <w:t xml:space="preserve"> The company is owned by a consortium of 30 independent breweries in each respective regions mentioned above.</w:t>
                  </w:r>
                </w:p>
                <w:p w14:paraId="667D286A" w14:textId="4A316D8B" w:rsidR="00082982" w:rsidRDefault="00082982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lastRenderedPageBreak/>
                    <w:t>US$200 mm EBITDA FY2020 up to 15% pcp</w:t>
                  </w:r>
                </w:p>
                <w:p w14:paraId="5D2F20CE" w14:textId="340C1573" w:rsidR="009B6A6C" w:rsidRPr="00757AEB" w:rsidRDefault="00082982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93" w:type="dxa"/>
                </w:tcPr>
                <w:p w14:paraId="43580CB3" w14:textId="7FD9E00D" w:rsidR="00082982" w:rsidRDefault="00082982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lastRenderedPageBreak/>
                    <w:t>Hipsters’ Ale has some common similarities</w:t>
                  </w:r>
                  <w:r w:rsidR="008E4327">
                    <w:rPr>
                      <w:rFonts w:ascii="Calibri" w:hAnsi="Calibri" w:cs="Calibri"/>
                      <w:sz w:val="20"/>
                      <w:szCs w:val="20"/>
                    </w:rPr>
                    <w:t xml:space="preserve"> to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alibri" w:hAnsi="Calibri" w:cs="Calibri"/>
                      <w:sz w:val="20"/>
                      <w:szCs w:val="20"/>
                    </w:rPr>
                    <w:t>our</w:t>
                  </w:r>
                  <w:proofErr w:type="gram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acquire company</w:t>
                  </w:r>
                  <w:r w:rsidR="00B62D80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(WorldWild Brewing co), Beer and spirits.</w:t>
                  </w:r>
                </w:p>
                <w:p w14:paraId="32494942" w14:textId="77777777" w:rsidR="00082982" w:rsidRDefault="00082982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No ranking status, making it less measurable for the global market rank.</w:t>
                  </w:r>
                  <w:r w:rsidR="00B62D80">
                    <w:rPr>
                      <w:rFonts w:ascii="Calibri" w:hAnsi="Calibri" w:cs="Calibri"/>
                      <w:sz w:val="20"/>
                      <w:szCs w:val="20"/>
                    </w:rPr>
                    <w:t xml:space="preserve"> It is based in multiple Asia countries, turn it into potential </w:t>
                  </w:r>
                  <w:r w:rsidR="008E4327">
                    <w:rPr>
                      <w:rFonts w:ascii="Calibri" w:hAnsi="Calibri" w:cs="Calibri"/>
                      <w:sz w:val="20"/>
                      <w:szCs w:val="20"/>
                    </w:rPr>
                    <w:t>strategic for benefits and synergies in Asia. It has good financial results and</w:t>
                  </w:r>
                  <w:r w:rsidR="001F7E9A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="002250CC">
                    <w:rPr>
                      <w:rFonts w:ascii="Calibri" w:hAnsi="Calibri" w:cs="Calibri"/>
                      <w:sz w:val="20"/>
                      <w:szCs w:val="20"/>
                    </w:rPr>
                    <w:t>it</w:t>
                  </w:r>
                  <w:r w:rsidR="008E4327">
                    <w:rPr>
                      <w:rFonts w:ascii="Calibri" w:hAnsi="Calibri" w:cs="Calibri"/>
                      <w:sz w:val="20"/>
                      <w:szCs w:val="20"/>
                    </w:rPr>
                    <w:t xml:space="preserve"> is owned by 30 independent breweries</w:t>
                  </w:r>
                  <w:r w:rsidR="001F7E9A">
                    <w:rPr>
                      <w:rFonts w:ascii="Calibri" w:hAnsi="Calibri" w:cs="Calibri"/>
                      <w:sz w:val="20"/>
                      <w:szCs w:val="20"/>
                    </w:rPr>
                    <w:t>, the acquisition will be barely easy</w:t>
                  </w:r>
                  <w:r w:rsidR="008E4327">
                    <w:rPr>
                      <w:rFonts w:ascii="Calibri" w:hAnsi="Calibri" w:cs="Calibri"/>
                      <w:sz w:val="20"/>
                      <w:szCs w:val="20"/>
                    </w:rPr>
                    <w:t>. EBITDA $US200mm FY2020 with 15% pcp</w:t>
                  </w:r>
                  <w:r w:rsidR="001F7E9A">
                    <w:rPr>
                      <w:rFonts w:ascii="Calibri" w:hAnsi="Calibri" w:cs="Calibri"/>
                      <w:sz w:val="20"/>
                      <w:szCs w:val="20"/>
                    </w:rPr>
                    <w:t xml:space="preserve">. </w:t>
                  </w:r>
                </w:p>
                <w:p w14:paraId="740A5886" w14:textId="3511E0D3" w:rsidR="00745C8C" w:rsidRDefault="00745C8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lastRenderedPageBreak/>
                    <w:t xml:space="preserve">Hipsters Ale </w:t>
                  </w:r>
                  <w:r w:rsidR="00366DCC">
                    <w:rPr>
                      <w:rFonts w:ascii="Calibri" w:hAnsi="Calibri" w:cs="Calibri"/>
                      <w:sz w:val="20"/>
                      <w:szCs w:val="20"/>
                    </w:rPr>
                    <w:t>is not that bad fit</w:t>
                  </w:r>
                </w:p>
              </w:tc>
              <w:tc>
                <w:tcPr>
                  <w:tcW w:w="2350" w:type="dxa"/>
                </w:tcPr>
                <w:p w14:paraId="4BF2F6C7" w14:textId="22128E34" w:rsidR="009B6A6C" w:rsidRDefault="00082982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lastRenderedPageBreak/>
                    <w:t>Recommend</w:t>
                  </w:r>
                  <w:r w:rsidR="002250CC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(Good)</w:t>
                  </w:r>
                </w:p>
              </w:tc>
            </w:tr>
            <w:tr w:rsidR="009B6A6C" w:rsidRPr="007773A3" w14:paraId="4B9B75B0" w14:textId="77777777" w:rsidTr="00082A5E">
              <w:tc>
                <w:tcPr>
                  <w:tcW w:w="1593" w:type="dxa"/>
                </w:tcPr>
                <w:p w14:paraId="3A4FDEF2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27271D95" w14:textId="43923B47" w:rsidR="009B6A6C" w:rsidRDefault="00082982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Brew Co</w:t>
                  </w:r>
                </w:p>
                <w:p w14:paraId="6CB58894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6DF251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235D7E" w14:textId="399FCB76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294" w:type="dxa"/>
                </w:tcPr>
                <w:p w14:paraId="5C9586E2" w14:textId="77777777" w:rsidR="009B6A6C" w:rsidRDefault="00295FF4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Brew co, a Malaysian beer and spirit company</w:t>
                  </w:r>
                </w:p>
                <w:p w14:paraId="1FC65F4D" w14:textId="7250169B" w:rsidR="00295FF4" w:rsidRPr="00757AEB" w:rsidRDefault="00295FF4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Operating in manufacturing facilities solely but</w:t>
                  </w:r>
                  <w:r w:rsidR="004656DF">
                    <w:rPr>
                      <w:rFonts w:ascii="Calibri" w:hAnsi="Calibri" w:cs="Calibri"/>
                      <w:sz w:val="20"/>
                      <w:szCs w:val="20"/>
                    </w:rPr>
                    <w:t xml:space="preserve"> is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still hold number 1 manufacturing in Malaysia. Most of the shares are institutional. They earned US$800mm in EBITDA FY2020 5% down pcp  </w:t>
                  </w:r>
                </w:p>
              </w:tc>
              <w:tc>
                <w:tcPr>
                  <w:tcW w:w="2893" w:type="dxa"/>
                </w:tcPr>
                <w:p w14:paraId="1842CD1D" w14:textId="4191881B" w:rsidR="009B6A6C" w:rsidRDefault="00295FF4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Brew co</w:t>
                  </w:r>
                  <w:r w:rsidR="002250CC">
                    <w:rPr>
                      <w:rFonts w:ascii="Calibri" w:hAnsi="Calibri" w:cs="Calibri"/>
                      <w:sz w:val="20"/>
                      <w:szCs w:val="20"/>
                    </w:rPr>
                    <w:t xml:space="preserve">, </w:t>
                  </w:r>
                  <w:r w:rsidR="00366DCC">
                    <w:rPr>
                      <w:rFonts w:ascii="Calibri" w:hAnsi="Calibri" w:cs="Calibri"/>
                      <w:sz w:val="20"/>
                      <w:szCs w:val="20"/>
                    </w:rPr>
                    <w:t>has some common</w:t>
                  </w:r>
                  <w:r w:rsidR="002250CC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="00366DCC">
                    <w:rPr>
                      <w:rFonts w:ascii="Calibri" w:hAnsi="Calibri" w:cs="Calibri"/>
                      <w:sz w:val="20"/>
                      <w:szCs w:val="20"/>
                    </w:rPr>
                    <w:t>similarities</w:t>
                  </w:r>
                  <w:r w:rsidR="002250CC">
                    <w:rPr>
                      <w:rFonts w:ascii="Calibri" w:hAnsi="Calibri" w:cs="Calibri"/>
                      <w:sz w:val="20"/>
                      <w:szCs w:val="20"/>
                    </w:rPr>
                    <w:t xml:space="preserve"> to </w:t>
                  </w:r>
                  <w:proofErr w:type="gramStart"/>
                  <w:r w:rsidR="001F7E9A">
                    <w:rPr>
                      <w:rFonts w:ascii="Calibri" w:hAnsi="Calibri" w:cs="Calibri"/>
                      <w:sz w:val="20"/>
                      <w:szCs w:val="20"/>
                    </w:rPr>
                    <w:t>our</w:t>
                  </w:r>
                  <w:proofErr w:type="gramEnd"/>
                  <w:r w:rsidR="002250CC">
                    <w:rPr>
                      <w:rFonts w:ascii="Calibri" w:hAnsi="Calibri" w:cs="Calibri"/>
                      <w:sz w:val="20"/>
                      <w:szCs w:val="20"/>
                    </w:rPr>
                    <w:t xml:space="preserve"> acquire company (segment: beer and spirit) and it is only number one in Malaysia </w:t>
                  </w:r>
                  <w:r w:rsidR="00366DCC">
                    <w:rPr>
                      <w:rFonts w:ascii="Calibri" w:hAnsi="Calibri" w:cs="Calibri"/>
                      <w:sz w:val="20"/>
                      <w:szCs w:val="20"/>
                    </w:rPr>
                    <w:t>regardless</w:t>
                  </w:r>
                  <w:r w:rsidR="002250CC">
                    <w:rPr>
                      <w:rFonts w:ascii="Calibri" w:hAnsi="Calibri" w:cs="Calibri"/>
                      <w:sz w:val="20"/>
                      <w:szCs w:val="20"/>
                    </w:rPr>
                    <w:t xml:space="preserve"> the rest of the whole Asia</w:t>
                  </w:r>
                  <w:r w:rsidR="00366DCC"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  <w:r w:rsidR="002250CC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="00366DCC">
                    <w:rPr>
                      <w:rFonts w:ascii="Calibri" w:hAnsi="Calibri" w:cs="Calibri"/>
                      <w:sz w:val="20"/>
                      <w:szCs w:val="20"/>
                    </w:rPr>
                    <w:t>Also,</w:t>
                  </w:r>
                  <w:r w:rsidR="002250CC">
                    <w:rPr>
                      <w:rFonts w:ascii="Calibri" w:hAnsi="Calibri" w:cs="Calibri"/>
                      <w:sz w:val="20"/>
                      <w:szCs w:val="20"/>
                    </w:rPr>
                    <w:t xml:space="preserve"> it operates only in manufacturing facilities which makes very difficult to a potential strategic for benefits and </w:t>
                  </w:r>
                  <w:r w:rsidR="001F7E9A">
                    <w:rPr>
                      <w:rFonts w:ascii="Calibri" w:hAnsi="Calibri" w:cs="Calibri"/>
                      <w:sz w:val="20"/>
                      <w:szCs w:val="20"/>
                    </w:rPr>
                    <w:t xml:space="preserve">synergies in Asia. It has a </w:t>
                  </w:r>
                  <w:r w:rsidR="00366DCC">
                    <w:rPr>
                      <w:rFonts w:ascii="Calibri" w:hAnsi="Calibri" w:cs="Calibri"/>
                      <w:sz w:val="20"/>
                      <w:szCs w:val="20"/>
                    </w:rPr>
                    <w:t>very good</w:t>
                  </w:r>
                  <w:r w:rsidR="001F7E9A">
                    <w:rPr>
                      <w:rFonts w:ascii="Calibri" w:hAnsi="Calibri" w:cs="Calibri"/>
                      <w:sz w:val="20"/>
                      <w:szCs w:val="20"/>
                    </w:rPr>
                    <w:t xml:space="preserve"> financial status FY2020 ABITDA US$800 mm </w:t>
                  </w:r>
                  <w:r w:rsidR="00366DCC">
                    <w:rPr>
                      <w:rFonts w:ascii="Calibri" w:hAnsi="Calibri" w:cs="Calibri"/>
                      <w:sz w:val="20"/>
                      <w:szCs w:val="20"/>
                    </w:rPr>
                    <w:t xml:space="preserve">but got </w:t>
                  </w:r>
                  <w:r w:rsidR="001F7E9A">
                    <w:rPr>
                      <w:rFonts w:ascii="Calibri" w:hAnsi="Calibri" w:cs="Calibri"/>
                      <w:sz w:val="20"/>
                      <w:szCs w:val="20"/>
                    </w:rPr>
                    <w:t>15% down pcp</w:t>
                  </w:r>
                  <w:r w:rsidR="00366DCC">
                    <w:rPr>
                      <w:rFonts w:ascii="Calibri" w:hAnsi="Calibri" w:cs="Calibri"/>
                      <w:sz w:val="20"/>
                      <w:szCs w:val="20"/>
                    </w:rPr>
                    <w:t xml:space="preserve"> although this huge revenue</w:t>
                  </w:r>
                  <w:r w:rsidR="001F7E9A">
                    <w:rPr>
                      <w:rFonts w:ascii="Calibri" w:hAnsi="Calibri" w:cs="Calibri"/>
                      <w:sz w:val="20"/>
                      <w:szCs w:val="20"/>
                    </w:rPr>
                    <w:t>. Owne</w:t>
                  </w:r>
                  <w:r w:rsidR="004656DF">
                    <w:rPr>
                      <w:rFonts w:ascii="Calibri" w:hAnsi="Calibri" w:cs="Calibri"/>
                      <w:sz w:val="20"/>
                      <w:szCs w:val="20"/>
                    </w:rPr>
                    <w:t>d</w:t>
                  </w:r>
                  <w:r w:rsidR="001F7E9A">
                    <w:rPr>
                      <w:rFonts w:ascii="Calibri" w:hAnsi="Calibri" w:cs="Calibri"/>
                      <w:sz w:val="20"/>
                      <w:szCs w:val="20"/>
                    </w:rPr>
                    <w:t xml:space="preserve"> by institutions, the acquisition will</w:t>
                  </w:r>
                  <w:r w:rsidR="004656DF">
                    <w:rPr>
                      <w:rFonts w:ascii="Calibri" w:hAnsi="Calibri" w:cs="Calibri"/>
                      <w:sz w:val="20"/>
                      <w:szCs w:val="20"/>
                    </w:rPr>
                    <w:t xml:space="preserve"> be</w:t>
                  </w:r>
                  <w:r w:rsidR="001F7E9A">
                    <w:rPr>
                      <w:rFonts w:ascii="Calibri" w:hAnsi="Calibri" w:cs="Calibri"/>
                      <w:sz w:val="20"/>
                      <w:szCs w:val="20"/>
                    </w:rPr>
                    <w:t xml:space="preserve"> difficult to earn. </w:t>
                  </w:r>
                </w:p>
              </w:tc>
              <w:tc>
                <w:tcPr>
                  <w:tcW w:w="2350" w:type="dxa"/>
                </w:tcPr>
                <w:p w14:paraId="55C39798" w14:textId="7607CDD4" w:rsidR="009B6A6C" w:rsidRDefault="00295FF4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Not recommended</w:t>
                  </w:r>
                  <w:r w:rsidR="002250CC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 xml:space="preserve"> (Bad)</w:t>
                  </w:r>
                </w:p>
              </w:tc>
            </w:tr>
            <w:tr w:rsidR="009B6A6C" w:rsidRPr="007773A3" w14:paraId="14806F80" w14:textId="77777777" w:rsidTr="00082A5E">
              <w:tc>
                <w:tcPr>
                  <w:tcW w:w="1593" w:type="dxa"/>
                </w:tcPr>
                <w:p w14:paraId="6EC317CC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9BB501" w14:textId="6B568952" w:rsidR="009B6A6C" w:rsidRDefault="001F7E9A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Bavy’s Direct</w:t>
                  </w:r>
                </w:p>
                <w:p w14:paraId="29AAD35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3B2496FB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A658F42" w14:textId="197BBD9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294" w:type="dxa"/>
                </w:tcPr>
                <w:p w14:paraId="45359624" w14:textId="536C0D70" w:rsidR="009B6A6C" w:rsidRPr="00757AEB" w:rsidRDefault="001F7E9A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Bavy’s Direct, based in Singapore </w:t>
                  </w:r>
                  <w:r w:rsidR="0001009E">
                    <w:rPr>
                      <w:rFonts w:ascii="Calibri" w:hAnsi="Calibri" w:cs="Calibri"/>
                      <w:sz w:val="20"/>
                      <w:szCs w:val="20"/>
                    </w:rPr>
                    <w:t>operate in beer, spirits, and non-alcoholic beverages as our potential buyer(acquire) company but they only do wholesale distribution across multiple countries (</w:t>
                  </w:r>
                  <w:r w:rsidR="0001009E" w:rsidRPr="0001009E">
                    <w:rPr>
                      <w:rFonts w:ascii="Calibri" w:hAnsi="Calibri" w:cs="Calibri"/>
                      <w:sz w:val="20"/>
                      <w:szCs w:val="20"/>
                    </w:rPr>
                    <w:t>e, Indonesia, Japan, Korea and Cambodia</w:t>
                  </w:r>
                  <w:r w:rsidR="0001009E">
                    <w:rPr>
                      <w:rFonts w:ascii="Calibri" w:hAnsi="Calibri" w:cs="Calibri"/>
                      <w:sz w:val="20"/>
                      <w:szCs w:val="20"/>
                    </w:rPr>
                    <w:t xml:space="preserve">) and owned by one family. </w:t>
                  </w:r>
                  <w:r w:rsidR="0001009E" w:rsidRPr="0001009E">
                    <w:rPr>
                      <w:rFonts w:ascii="Calibri" w:hAnsi="Calibri" w:cs="Calibri"/>
                      <w:sz w:val="20"/>
                      <w:szCs w:val="20"/>
                    </w:rPr>
                    <w:t>EBITDA US$250mm (FY June 2020 actuals) up 20% pcp</w:t>
                  </w:r>
                </w:p>
              </w:tc>
              <w:tc>
                <w:tcPr>
                  <w:tcW w:w="2893" w:type="dxa"/>
                </w:tcPr>
                <w:p w14:paraId="0BCC8FBA" w14:textId="2F44CAE6" w:rsidR="009B6A6C" w:rsidRDefault="0001009E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Bavy’s Direct</w:t>
                  </w:r>
                  <w:r w:rsidR="00232592">
                    <w:rPr>
                      <w:rFonts w:ascii="Calibri" w:hAnsi="Calibri" w:cs="Calibri"/>
                      <w:sz w:val="20"/>
                      <w:szCs w:val="20"/>
                    </w:rPr>
                    <w:t xml:space="preserve">, highly similar to our potential acquire company with no ranking status and do wholesale distribution only. </w:t>
                  </w:r>
                  <w:r w:rsidR="00232592" w:rsidRPr="00232592">
                    <w:rPr>
                      <w:rFonts w:ascii="Calibri" w:hAnsi="Calibri" w:cs="Calibri"/>
                      <w:sz w:val="20"/>
                      <w:szCs w:val="20"/>
                    </w:rPr>
                    <w:t>EBITDA US$250mm (FY June 2020 actuals) up 20% pcp</w:t>
                  </w:r>
                  <w:r w:rsidR="001E0EB7">
                    <w:rPr>
                      <w:rFonts w:ascii="Calibri" w:hAnsi="Calibri" w:cs="Calibri"/>
                      <w:sz w:val="20"/>
                      <w:szCs w:val="20"/>
                    </w:rPr>
                    <w:t xml:space="preserve"> therefore a solid financial status</w:t>
                  </w:r>
                  <w:r w:rsidR="00232592"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</w:p>
                <w:p w14:paraId="33CDC1A4" w14:textId="190AB327" w:rsidR="001E0EB7" w:rsidRDefault="001E0EB7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They are visible in many countries making it a potential strategics for benefits and synergies.</w:t>
                  </w:r>
                  <w:r w:rsidR="00413166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="00366DCC">
                    <w:rPr>
                      <w:rFonts w:ascii="Calibri" w:hAnsi="Calibri" w:cs="Calibri"/>
                      <w:sz w:val="20"/>
                      <w:szCs w:val="20"/>
                    </w:rPr>
                    <w:t>Also,</w:t>
                  </w:r>
                  <w:r w:rsidR="00413166">
                    <w:rPr>
                      <w:rFonts w:ascii="Calibri" w:hAnsi="Calibri" w:cs="Calibri"/>
                      <w:sz w:val="20"/>
                      <w:szCs w:val="20"/>
                    </w:rPr>
                    <w:t xml:space="preserve"> it is owned by one family, the potential acquisition is very easy to earn and feasible. </w:t>
                  </w:r>
                </w:p>
              </w:tc>
              <w:tc>
                <w:tcPr>
                  <w:tcW w:w="2350" w:type="dxa"/>
                </w:tcPr>
                <w:p w14:paraId="778A6CE4" w14:textId="1D309386" w:rsidR="009B6A6C" w:rsidRDefault="0001009E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Recommended (</w:t>
                  </w:r>
                  <w:r w:rsidR="001E0EB7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Good</w:t>
                  </w: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0A5AED62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1BEF0779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5CF1D96A" w14:textId="5686921B" w:rsidR="00DC3063" w:rsidRPr="00990745" w:rsidRDefault="00EA6136" w:rsidP="001E0EB7">
            <w:pPr>
              <w:rPr>
                <w:b/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B99E953" wp14:editId="7809057C">
                  <wp:extent cx="762000" cy="8059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441" cy="813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A6136">
              <w:rPr>
                <w:sz w:val="44"/>
                <w:szCs w:val="44"/>
              </w:rPr>
              <w:t>Off</w:t>
            </w:r>
            <w:r w:rsidR="00276FC2">
              <w:rPr>
                <w:sz w:val="44"/>
                <w:szCs w:val="44"/>
              </w:rPr>
              <w:t>o</w:t>
            </w:r>
            <w:r w:rsidRPr="00EA6136">
              <w:rPr>
                <w:sz w:val="44"/>
                <w:szCs w:val="44"/>
              </w:rPr>
              <w:t xml:space="preserve">ri Koffi </w:t>
            </w:r>
          </w:p>
        </w:tc>
      </w:tr>
    </w:tbl>
    <w:p w14:paraId="62B69DBA" w14:textId="57A0E7A5" w:rsidR="001E0EB7" w:rsidRDefault="001E0EB7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14:paraId="7E0A7EBC" w14:textId="77777777" w:rsidR="001E0EB7" w:rsidRPr="001E0EB7" w:rsidRDefault="001E0EB7" w:rsidP="001E0EB7">
      <w:r w:rsidRPr="001E0EB7">
        <w:lastRenderedPageBreak/>
        <w:t>My own Notes</w:t>
      </w:r>
    </w:p>
    <w:p w14:paraId="73AD0108" w14:textId="77777777" w:rsidR="001E0EB7" w:rsidRPr="001E0EB7" w:rsidRDefault="001E0EB7" w:rsidP="001E0EB7"/>
    <w:p w14:paraId="52E388F8" w14:textId="4F0D9128" w:rsidR="001E0EB7" w:rsidRPr="001E0EB7" w:rsidRDefault="001E0EB7" w:rsidP="001E0EB7">
      <w:r w:rsidRPr="001E0EB7">
        <w:t>Measure the companies</w:t>
      </w:r>
    </w:p>
    <w:p w14:paraId="69945E6E" w14:textId="77777777" w:rsidR="001E0EB7" w:rsidRDefault="001E0EB7">
      <w:pPr>
        <w:rPr>
          <w:sz w:val="20"/>
          <w:szCs w:val="20"/>
        </w:rPr>
      </w:pPr>
    </w:p>
    <w:tbl>
      <w:tblPr>
        <w:tblStyle w:val="TableGrid"/>
        <w:tblW w:w="9305" w:type="dxa"/>
        <w:tblInd w:w="-147" w:type="dxa"/>
        <w:tblLook w:val="04A0" w:firstRow="1" w:lastRow="0" w:firstColumn="1" w:lastColumn="0" w:noHBand="0" w:noVBand="1"/>
      </w:tblPr>
      <w:tblGrid>
        <w:gridCol w:w="4537"/>
        <w:gridCol w:w="4768"/>
      </w:tblGrid>
      <w:tr w:rsidR="00EA6136" w14:paraId="2A534F56" w14:textId="77777777" w:rsidTr="00276FC2">
        <w:tc>
          <w:tcPr>
            <w:tcW w:w="4537" w:type="dxa"/>
          </w:tcPr>
          <w:p w14:paraId="61C7D63C" w14:textId="201DA822" w:rsidR="00EA6136" w:rsidRDefault="00EA6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Company</w:t>
            </w:r>
          </w:p>
        </w:tc>
        <w:tc>
          <w:tcPr>
            <w:tcW w:w="4768" w:type="dxa"/>
          </w:tcPr>
          <w:p w14:paraId="4A729F3A" w14:textId="5C62E13D" w:rsidR="00EA6136" w:rsidRDefault="00EA6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Relevance from target to </w:t>
            </w:r>
            <w:r w:rsidR="00276FC2">
              <w:rPr>
                <w:sz w:val="20"/>
                <w:szCs w:val="20"/>
              </w:rPr>
              <w:t>buyer [potential acquire] (Worldwide Brewing)</w:t>
            </w:r>
          </w:p>
        </w:tc>
      </w:tr>
      <w:tr w:rsidR="00276FC2" w14:paraId="7D6EF93B" w14:textId="77777777" w:rsidTr="00276FC2">
        <w:tc>
          <w:tcPr>
            <w:tcW w:w="4537" w:type="dxa"/>
          </w:tcPr>
          <w:p w14:paraId="2D0EC88C" w14:textId="1F3883A6" w:rsidR="00276FC2" w:rsidRDefault="0027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Growth</w:t>
            </w:r>
          </w:p>
        </w:tc>
        <w:tc>
          <w:tcPr>
            <w:tcW w:w="4768" w:type="dxa"/>
          </w:tcPr>
          <w:p w14:paraId="2B3077C1" w14:textId="17EE5820" w:rsidR="00276FC2" w:rsidRDefault="0027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Comparisons between the acquire and targets</w:t>
            </w:r>
          </w:p>
        </w:tc>
      </w:tr>
      <w:tr w:rsidR="00276FC2" w14:paraId="1261A843" w14:textId="77777777" w:rsidTr="00276FC2">
        <w:tc>
          <w:tcPr>
            <w:tcW w:w="4537" w:type="dxa"/>
          </w:tcPr>
          <w:p w14:paraId="7B1C6EC8" w14:textId="294F6D1B" w:rsidR="00276FC2" w:rsidRDefault="0027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segment</w:t>
            </w:r>
          </w:p>
        </w:tc>
        <w:tc>
          <w:tcPr>
            <w:tcW w:w="4768" w:type="dxa"/>
          </w:tcPr>
          <w:p w14:paraId="0CD2E9D8" w14:textId="646B6E12" w:rsidR="00276FC2" w:rsidRDefault="0027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Ranking status</w:t>
            </w:r>
          </w:p>
        </w:tc>
      </w:tr>
      <w:tr w:rsidR="00276FC2" w14:paraId="005CD163" w14:textId="77777777" w:rsidTr="00276FC2">
        <w:tc>
          <w:tcPr>
            <w:tcW w:w="4537" w:type="dxa"/>
          </w:tcPr>
          <w:p w14:paraId="240B7696" w14:textId="14DC675B" w:rsidR="00276FC2" w:rsidRDefault="0027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operations</w:t>
            </w:r>
          </w:p>
        </w:tc>
        <w:tc>
          <w:tcPr>
            <w:tcW w:w="4768" w:type="dxa"/>
          </w:tcPr>
          <w:p w14:paraId="66D123F1" w14:textId="37CBBFD9" w:rsidR="00276FC2" w:rsidRDefault="0027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Benefits/drawbacks</w:t>
            </w:r>
          </w:p>
        </w:tc>
      </w:tr>
      <w:tr w:rsidR="00276FC2" w14:paraId="61E25DFC" w14:textId="77777777" w:rsidTr="00276FC2">
        <w:tc>
          <w:tcPr>
            <w:tcW w:w="4537" w:type="dxa"/>
          </w:tcPr>
          <w:p w14:paraId="30DD209E" w14:textId="36C5C6A8" w:rsidR="00276FC2" w:rsidRDefault="0027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EBITDA</w:t>
            </w:r>
          </w:p>
        </w:tc>
        <w:tc>
          <w:tcPr>
            <w:tcW w:w="4768" w:type="dxa"/>
          </w:tcPr>
          <w:p w14:paraId="2E3928E3" w14:textId="37774484" w:rsidR="00276FC2" w:rsidRDefault="0027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 status</w:t>
            </w:r>
          </w:p>
        </w:tc>
      </w:tr>
      <w:tr w:rsidR="00276FC2" w14:paraId="31C2F09A" w14:textId="77777777" w:rsidTr="00276FC2">
        <w:tc>
          <w:tcPr>
            <w:tcW w:w="4537" w:type="dxa"/>
          </w:tcPr>
          <w:p w14:paraId="2BB9649E" w14:textId="29C3FF61" w:rsidR="00276FC2" w:rsidRDefault="00276FC2">
            <w:pPr>
              <w:rPr>
                <w:sz w:val="20"/>
                <w:szCs w:val="20"/>
              </w:rPr>
            </w:pPr>
          </w:p>
        </w:tc>
        <w:tc>
          <w:tcPr>
            <w:tcW w:w="4768" w:type="dxa"/>
          </w:tcPr>
          <w:p w14:paraId="0255D46C" w14:textId="6C6A82E4" w:rsidR="00276FC2" w:rsidRDefault="0027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Ownership</w:t>
            </w:r>
          </w:p>
        </w:tc>
      </w:tr>
      <w:tr w:rsidR="00276FC2" w14:paraId="5F2BE18B" w14:textId="77777777" w:rsidTr="00276FC2">
        <w:tc>
          <w:tcPr>
            <w:tcW w:w="4537" w:type="dxa"/>
          </w:tcPr>
          <w:p w14:paraId="7A07C037" w14:textId="77777777" w:rsidR="00276FC2" w:rsidRDefault="00276FC2">
            <w:pPr>
              <w:rPr>
                <w:sz w:val="20"/>
                <w:szCs w:val="20"/>
              </w:rPr>
            </w:pPr>
          </w:p>
        </w:tc>
        <w:tc>
          <w:tcPr>
            <w:tcW w:w="4768" w:type="dxa"/>
          </w:tcPr>
          <w:p w14:paraId="1665EC6D" w14:textId="29AEA6FB" w:rsidR="00276FC2" w:rsidRDefault="0027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Acquisition status</w:t>
            </w:r>
          </w:p>
        </w:tc>
      </w:tr>
      <w:tr w:rsidR="00276FC2" w14:paraId="5B50AC0A" w14:textId="77777777" w:rsidTr="00276FC2">
        <w:tc>
          <w:tcPr>
            <w:tcW w:w="4537" w:type="dxa"/>
          </w:tcPr>
          <w:p w14:paraId="1BEEFA06" w14:textId="77777777" w:rsidR="00276FC2" w:rsidRDefault="00276FC2">
            <w:pPr>
              <w:rPr>
                <w:sz w:val="20"/>
                <w:szCs w:val="20"/>
              </w:rPr>
            </w:pPr>
          </w:p>
        </w:tc>
        <w:tc>
          <w:tcPr>
            <w:tcW w:w="4768" w:type="dxa"/>
          </w:tcPr>
          <w:p w14:paraId="39FA886E" w14:textId="1A1A982A" w:rsidR="00276FC2" w:rsidRDefault="0027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Appreciation</w:t>
            </w:r>
          </w:p>
        </w:tc>
      </w:tr>
    </w:tbl>
    <w:p w14:paraId="2CA0725B" w14:textId="47101657" w:rsidR="00000000" w:rsidRDefault="00000000">
      <w:pPr>
        <w:rPr>
          <w:sz w:val="20"/>
          <w:szCs w:val="20"/>
        </w:rPr>
      </w:pPr>
    </w:p>
    <w:p w14:paraId="36028E76" w14:textId="77777777" w:rsidR="001E0EB7" w:rsidRDefault="001E0EB7">
      <w:pPr>
        <w:rPr>
          <w:sz w:val="20"/>
          <w:szCs w:val="20"/>
        </w:rPr>
      </w:pPr>
      <w:r>
        <w:rPr>
          <w:sz w:val="20"/>
          <w:szCs w:val="20"/>
        </w:rPr>
        <w:t xml:space="preserve">Comparison with target: </w:t>
      </w:r>
    </w:p>
    <w:p w14:paraId="5650D679" w14:textId="524ED03B" w:rsidR="009D6AC1" w:rsidRDefault="009D6AC1" w:rsidP="009D6AC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Area wise growth:</w:t>
      </w:r>
      <w:r w:rsidR="001E0EB7" w:rsidRPr="001E0EB7">
        <w:rPr>
          <w:sz w:val="20"/>
          <w:szCs w:val="20"/>
        </w:rPr>
        <w:t xml:space="preserve"> </w:t>
      </w:r>
    </w:p>
    <w:p w14:paraId="7A19EE6E" w14:textId="77777777" w:rsidR="009D6AC1" w:rsidRDefault="001E0EB7" w:rsidP="009D6AC1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E0EB7">
        <w:rPr>
          <w:sz w:val="20"/>
          <w:szCs w:val="20"/>
        </w:rPr>
        <w:t>(Potential acquire company [WorldWild Brewing]</w:t>
      </w:r>
      <w:r w:rsidR="009D6AC1">
        <w:rPr>
          <w:sz w:val="20"/>
          <w:szCs w:val="20"/>
        </w:rPr>
        <w:t xml:space="preserve"> -&gt; {Based US only}</w:t>
      </w:r>
      <w:r w:rsidRPr="001E0EB7">
        <w:rPr>
          <w:sz w:val="20"/>
          <w:szCs w:val="20"/>
        </w:rPr>
        <w:t xml:space="preserve"> and </w:t>
      </w:r>
    </w:p>
    <w:p w14:paraId="34766848" w14:textId="7F5EFCEC" w:rsidR="001E0EB7" w:rsidRDefault="001E0EB7" w:rsidP="009D6AC1">
      <w:pPr>
        <w:pStyle w:val="ListParagraph"/>
        <w:ind w:left="1440"/>
        <w:rPr>
          <w:sz w:val="20"/>
          <w:szCs w:val="20"/>
        </w:rPr>
      </w:pPr>
      <w:r w:rsidRPr="001E0EB7">
        <w:rPr>
          <w:sz w:val="20"/>
          <w:szCs w:val="20"/>
        </w:rPr>
        <w:t>targets companies</w:t>
      </w:r>
      <w:r w:rsidR="009D6AC1">
        <w:rPr>
          <w:sz w:val="20"/>
          <w:szCs w:val="20"/>
        </w:rPr>
        <w:t xml:space="preserve"> -&gt; {in general over Asia}</w:t>
      </w:r>
      <w:r w:rsidRPr="001E0EB7">
        <w:rPr>
          <w:sz w:val="20"/>
          <w:szCs w:val="20"/>
        </w:rPr>
        <w:t>)</w:t>
      </w:r>
      <w:r w:rsidR="009D6AC1">
        <w:rPr>
          <w:sz w:val="20"/>
          <w:szCs w:val="20"/>
        </w:rPr>
        <w:t>.</w:t>
      </w:r>
    </w:p>
    <w:p w14:paraId="237F716B" w14:textId="67C81898" w:rsidR="009D6AC1" w:rsidRDefault="009D6AC1" w:rsidP="009D6AC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Segment:</w:t>
      </w:r>
    </w:p>
    <w:p w14:paraId="4E748967" w14:textId="322C8DCB" w:rsidR="009D6AC1" w:rsidRDefault="009D6AC1" w:rsidP="009D6AC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The different</w:t>
      </w:r>
      <w:r w:rsidR="00A42CEC">
        <w:rPr>
          <w:sz w:val="20"/>
          <w:szCs w:val="20"/>
        </w:rPr>
        <w:t xml:space="preserve"> segments</w:t>
      </w:r>
      <w:r>
        <w:rPr>
          <w:sz w:val="20"/>
          <w:szCs w:val="20"/>
        </w:rPr>
        <w:t xml:space="preserve">, </w:t>
      </w:r>
      <w:r w:rsidRPr="001E0EB7">
        <w:rPr>
          <w:sz w:val="20"/>
          <w:szCs w:val="20"/>
        </w:rPr>
        <w:t>WorldWild Brewing</w:t>
      </w:r>
      <w:r>
        <w:rPr>
          <w:sz w:val="20"/>
          <w:szCs w:val="20"/>
        </w:rPr>
        <w:t xml:space="preserve"> -&gt; </w:t>
      </w:r>
      <w:r w:rsidRPr="009D6AC1">
        <w:rPr>
          <w:sz w:val="20"/>
          <w:szCs w:val="20"/>
        </w:rPr>
        <w:t>beer, spirits and non-alcoholic beverages</w:t>
      </w:r>
      <w:r>
        <w:rPr>
          <w:sz w:val="20"/>
          <w:szCs w:val="20"/>
        </w:rPr>
        <w:t xml:space="preserve"> and other </w:t>
      </w:r>
      <w:r w:rsidRPr="001E0EB7">
        <w:rPr>
          <w:sz w:val="20"/>
          <w:szCs w:val="20"/>
        </w:rPr>
        <w:t>companies</w:t>
      </w:r>
      <w:r>
        <w:rPr>
          <w:sz w:val="20"/>
          <w:szCs w:val="20"/>
        </w:rPr>
        <w:t xml:space="preserve"> -&gt;</w:t>
      </w:r>
      <w:r>
        <w:rPr>
          <w:sz w:val="20"/>
          <w:szCs w:val="20"/>
        </w:rPr>
        <w:t xml:space="preserve"> mostly the same</w:t>
      </w:r>
    </w:p>
    <w:p w14:paraId="6E399322" w14:textId="3B65D10B" w:rsidR="009D6AC1" w:rsidRPr="009D6AC1" w:rsidRDefault="009D6AC1" w:rsidP="009D6AC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18"/>
          <w:szCs w:val="18"/>
        </w:rPr>
        <w:t xml:space="preserve">Finance: </w:t>
      </w:r>
    </w:p>
    <w:p w14:paraId="5E93F0E6" w14:textId="77777777" w:rsidR="009D6AC1" w:rsidRPr="009D6AC1" w:rsidRDefault="009D6AC1" w:rsidP="009D6AC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18"/>
          <w:szCs w:val="18"/>
        </w:rPr>
        <w:t xml:space="preserve">EBITDA: </w:t>
      </w:r>
    </w:p>
    <w:p w14:paraId="529D6A05" w14:textId="25A0B559" w:rsidR="009D6AC1" w:rsidRPr="00A42CEC" w:rsidRDefault="009D6AC1" w:rsidP="009D6AC1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1E0EB7">
        <w:rPr>
          <w:sz w:val="20"/>
          <w:szCs w:val="20"/>
        </w:rPr>
        <w:t>WorldWild Brewing</w:t>
      </w:r>
      <w:r>
        <w:rPr>
          <w:sz w:val="20"/>
          <w:szCs w:val="20"/>
        </w:rPr>
        <w:t xml:space="preserve"> -</w:t>
      </w:r>
      <w:proofErr w:type="gramStart"/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 </w:t>
      </w:r>
      <w:r w:rsidRPr="009D6AC1">
        <w:rPr>
          <w:sz w:val="18"/>
          <w:szCs w:val="18"/>
        </w:rPr>
        <w:t>US</w:t>
      </w:r>
      <w:proofErr w:type="gramEnd"/>
      <w:r w:rsidRPr="009D6AC1">
        <w:rPr>
          <w:sz w:val="18"/>
          <w:szCs w:val="18"/>
        </w:rPr>
        <w:t>$1bn of EBITDA annually</w:t>
      </w:r>
      <w:r>
        <w:rPr>
          <w:sz w:val="18"/>
          <w:szCs w:val="18"/>
        </w:rPr>
        <w:t xml:space="preserve"> (2020) and others -&gt; …</w:t>
      </w:r>
    </w:p>
    <w:p w14:paraId="609D8423" w14:textId="3F160A2D" w:rsidR="00A42CEC" w:rsidRDefault="00A42CEC" w:rsidP="00A42CE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>
        <w:rPr>
          <w:sz w:val="20"/>
          <w:szCs w:val="20"/>
        </w:rPr>
        <w:t>peration</w:t>
      </w:r>
      <w:r>
        <w:rPr>
          <w:sz w:val="20"/>
          <w:szCs w:val="20"/>
        </w:rPr>
        <w:t>:</w:t>
      </w:r>
    </w:p>
    <w:p w14:paraId="1BF6A62F" w14:textId="0F2613AE" w:rsidR="00A42CEC" w:rsidRDefault="00A42CEC" w:rsidP="00A42CE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E0EB7">
        <w:rPr>
          <w:sz w:val="20"/>
          <w:szCs w:val="20"/>
        </w:rPr>
        <w:t>WorldWild Brewing</w:t>
      </w:r>
      <w:r>
        <w:rPr>
          <w:sz w:val="20"/>
          <w:szCs w:val="20"/>
        </w:rPr>
        <w:t xml:space="preserve"> -&gt;</w:t>
      </w:r>
      <w:r>
        <w:rPr>
          <w:sz w:val="20"/>
          <w:szCs w:val="20"/>
        </w:rPr>
        <w:t xml:space="preserve"> </w:t>
      </w:r>
      <w:r w:rsidRPr="00A42CEC">
        <w:rPr>
          <w:sz w:val="20"/>
          <w:szCs w:val="20"/>
        </w:rPr>
        <w:t>manufacturer and supplier</w:t>
      </w:r>
    </w:p>
    <w:p w14:paraId="3A6BA5E4" w14:textId="197401A1" w:rsidR="00F23D45" w:rsidRDefault="00F23D45">
      <w:r>
        <w:br w:type="page"/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541"/>
        <w:gridCol w:w="1153"/>
        <w:gridCol w:w="1275"/>
        <w:gridCol w:w="1418"/>
        <w:gridCol w:w="1197"/>
        <w:gridCol w:w="1213"/>
        <w:gridCol w:w="1229"/>
      </w:tblGrid>
      <w:tr w:rsidR="00F41DED" w14:paraId="5FCD9D29" w14:textId="77777777" w:rsidTr="00F41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E9F4670" w14:textId="77777777" w:rsidR="00F23D45" w:rsidRDefault="00F23D45" w:rsidP="00072E66">
            <w:r>
              <w:lastRenderedPageBreak/>
              <w:t>Metric</w:t>
            </w:r>
            <w:proofErr w:type="gramStart"/>
            <w:r>
              <w:t>/(</w:t>
            </w:r>
            <w:proofErr w:type="gramEnd"/>
            <w:r>
              <w:t>acquire, targets)</w:t>
            </w:r>
          </w:p>
        </w:tc>
        <w:tc>
          <w:tcPr>
            <w:tcW w:w="1153" w:type="dxa"/>
          </w:tcPr>
          <w:p w14:paraId="4F5E0AAE" w14:textId="77777777" w:rsidR="00F23D45" w:rsidRDefault="00F23D45" w:rsidP="00072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WorldWild Brewing co</w:t>
            </w:r>
          </w:p>
        </w:tc>
        <w:tc>
          <w:tcPr>
            <w:tcW w:w="1275" w:type="dxa"/>
          </w:tcPr>
          <w:p w14:paraId="65CCA6CD" w14:textId="77777777" w:rsidR="00F23D45" w:rsidRDefault="00F23D45" w:rsidP="00072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HappyHour co</w:t>
            </w:r>
          </w:p>
        </w:tc>
        <w:tc>
          <w:tcPr>
            <w:tcW w:w="1418" w:type="dxa"/>
          </w:tcPr>
          <w:p w14:paraId="7727EE65" w14:textId="77777777" w:rsidR="00F23D45" w:rsidRDefault="00F23D45" w:rsidP="00072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Spirit Bay</w:t>
            </w:r>
          </w:p>
        </w:tc>
        <w:tc>
          <w:tcPr>
            <w:tcW w:w="1197" w:type="dxa"/>
          </w:tcPr>
          <w:p w14:paraId="51F1966C" w14:textId="77777777" w:rsidR="00F23D45" w:rsidRDefault="00F23D45" w:rsidP="00072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Hipsters’ Ale</w:t>
            </w:r>
          </w:p>
        </w:tc>
        <w:tc>
          <w:tcPr>
            <w:tcW w:w="1213" w:type="dxa"/>
          </w:tcPr>
          <w:p w14:paraId="3C247F48" w14:textId="77777777" w:rsidR="00F23D45" w:rsidRDefault="00F23D45" w:rsidP="00072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Brew co</w:t>
            </w:r>
          </w:p>
        </w:tc>
        <w:tc>
          <w:tcPr>
            <w:tcW w:w="1229" w:type="dxa"/>
          </w:tcPr>
          <w:p w14:paraId="5F33C306" w14:textId="77777777" w:rsidR="00F23D45" w:rsidRDefault="00F23D45" w:rsidP="00072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Bevy’s Direct</w:t>
            </w:r>
          </w:p>
        </w:tc>
      </w:tr>
      <w:tr w:rsidR="00F41DED" w14:paraId="5E48AC44" w14:textId="77777777" w:rsidTr="00F4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6E1321E2" w14:textId="77777777" w:rsidR="00F41DED" w:rsidRDefault="00F41DED" w:rsidP="00F41DED">
            <w:r>
              <w:t>Area wise growth</w:t>
            </w:r>
          </w:p>
        </w:tc>
        <w:tc>
          <w:tcPr>
            <w:tcW w:w="1153" w:type="dxa"/>
          </w:tcPr>
          <w:p w14:paraId="6F07BBD5" w14:textId="35B44B35" w:rsidR="00F41DED" w:rsidRDefault="00F41DED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</w:t>
            </w:r>
            <w:r>
              <w:t>(HQ)</w:t>
            </w:r>
          </w:p>
        </w:tc>
        <w:tc>
          <w:tcPr>
            <w:tcW w:w="1275" w:type="dxa"/>
          </w:tcPr>
          <w:p w14:paraId="16BDC767" w14:textId="77777777" w:rsidR="00F41DED" w:rsidRDefault="00F41DED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Singapore (HQ), Malaysia (outsourced) and China, Cambodia (Future)</w:t>
            </w:r>
          </w:p>
        </w:tc>
        <w:tc>
          <w:tcPr>
            <w:tcW w:w="1418" w:type="dxa"/>
          </w:tcPr>
          <w:p w14:paraId="099778FD" w14:textId="77777777" w:rsidR="00F41DED" w:rsidRDefault="00F41DED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D45">
              <w:t>Indonesia</w:t>
            </w:r>
            <w:r>
              <w:t xml:space="preserve"> (HQ)</w:t>
            </w:r>
            <w:r w:rsidRPr="00F23D45">
              <w:t xml:space="preserve"> Singapore, Malaysia, China</w:t>
            </w:r>
          </w:p>
        </w:tc>
        <w:tc>
          <w:tcPr>
            <w:tcW w:w="1197" w:type="dxa"/>
          </w:tcPr>
          <w:p w14:paraId="130928BA" w14:textId="03CC0075" w:rsidR="00F41DED" w:rsidRDefault="00F41DED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1DED">
              <w:t>Malaysia</w:t>
            </w:r>
            <w:r>
              <w:t xml:space="preserve"> </w:t>
            </w:r>
            <w:r w:rsidRPr="00F41DED">
              <w:t>Singapore, Indonesia, Japan, Korea, Cambodia</w:t>
            </w:r>
          </w:p>
        </w:tc>
        <w:tc>
          <w:tcPr>
            <w:tcW w:w="1213" w:type="dxa"/>
          </w:tcPr>
          <w:p w14:paraId="616C1E7E" w14:textId="14976C9F" w:rsidR="00F41DED" w:rsidRDefault="00F41DED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D45">
              <w:t>Malaysia</w:t>
            </w:r>
            <w:r>
              <w:t xml:space="preserve"> (HQ)</w:t>
            </w:r>
          </w:p>
        </w:tc>
        <w:tc>
          <w:tcPr>
            <w:tcW w:w="1229" w:type="dxa"/>
          </w:tcPr>
          <w:p w14:paraId="50C14466" w14:textId="77777777" w:rsidR="00F41DED" w:rsidRDefault="00F41DED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1DED">
              <w:t>Singapore</w:t>
            </w:r>
            <w:r>
              <w:t xml:space="preserve"> (HQ) </w:t>
            </w:r>
          </w:p>
          <w:p w14:paraId="0BDAA716" w14:textId="2169D061" w:rsidR="00F41DED" w:rsidRDefault="00F41DED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1DED">
              <w:t>Malaysia, China, Indonesia, Japan, Korea, Cambodia, Australia, New Zealand</w:t>
            </w:r>
          </w:p>
        </w:tc>
      </w:tr>
      <w:tr w:rsidR="00F41DED" w14:paraId="1E00C50B" w14:textId="77777777" w:rsidTr="00F41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25058C2A" w14:textId="77777777" w:rsidR="00F41DED" w:rsidRDefault="00F41DED" w:rsidP="00F41DED">
            <w:r>
              <w:t>Segment</w:t>
            </w:r>
          </w:p>
        </w:tc>
        <w:tc>
          <w:tcPr>
            <w:tcW w:w="1153" w:type="dxa"/>
          </w:tcPr>
          <w:p w14:paraId="60DEEA78" w14:textId="77777777" w:rsidR="00F41DED" w:rsidRDefault="00F41DED" w:rsidP="00F4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Beer, Spirit and non-alcoholic</w:t>
            </w:r>
          </w:p>
        </w:tc>
        <w:tc>
          <w:tcPr>
            <w:tcW w:w="1275" w:type="dxa"/>
          </w:tcPr>
          <w:p w14:paraId="62D5D4CF" w14:textId="77777777" w:rsidR="00F41DED" w:rsidRDefault="00F41DED" w:rsidP="00F4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Beer, Spirit and non-alcoholic</w:t>
            </w:r>
          </w:p>
        </w:tc>
        <w:tc>
          <w:tcPr>
            <w:tcW w:w="1418" w:type="dxa"/>
          </w:tcPr>
          <w:p w14:paraId="4051F386" w14:textId="77777777" w:rsidR="00F41DED" w:rsidRDefault="00F41DED" w:rsidP="00F4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D45">
              <w:t>Beer, Spirits, Non-alcoholic beverages</w:t>
            </w:r>
          </w:p>
        </w:tc>
        <w:tc>
          <w:tcPr>
            <w:tcW w:w="1197" w:type="dxa"/>
          </w:tcPr>
          <w:p w14:paraId="22F82BDB" w14:textId="167104EF" w:rsidR="00F41DED" w:rsidRDefault="00F41DED" w:rsidP="00F4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DED">
              <w:t>Beer, Spirits</w:t>
            </w:r>
          </w:p>
        </w:tc>
        <w:tc>
          <w:tcPr>
            <w:tcW w:w="1213" w:type="dxa"/>
          </w:tcPr>
          <w:p w14:paraId="25B731AC" w14:textId="102EC0C5" w:rsidR="00F41DED" w:rsidRDefault="00F41DED" w:rsidP="00F4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DED">
              <w:t>Beer, Spirits</w:t>
            </w:r>
          </w:p>
        </w:tc>
        <w:tc>
          <w:tcPr>
            <w:tcW w:w="1229" w:type="dxa"/>
          </w:tcPr>
          <w:p w14:paraId="7FF96767" w14:textId="10D37955" w:rsidR="00F41DED" w:rsidRDefault="001D442A" w:rsidP="00F4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42A">
              <w:t>Beer, Spirits, Non-alcoholic beverages</w:t>
            </w:r>
          </w:p>
        </w:tc>
      </w:tr>
      <w:tr w:rsidR="00F41DED" w14:paraId="29DE9192" w14:textId="77777777" w:rsidTr="00F4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E93FCC2" w14:textId="77777777" w:rsidR="00F41DED" w:rsidRDefault="00F41DED" w:rsidP="00F41DED">
            <w:r>
              <w:t>Finance</w:t>
            </w:r>
          </w:p>
        </w:tc>
        <w:tc>
          <w:tcPr>
            <w:tcW w:w="1153" w:type="dxa"/>
          </w:tcPr>
          <w:p w14:paraId="2E545613" w14:textId="77777777" w:rsidR="00F41DED" w:rsidRDefault="00F41DED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US$1bn of EBITDA FY2020 pcp</w:t>
            </w:r>
          </w:p>
        </w:tc>
        <w:tc>
          <w:tcPr>
            <w:tcW w:w="1275" w:type="dxa"/>
          </w:tcPr>
          <w:p w14:paraId="7476E832" w14:textId="77777777" w:rsidR="00F41DED" w:rsidRDefault="00F41DED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D45">
              <w:t>EBITDA US$300mm (FY June 2020 actuals) up 20% pcp</w:t>
            </w:r>
          </w:p>
        </w:tc>
        <w:tc>
          <w:tcPr>
            <w:tcW w:w="1418" w:type="dxa"/>
          </w:tcPr>
          <w:p w14:paraId="10B6C971" w14:textId="6F9EEE9E" w:rsidR="00F41DED" w:rsidRDefault="00F41DED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D45">
              <w:t>EBITDA US$400mm (FY June 2020 actuals) up 40% pcp</w:t>
            </w:r>
          </w:p>
        </w:tc>
        <w:tc>
          <w:tcPr>
            <w:tcW w:w="1197" w:type="dxa"/>
          </w:tcPr>
          <w:p w14:paraId="4F5AB084" w14:textId="42CE4EE4" w:rsidR="00F41DED" w:rsidRDefault="00F41DED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1DED">
              <w:t>EBITDA US$200mm (FY June 2020 actuals) up 15% pcp</w:t>
            </w:r>
          </w:p>
        </w:tc>
        <w:tc>
          <w:tcPr>
            <w:tcW w:w="1213" w:type="dxa"/>
          </w:tcPr>
          <w:p w14:paraId="6532A832" w14:textId="6CA5F119" w:rsidR="00F41DED" w:rsidRDefault="00F41DED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1DED">
              <w:t>EBITDA US$800mm (FY June 2020 actuals) down 5% pcp</w:t>
            </w:r>
          </w:p>
        </w:tc>
        <w:tc>
          <w:tcPr>
            <w:tcW w:w="1229" w:type="dxa"/>
          </w:tcPr>
          <w:p w14:paraId="636B63BF" w14:textId="45E40942" w:rsidR="00F41DED" w:rsidRDefault="001D442A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42A">
              <w:t>EBITDA US$250mm (FY June 2020 actuals) up 20% pcp</w:t>
            </w:r>
          </w:p>
        </w:tc>
      </w:tr>
      <w:tr w:rsidR="00F41DED" w14:paraId="5BE6944D" w14:textId="77777777" w:rsidTr="00F41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A835931" w14:textId="77777777" w:rsidR="00F41DED" w:rsidRDefault="00F41DED" w:rsidP="00F41DED">
            <w:r>
              <w:t>Operation</w:t>
            </w:r>
          </w:p>
        </w:tc>
        <w:tc>
          <w:tcPr>
            <w:tcW w:w="1153" w:type="dxa"/>
          </w:tcPr>
          <w:p w14:paraId="7C018DC1" w14:textId="77777777" w:rsidR="00F41DED" w:rsidRDefault="00F41DED" w:rsidP="00F4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Manufacturer and supplier</w:t>
            </w:r>
          </w:p>
        </w:tc>
        <w:tc>
          <w:tcPr>
            <w:tcW w:w="1275" w:type="dxa"/>
          </w:tcPr>
          <w:p w14:paraId="62A826F6" w14:textId="167050EF" w:rsidR="00F41DED" w:rsidRDefault="00F41DED" w:rsidP="00F4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DED">
              <w:t xml:space="preserve">Manufacturing </w:t>
            </w:r>
            <w:proofErr w:type="gramStart"/>
            <w:r w:rsidRPr="00F41DED">
              <w:t>facilities</w:t>
            </w:r>
            <w:r w:rsidR="001D442A">
              <w:t>(</w:t>
            </w:r>
            <w:proofErr w:type="gramEnd"/>
            <w:r w:rsidR="001D442A" w:rsidRPr="001D442A">
              <w:t>Singapore, Malaysia (outsourced), China, new facilities planned for Cambodia</w:t>
            </w:r>
            <w:r w:rsidR="001D442A">
              <w:t>)</w:t>
            </w:r>
            <w:r>
              <w:t xml:space="preserve">, </w:t>
            </w:r>
            <w:r w:rsidRPr="00F23D45">
              <w:t>Distribution, and Direct Sales</w:t>
            </w:r>
          </w:p>
        </w:tc>
        <w:tc>
          <w:tcPr>
            <w:tcW w:w="1418" w:type="dxa"/>
          </w:tcPr>
          <w:p w14:paraId="67EBA353" w14:textId="057AB9EE" w:rsidR="00F41DED" w:rsidRDefault="00F41DED" w:rsidP="00F4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DED">
              <w:t xml:space="preserve">Manufacturing </w:t>
            </w:r>
            <w:proofErr w:type="gramStart"/>
            <w:r w:rsidRPr="00F41DED">
              <w:t>facilities</w:t>
            </w:r>
            <w:r w:rsidR="001D442A">
              <w:t>(</w:t>
            </w:r>
            <w:proofErr w:type="gramEnd"/>
            <w:r w:rsidR="001D442A" w:rsidRPr="001D442A">
              <w:t>Indonesia</w:t>
            </w:r>
            <w:r w:rsidR="001D442A">
              <w:t>)</w:t>
            </w:r>
            <w:r>
              <w:t xml:space="preserve">, </w:t>
            </w:r>
            <w:r w:rsidR="001D442A" w:rsidRPr="001D442A">
              <w:t>Distribution, and Direct Sales</w:t>
            </w:r>
          </w:p>
        </w:tc>
        <w:tc>
          <w:tcPr>
            <w:tcW w:w="1197" w:type="dxa"/>
          </w:tcPr>
          <w:p w14:paraId="0C56A47C" w14:textId="29A82934" w:rsidR="00F41DED" w:rsidRDefault="00F41DED" w:rsidP="00F4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DED">
              <w:t xml:space="preserve">Manufacturing </w:t>
            </w:r>
            <w:proofErr w:type="gramStart"/>
            <w:r w:rsidRPr="00F41DED">
              <w:t>facilities</w:t>
            </w:r>
            <w:r w:rsidR="001D442A" w:rsidRPr="001D442A">
              <w:t>(</w:t>
            </w:r>
            <w:proofErr w:type="gramEnd"/>
            <w:r w:rsidR="001D442A" w:rsidRPr="001D442A">
              <w:t>consortium of independent microbreweries in each region)</w:t>
            </w:r>
            <w:r>
              <w:t>,</w:t>
            </w:r>
          </w:p>
          <w:p w14:paraId="55E59FF0" w14:textId="4317808E" w:rsidR="00F41DED" w:rsidRDefault="00F41DED" w:rsidP="00F4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DED">
              <w:t>Distribution, and Direct Sales</w:t>
            </w:r>
          </w:p>
        </w:tc>
        <w:tc>
          <w:tcPr>
            <w:tcW w:w="1213" w:type="dxa"/>
          </w:tcPr>
          <w:p w14:paraId="65358C88" w14:textId="23FEE4A7" w:rsidR="00F41DED" w:rsidRDefault="00F41DED" w:rsidP="00F4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DED">
              <w:t>Manufacturing facilities</w:t>
            </w:r>
            <w:r w:rsidR="001D442A">
              <w:t xml:space="preserve"> only (</w:t>
            </w:r>
            <w:r w:rsidR="001D442A" w:rsidRPr="001D442A">
              <w:t>#1 alcohol manufacturer in Malaysia</w:t>
            </w:r>
            <w:r w:rsidR="001D442A">
              <w:t>)</w:t>
            </w:r>
          </w:p>
        </w:tc>
        <w:tc>
          <w:tcPr>
            <w:tcW w:w="1229" w:type="dxa"/>
          </w:tcPr>
          <w:p w14:paraId="525D2F26" w14:textId="0195B9C7" w:rsidR="00F41DED" w:rsidRDefault="001D442A" w:rsidP="00F4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42A">
              <w:t>Wholesale Distribution only</w:t>
            </w:r>
          </w:p>
        </w:tc>
      </w:tr>
      <w:tr w:rsidR="00F41DED" w14:paraId="5038F076" w14:textId="77777777" w:rsidTr="00F4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7D44376" w14:textId="77777777" w:rsidR="00F41DED" w:rsidRDefault="00F41DED" w:rsidP="00F41DED">
            <w:r>
              <w:t>Shareholder</w:t>
            </w:r>
          </w:p>
        </w:tc>
        <w:tc>
          <w:tcPr>
            <w:tcW w:w="1153" w:type="dxa"/>
          </w:tcPr>
          <w:p w14:paraId="652CD883" w14:textId="77777777" w:rsidR="00F41DED" w:rsidRDefault="00F41DED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47B00D8" w14:textId="22565578" w:rsidR="00F41DED" w:rsidRPr="00F23D45" w:rsidRDefault="00F41DED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F23D45">
              <w:t>hree families</w:t>
            </w:r>
            <w:r w:rsidR="00FA170A">
              <w:t xml:space="preserve"> (Pretty much integrated)</w:t>
            </w:r>
          </w:p>
        </w:tc>
        <w:tc>
          <w:tcPr>
            <w:tcW w:w="1418" w:type="dxa"/>
          </w:tcPr>
          <w:p w14:paraId="7DDC1D7B" w14:textId="11AE3C7F" w:rsidR="00F41DED" w:rsidRDefault="001D442A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42A">
              <w:t>60% owned by Global Sponsor, 40% employee owned</w:t>
            </w:r>
          </w:p>
        </w:tc>
        <w:tc>
          <w:tcPr>
            <w:tcW w:w="1197" w:type="dxa"/>
          </w:tcPr>
          <w:p w14:paraId="0063EEAD" w14:textId="7F9D952C" w:rsidR="00F41DED" w:rsidRDefault="00F41DED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D45">
              <w:t>30 independent breweries</w:t>
            </w:r>
            <w:r>
              <w:t xml:space="preserve"> </w:t>
            </w:r>
            <w:r w:rsidRPr="00F23D45">
              <w:t>consortium of independent microbreweries in each region</w:t>
            </w:r>
          </w:p>
        </w:tc>
        <w:tc>
          <w:tcPr>
            <w:tcW w:w="1213" w:type="dxa"/>
          </w:tcPr>
          <w:p w14:paraId="14C8010C" w14:textId="0A0F5D1B" w:rsidR="00F41DED" w:rsidRDefault="00F41DED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F41DED">
              <w:t>nstitutional shareholders</w:t>
            </w:r>
          </w:p>
        </w:tc>
        <w:tc>
          <w:tcPr>
            <w:tcW w:w="1229" w:type="dxa"/>
          </w:tcPr>
          <w:p w14:paraId="57DCE48E" w14:textId="27F70696" w:rsidR="00F41DED" w:rsidRDefault="001D442A" w:rsidP="00F4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42A">
              <w:t>Owned by one family</w:t>
            </w:r>
          </w:p>
        </w:tc>
      </w:tr>
    </w:tbl>
    <w:p w14:paraId="1F150714" w14:textId="77777777" w:rsidR="00F90D23" w:rsidRDefault="00F90D23" w:rsidP="00A228C0">
      <w:pPr>
        <w:rPr>
          <w:noProof/>
        </w:rPr>
      </w:pPr>
    </w:p>
    <w:p w14:paraId="6ACE3581" w14:textId="77777777" w:rsidR="00F90D23" w:rsidRDefault="00F90D23" w:rsidP="00A228C0">
      <w:pPr>
        <w:rPr>
          <w:noProof/>
        </w:rPr>
      </w:pPr>
    </w:p>
    <w:p w14:paraId="126F305E" w14:textId="2D2C7F1B" w:rsidR="001C001C" w:rsidRDefault="00A228C0" w:rsidP="00A228C0">
      <w:pPr>
        <w:rPr>
          <w:noProof/>
        </w:rPr>
      </w:pPr>
      <w:hyperlink r:id="rId7" w:history="1">
        <w:r w:rsidRPr="00A228C0">
          <w:rPr>
            <w:rStyle w:val="Hyperlink"/>
            <w:noProof/>
          </w:rPr>
          <w:t>Link to</w:t>
        </w:r>
        <w:r w:rsidRPr="00A228C0">
          <w:rPr>
            <w:rStyle w:val="Hyperlink"/>
            <w:noProof/>
          </w:rPr>
          <w:t xml:space="preserve"> the code</w:t>
        </w:r>
      </w:hyperlink>
    </w:p>
    <w:p w14:paraId="68190130" w14:textId="77777777" w:rsidR="00A228C0" w:rsidRDefault="00A228C0" w:rsidP="001C001C">
      <w:pPr>
        <w:rPr>
          <w:noProof/>
        </w:rPr>
      </w:pPr>
    </w:p>
    <w:p w14:paraId="2F6A2FC4" w14:textId="4D7A70B0" w:rsidR="00A228C0" w:rsidRPr="001C001C" w:rsidRDefault="004E7455" w:rsidP="001C001C">
      <w:r>
        <w:rPr>
          <w:noProof/>
        </w:rPr>
        <w:drawing>
          <wp:inline distT="0" distB="0" distL="0" distR="0" wp14:anchorId="195FB4E6" wp14:editId="4F433867">
            <wp:extent cx="5731510" cy="4527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8C0" w:rsidRPr="001C001C" w:rsidSect="0099074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E5"/>
    <w:multiLevelType w:val="hybridMultilevel"/>
    <w:tmpl w:val="EE608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7284"/>
    <w:multiLevelType w:val="hybridMultilevel"/>
    <w:tmpl w:val="8A0E9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B13FC"/>
    <w:multiLevelType w:val="hybridMultilevel"/>
    <w:tmpl w:val="D78E1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80D13"/>
    <w:multiLevelType w:val="hybridMultilevel"/>
    <w:tmpl w:val="1FE05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264200">
    <w:abstractNumId w:val="1"/>
  </w:num>
  <w:num w:numId="2" w16cid:durableId="1663779893">
    <w:abstractNumId w:val="2"/>
  </w:num>
  <w:num w:numId="3" w16cid:durableId="682247941">
    <w:abstractNumId w:val="0"/>
  </w:num>
  <w:num w:numId="4" w16cid:durableId="1942907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65"/>
    <w:rsid w:val="0001009E"/>
    <w:rsid w:val="00082982"/>
    <w:rsid w:val="00082A5E"/>
    <w:rsid w:val="000D64E1"/>
    <w:rsid w:val="001931C6"/>
    <w:rsid w:val="001C001C"/>
    <w:rsid w:val="001D442A"/>
    <w:rsid w:val="001E0EB7"/>
    <w:rsid w:val="001F7E9A"/>
    <w:rsid w:val="002250CC"/>
    <w:rsid w:val="00232592"/>
    <w:rsid w:val="00276FC2"/>
    <w:rsid w:val="00295FF4"/>
    <w:rsid w:val="0029723A"/>
    <w:rsid w:val="002E234E"/>
    <w:rsid w:val="00366DCC"/>
    <w:rsid w:val="0039065E"/>
    <w:rsid w:val="00413166"/>
    <w:rsid w:val="004656DF"/>
    <w:rsid w:val="004E7455"/>
    <w:rsid w:val="004F2ECF"/>
    <w:rsid w:val="006624F4"/>
    <w:rsid w:val="006776F6"/>
    <w:rsid w:val="00745C8C"/>
    <w:rsid w:val="00861BD9"/>
    <w:rsid w:val="008E07B5"/>
    <w:rsid w:val="008E4327"/>
    <w:rsid w:val="00990745"/>
    <w:rsid w:val="009B6A6C"/>
    <w:rsid w:val="009D5F07"/>
    <w:rsid w:val="009D6AC1"/>
    <w:rsid w:val="00A228C0"/>
    <w:rsid w:val="00A42CEC"/>
    <w:rsid w:val="00AF0A56"/>
    <w:rsid w:val="00AF616A"/>
    <w:rsid w:val="00B62D80"/>
    <w:rsid w:val="00CF56C9"/>
    <w:rsid w:val="00D74A99"/>
    <w:rsid w:val="00DC3063"/>
    <w:rsid w:val="00DC50E8"/>
    <w:rsid w:val="00DD42CB"/>
    <w:rsid w:val="00E10D3D"/>
    <w:rsid w:val="00E2685D"/>
    <w:rsid w:val="00EA6136"/>
    <w:rsid w:val="00EC7B2A"/>
    <w:rsid w:val="00F23D45"/>
    <w:rsid w:val="00F24965"/>
    <w:rsid w:val="00F3126E"/>
    <w:rsid w:val="00F41DED"/>
    <w:rsid w:val="00F90D23"/>
    <w:rsid w:val="00FA08DE"/>
    <w:rsid w:val="00FA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D3E8"/>
  <w15:chartTrackingRefBased/>
  <w15:docId w15:val="{2F9D72CC-4BD6-4934-A49A-DC76B10C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745"/>
    <w:pPr>
      <w:ind w:left="720"/>
      <w:contextualSpacing/>
    </w:pPr>
  </w:style>
  <w:style w:type="table" w:styleId="PlainTable2">
    <w:name w:val="Plain Table 2"/>
    <w:basedOn w:val="TableNormal"/>
    <w:uiPriority w:val="42"/>
    <w:rsid w:val="001C00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22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8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qYnlYjTLRyPMZBRI9wYVLBuB13TTTPJ8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5F774-6950-48C5-9028-F3E7AB06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5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Jensen</dc:creator>
  <cp:keywords/>
  <dc:description/>
  <cp:lastModifiedBy>Offori Koffi</cp:lastModifiedBy>
  <cp:revision>6</cp:revision>
  <cp:lastPrinted>2018-09-03T23:29:00Z</cp:lastPrinted>
  <dcterms:created xsi:type="dcterms:W3CDTF">2020-04-30T07:35:00Z</dcterms:created>
  <dcterms:modified xsi:type="dcterms:W3CDTF">2025-07-12T16:22:00Z</dcterms:modified>
</cp:coreProperties>
</file>