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Albert Kwame Osei-Owusu, Styrmir Gislason, Morten Birkved and Ciprian Cimpan</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del w:id="4437" w:author="Albert Kwame Osei-Owusu" w:date="2026-09-12T09:00:00Z">
        <w:r>
          <w:rPr>
            <w:rFonts w:ascii="Times New Roman" w:hAnsi="Times New Roman" w:cs="Times New Roman"/>
            <w:sz w:val="20"/>
            <w:szCs w:val="20"/>
          </w:rPr>
          <w:delText xml:space="preserve">healthcare</w:delText>
        </w:r>
      </w:del>
      <w:ins w:id="4438"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w:t>
      </w:r>
      <w:del w:id="4483" w:author="Albert Kwame Osei-Owusu" w:date="2026-09-12T09:00:00Z">
        <w:r>
          <w:rPr>
            <w:rFonts w:ascii="Times New Roman" w:hAnsi="Times New Roman" w:cs="Times New Roman"/>
            <w:sz w:val="20"/>
            <w:szCs w:val="20"/>
          </w:rPr>
          <w:delText xml:space="preserve">Healthcare</w:delText>
        </w:r>
      </w:del>
      <w:ins w:id="4484" w:author="Albert Kwame Osei-Owusu" w:date="2026-09-12T09:00:00Z">
        <w:r>
          <w:rPr>
            <w:rFonts w:ascii="Times New Roman" w:hAnsi="Times New Roman" w:cs="Times New Roman"/>
            <w:sz w:val="20"/>
            <w:szCs w:val="20"/>
          </w:rPr>
          <w:t xml:space="preserve"/>
        </w:r>
      </w:ins>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ins w:id="71616" w:author="Albert Kwame Osei-Owusu" w:date="2026-09-14T09:00:00Z">
        <w:r>
          <w:rPr>
            <w:rFonts w:ascii="Times New Roman" w:hAnsi="Times New Roman" w:cs="Times New Roman"/>
            <w:sz w:val="20"/>
            <w:szCs w:val="20"/>
          </w:rPr>
          <w:t xml:space="preserve">Health care is defined here as:</w:t>
        </w:r>
      </w:ins>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ins w:id="120944" w:author="Albert Kwame Osei-Owusu" w:date="2026-09-14T16:00:00Z">
        <w:r>
          <w:rPr>
            <w:rFonts w:ascii="Times New Roman" w:hAnsi="Times New Roman" w:cs="Times New Roman"/>
            <w:i/>
            <w:iCs/>
            <w:sz w:val="20"/>
            <w:szCs w:val="20"/>
          </w:rPr>
          <w:t xml:space="preserve">‘</w:t>
        </w:r>
      </w:ins>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ins w:id="72624" w:author="Albert Kwame Osei-Owusu" w:date="2026-09-14T09:00:00Z">
        <w:r>
          <w:rPr>
            <w:rFonts w:ascii="Times New Roman" w:hAnsi="Times New Roman" w:cs="Times New Roman"/>
            <w:i/>
            <w:iCs/>
            <w:sz w:val="20"/>
            <w:szCs w:val="20"/>
          </w:rPr>
          <w:t xml:space="preserve">(including residential care and elder care), pharmaceutical and other medical products, and therapeutic appliances and equipment.’</w:t>
        </w:r>
      </w:ins>
    </w:p>
    <w:p w14:paraId="2EF94E5C" w14:textId="3FEF2A2D" w:rsidR="009E6028" w:rsidRPr="000F0CBE" w:rsidRDefault="009E6028" w:rsidP="000F0CBE">
      <w:pPr>
        <w:spacing w:line="240" w:lineRule="auto"/>
        <w:rPr>
          <w:rFonts w:ascii="Times New Roman" w:hAnsi="Times New Roman" w:cs="Times New Roman"/>
          <w:sz w:val="20"/>
          <w:szCs w:val="20"/>
        </w:rPr>
      </w:pPr>
      <w:del w:id="122990" w:author="Albert Kwame Osei-Owusu" w:date="2026-10-21T20:00:00Z">
        <w:r>
          <w:rPr>
            <w:rFonts w:ascii="Times New Roman" w:hAnsi="Times New Roman" w:cs="Times New Roman"/>
            <w:sz w:val="20"/>
            <w:szCs w:val="20"/>
          </w:rPr>
          <w:delText xml:space="preserve">This definition </w:delText>
        </w:r>
      </w:del>
      <w:proofErr w:type="spellStart"/>
      <w:del w:id="122991" w:author="Albert Kwame Osei-Owusu" w:date="2026-10-21T20:00:00Z">
        <w:r>
          <w:rPr>
            <w:rFonts w:ascii="Times New Roman" w:hAnsi="Times New Roman" w:cs="Times New Roman"/>
            <w:sz w:val="20"/>
            <w:szCs w:val="20"/>
          </w:rPr>
          <w:delText>aligns</w:delText>
        </w:r>
      </w:del>
      <w:proofErr w:type="spellEnd"/>
      <w:del w:id="122992" w:author="Albert Kwame Osei-Owusu" w:date="2026-10-21T20:00:00Z">
        <w:r>
          <w:rPr>
            <w:rFonts w:ascii="Times New Roman" w:hAnsi="Times New Roman" w:cs="Times New Roman"/>
            <w:sz w:val="20"/>
            <w:szCs w:val="20"/>
          </w:rPr>
          <w:delText xml:space="preserve"> with the </w:delText>
        </w:r>
      </w:del>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del w:id="122993" w:author="Albert Kwame Osei-Owusu" w:date="2026-10-21T20:00:00Z">
        <w:r>
          <w:rPr>
            <w:rFonts w:ascii="Times New Roman" w:hAnsi="Times New Roman" w:cs="Times New Roman"/>
            <w:sz w:val="20"/>
            <w:szCs w:val="20"/>
          </w:rPr>
          <w:delText xml:space="preserve"> and </w:delText>
        </w:r>
      </w:del>
      <w:proofErr w:type="spellStart"/>
      <w:del w:id="122994" w:author="Albert Kwame Osei-Owusu" w:date="2026-10-21T20:00:00Z">
        <w:r>
          <w:rPr>
            <w:rFonts w:ascii="Times New Roman" w:hAnsi="Times New Roman" w:cs="Times New Roman"/>
            <w:sz w:val="20"/>
            <w:szCs w:val="20"/>
          </w:rPr>
          <w:delText>ensures</w:delText>
        </w:r>
      </w:del>
      <w:proofErr w:type="spellEnd"/>
      <w:del w:id="122995" w:author="Albert Kwame Osei-Owusu" w:date="2026-10-21T20:00:00Z">
        <w:r>
          <w:rPr>
            <w:rFonts w:ascii="Times New Roman" w:hAnsi="Times New Roman" w:cs="Times New Roman"/>
            <w:sz w:val="20"/>
            <w:szCs w:val="20"/>
          </w:rPr>
          <w:delText xml:space="preserve"> </w:delText>
        </w:r>
      </w:del>
      <w:proofErr w:type="spellStart"/>
      <w:del w:id="122996" w:author="Albert Kwame Osei-Owusu" w:date="2026-10-21T20:00:00Z">
        <w:r>
          <w:rPr>
            <w:rFonts w:ascii="Times New Roman" w:hAnsi="Times New Roman" w:cs="Times New Roman"/>
            <w:sz w:val="20"/>
            <w:szCs w:val="20"/>
          </w:rPr>
          <w:delText>comparability</w:delText>
        </w:r>
      </w:del>
      <w:proofErr w:type="spellEnd"/>
      <w:del w:id="122997" w:author="Albert Kwame Osei-Owusu" w:date="2026-10-21T20:00:00Z">
        <w:r>
          <w:rPr>
            <w:rFonts w:ascii="Times New Roman" w:hAnsi="Times New Roman" w:cs="Times New Roman"/>
            <w:sz w:val="20"/>
            <w:szCs w:val="20"/>
          </w:rPr>
          <w:delText xml:space="preserve"> with </w:delText>
        </w:r>
      </w:del>
      <w:proofErr w:type="spellStart"/>
      <w:del w:id="122998" w:author="Albert Kwame Osei-Owusu" w:date="2026-10-21T20:00:00Z">
        <w:r>
          <w:rPr>
            <w:rFonts w:ascii="Times New Roman" w:hAnsi="Times New Roman" w:cs="Times New Roman"/>
            <w:sz w:val="20"/>
            <w:szCs w:val="20"/>
          </w:rPr>
          <w:delText>previous</w:delText>
        </w:r>
      </w:del>
      <w:proofErr w:type="spellEnd"/>
      <w:del w:id="122999" w:author="Albert Kwame Osei-Owusu" w:date="2026-10-21T20:00:00Z">
        <w:r>
          <w:rPr>
            <w:rFonts w:ascii="Times New Roman" w:hAnsi="Times New Roman" w:cs="Times New Roman"/>
            <w:sz w:val="20"/>
            <w:szCs w:val="20"/>
          </w:rPr>
          <w:delText xml:space="preserve"> </w:delText>
        </w:r>
      </w:del>
      <w:proofErr w:type="spellStart"/>
      <w:del w:id="4439" w:author="Albert Kwame Osei-Owusu" w:date="2026-09-12T09:00:00Z">
        <w:r>
          <w:rPr>
            <w:rFonts w:ascii="Times New Roman" w:hAnsi="Times New Roman" w:cs="Times New Roman"/>
            <w:sz w:val="20"/>
            <w:szCs w:val="20"/>
          </w:rPr>
          <w:delText xml:space="preserve">healthcare</w:delText>
        </w:r>
      </w:del>
      <w:proofErr w:type="spellEnd"/>
      <w:del w:id="123000" w:author="Albert Kwame Osei-Owusu" w:date="2026-10-21T20:00:00Z">
        <w:r>
          <w:rPr>
            <w:rFonts w:ascii="Times New Roman" w:hAnsi="Times New Roman" w:cs="Times New Roman"/>
            <w:sz w:val="20"/>
            <w:szCs w:val="20"/>
          </w:rPr>
          <w:delText xml:space="preserve"> </w:delText>
        </w:r>
      </w:del>
      <w:proofErr w:type="spellStart"/>
      <w:del w:id="123001" w:author="Albert Kwame Osei-Owusu" w:date="2026-10-21T20:00:00Z">
        <w:r>
          <w:rPr>
            <w:rFonts w:ascii="Times New Roman" w:hAnsi="Times New Roman" w:cs="Times New Roman"/>
            <w:sz w:val="20"/>
            <w:szCs w:val="20"/>
          </w:rPr>
          <w:delText>footprint</w:delText>
        </w:r>
      </w:del>
      <w:proofErr w:type="spellEnd"/>
      <w:del w:id="123002" w:author="Albert Kwame Osei-Owusu" w:date="2026-10-21T20:00:00Z">
        <w:r>
          <w:rPr>
            <w:rFonts w:ascii="Times New Roman" w:hAnsi="Times New Roman" w:cs="Times New Roman"/>
            <w:sz w:val="20"/>
            <w:szCs w:val="20"/>
          </w:rPr>
          <w:delText xml:space="preserve"> studies.</w:delText>
        </w:r>
      </w:del>
      <w:ins w:id="123003" w:author="Albert Kwame Osei-Owusu" w:date="2026-10-21T20:00:00Z">
        <w:r>
          <w:rPr>
            <w:rFonts w:ascii="Times New Roman" w:hAnsi="Times New Roman" w:cs="Times New Roman"/>
            <w:sz w:val="20"/>
            <w:szCs w:val="20"/>
          </w:rPr>
          <w:t xml:space="preserve">This definition follows the System of Health Accounts (SHA) [1], widened to include social care, and matches the scope of the Dutch study [8] except that childcare is excluded.</w:t>
        </w:r>
      </w:ins>
      <w:r>
        <w:rPr>
          <w:rFonts w:ascii="Times New Roman" w:hAnsi="Times New Roman" w:cs="Times New Roman"/>
          <w:sz w:val="20"/>
          <w:szCs w:val="20"/>
        </w:rPr>
        <w:t xml:space="preserve">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w:t>
        </w:r>
        <w:r>
          <w:rPr>
            <w:rFonts w:ascii="Times New Roman" w:hAnsi="Times New Roman" w:cs="Times New Roman"/>
            <w:sz w:val="20"/>
            <w:szCs w:val="20"/>
            <w:lang w:val="en-GB"/>
          </w:rPr>
          <w:t xml:space="preserve">year and edition</w:t>
        </w:r>
        <w:r>
          <w:rPr>
            <w:rFonts w:ascii="Times New Roman" w:hAnsi="Times New Roman" w:cs="Times New Roman"/>
            <w:sz w:val="20"/>
            <w:szCs w:val="20"/>
            <w:lang w:val="en-GB"/>
          </w:rPr>
          <w:t xml:space="preserve"> of the underlying accounts. The runs cannot be read as a series for two reasons: the 2022 run uses a different background table from the other two, and the 2019 table reports the Danish health industry at less than half its national-accounts size, so the 2019 run uses the 2016 table instead. The three results, and a decomposition of the differences between them, are reported under Reference years and the background model below. Expenditure is expressed in the current prices of each year, so the 2022 headline needs no deflator; the change between the 2016 and 2019 runs, which share a background, includes price change as well as volume change.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n.e.c.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CO₂e</w:t>
        </w:r>
        <w:r>
          <w:rPr>
            <w:rFonts w:ascii="Times New Roman" w:hAnsi="Times New Roman" w:cs="Times New Roman"/>
            <w:sz w:val="20"/>
            <w:szCs w:val="20"/>
            <w:lang w:val="en-GB"/>
          </w:rPr>
          <w:t xml:space="preserve">: the model term excludes the industry's own first-round emissions, so the operational term does not repeat them, although the industry's purchases from itself bring back 1.8 kt CO₂e of its own emissions, which the headline keeps and the scope partition removes (see Double counting).</w:t>
        </w:r>
        <w:r>
          <w:rPr>
            <w:rFonts w:ascii="Times New Roman" w:hAnsi="Times New Roman" w:cs="Times New Roman"/>
            <w:sz w:val="20"/>
            <w:szCs w:val="20"/>
            <w:lang w:val="en-GB"/>
          </w:rPr>
          <w:t xml:space="preserve">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w:t>
        </w:r>
        <w:r>
          <w:rPr>
            <w:rFonts w:ascii="Times New Roman" w:hAnsi="Times New Roman" w:cs="Times New Roman"/>
            <w:sz w:val="20"/>
            <w:szCs w:val="20"/>
            <w:lang w:val="en-GB"/>
          </w:rPr>
          <w:t xml:space="preserve">divisions</w:t>
        </w:r>
        <w:r>
          <w:rPr>
            <w:rFonts w:ascii="Times New Roman" w:hAnsi="Times New Roman" w:cs="Times New Roman"/>
            <w:sz w:val="20"/>
            <w:szCs w:val="20"/>
            <w:lang w:val="en-GB"/>
          </w:rPr>
          <w:t xml:space="preserve">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footprint, which includes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direct </w:t>
        </w:r>
        <w:r>
          <w:rPr>
            <w:rFonts w:ascii="Times New Roman" w:hAnsi="Times New Roman" w:cs="Times New Roman"/>
            <w:sz w:val="20"/>
            <w:szCs w:val="20"/>
            <w:lang w:val="en-GB"/>
          </w:rPr>
          <w:t xml:space="preserve">pressures of households</w:t>
        </w:r>
        <w:r>
          <w:rPr>
            <w:rFonts w:ascii="Times New Roman" w:hAnsi="Times New Roman" w:cs="Times New Roman"/>
            <w:sz w:val="20"/>
            <w:szCs w:val="20"/>
            <w:lang w:val="en-GB"/>
          </w:rPr>
          <w:t xml:space="preserve">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ins w:id="78670" w:author="Albert Kwame Osei-Owusu" w:date="2026-09-14T09:00:00Z">
        <w:r>
          <w:rPr>
            <w:rFonts w:ascii="Times New Roman" w:hAnsi="Times New Roman" w:cs="Times New Roman"/>
            <w:sz w:val="20"/>
            <w:szCs w:val="20"/>
            <w:lang w:val="en-GB"/>
          </w:rPr>
          <w:t xml:space="preserve">For pharmaceuticals and therapeutic appliances, expenditure is allocated</w:t>
        </w:r>
      </w:ins>
      <w:r>
        <w:rPr>
          <w:rFonts w:ascii="Times New Roman" w:hAnsi="Times New Roman" w:cs="Times New Roman"/>
          <w:sz w:val="20"/>
          <w:szCs w:val="20"/>
          <w:lang w:val="en-GB"/>
        </w:rPr>
        <w:t xml:space="preserve"> to the corresponding EXIOBASE sectors and distributed across supplying regions </w:t>
      </w:r>
      <w:del w:id="79671" w:author="Albert Kwame Osei-Owusu" w:date="2026-09-14T09:00:00Z">
        <w:r>
          <w:rPr>
            <w:rFonts w:ascii="Times New Roman" w:hAnsi="Times New Roman" w:cs="Times New Roman"/>
            <w:sz w:val="20"/>
            <w:szCs w:val="20"/>
            <w:lang w:val="en-GB"/>
          </w:rPr>
          <w:delText xml:space="preserve">based on sourcing patterns observed</w:delText>
        </w:r>
      </w:del>
      <w:ins w:id="79672" w:author="Albert Kwame Osei-Owusu" w:date="2026-09-14T09:00:00Z">
        <w:r>
          <w:rPr>
            <w:rFonts w:ascii="Times New Roman" w:hAnsi="Times New Roman" w:cs="Times New Roman"/>
            <w:sz w:val="20"/>
            <w:szCs w:val="20"/>
            <w:lang w:val="en-GB"/>
          </w:rPr>
          <w:t xml:space="preserve">according to the sourcing patterns observed</w:t>
        </w:r>
      </w:ins>
      <w:r>
        <w:rPr>
          <w:rFonts w:ascii="Times New Roman" w:hAnsi="Times New Roman" w:cs="Times New Roman"/>
          <w:sz w:val="20"/>
          <w:szCs w:val="20"/>
          <w:lang w:val="en-GB"/>
        </w:rPr>
        <w:t xml:space="preserve">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study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the only two categories it assessed. A life cycle assessment of penicillin treatments found toxicity-related categories to be the largest after normalisation </w:t>
        </w:r>
      </w:ins>
      <w:ins w:id="35171" w:author="Albert Kwame Osei-Owusu" w:date="2026-09-14T09:00:00Z">
        <w:r>
          <w:rPr>
            <w:rFonts w:ascii="Times New Roman" w:hAnsi="Times New Roman" w:cs="Times New Roman"/>
            <w:sz w:val="20"/>
            <w:szCs w:val="20"/>
            <w:lang w:val="en-GB"/>
          </w:rPr>
          <w:t xml:space="preserve">[3]</w:t>
        </w:r>
      </w:ins>
      <w:ins w:id="35172" w:author="Albert Kwame Osei-Owusu" w:date="2026-09-14T09:00:00Z">
        <w:r>
          <w:rPr>
            <w:rFonts w:ascii="Times New Roman" w:hAnsi="Times New Roman" w:cs="Times New Roman"/>
            <w:sz w:val="20"/>
            <w:szCs w:val="20"/>
            <w:lang w:val="en-GB"/>
          </w:rPr>
          <w:t xml:space="preserve">.</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 which separates pharmaceuticals from Chemicals n.e.c. and assumes domestic sourcing, the same study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gases. </w:t>
        </w:r>
        <w:r>
          <w:rPr>
            <w:rFonts w:ascii="Times New Roman" w:hAnsi="Times New Roman" w:cs="Times New Roman"/>
            <w:sz w:val="20"/>
            <w:szCs w:val="20"/>
            <w:lang w:val="en-GB"/>
          </w:rPr>
          <w:t xml:space="preserve">The pharmaceuticals and chemical products group also carries more than pharmaceuticals: of its 27.1% of the climate footprint, medicines bought as goods account for 20.1%, plastics and other chemicals bought by the health services for 6.7%, and inhaler propellants for 0.3%.</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therefore 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r>
          <w:rPr>
            <w:rFonts w:ascii="Times New Roman" w:hAnsi="Times New Roman" w:cs="Times New Roman"/>
            <w:sz w:val="20"/>
            <w:szCs w:val="20"/>
            <w:lang w:val="en-GB"/>
          </w:rPr>
          <w:t xml:space="preserve"> Conversely, the services component misses most of the medicines used in hospitals: EXIOBASE's purchase column for the Danish health industry spends 3.5 million euros on Chemicals n.e.c., 0.04% of its purchases, whereas medicines are 13.9% of the purchases of the Danish health and care industries in Statistics Denmark's table (see Sensitivity).</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at the annual average rate of Danmarks Nationalbank for the reference year: 7.4452 DKK/EUR for 2016, 7.4661 for 2019 and 7.4396 for 2022.</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VAT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352.0, retail 436.1, motor trade 2.7) and 595.8 million of the 1,094.4 million spent on therapeutic appliances (54.4%: wholesale 207.0, retail 388.0, motor trade 0.8). The good itself is mapped to its manufacturing sector and the margins to the Danish EXIOBASE trade industries, as in Eqs. (A.2) and (A.4), so that the expenditure total is preserved and each part is charged at its own intensity. Mapping each whole column to the manufacturing sector instead would add 491 kt CO₂e (11.5%) to the climate footprint, 765 kt to material extraction, 20.7 Mm³ to blue water consumption, 735 km² to land use and 38 kt to waste generation.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ins w:id="87688" w:author="Albert Kwame Osei-Owusu" w:date="2026-09-14T09:00:00Z">
        <w:r>
          <w:rPr>
            <w:rFonts w:ascii="Times New Roman" w:hAnsi="Times New Roman" w:cs="Times New Roman"/>
            <w:sz w:val="20"/>
            <w:szCs w:val="20"/>
            <w:lang w:val="en-GB"/>
          </w:rPr>
          <w:t xml:space="preserve">Included from the bottom-up analysis:</w:t>
        </w:r>
      </w:ins>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ins w:id="88690" w:author="Albert Kwame Osei-Owusu" w:date="2026-09-14T09:00:00Z">
        <w:r>
          <w:rPr>
            <w:rFonts w:ascii="Times New Roman" w:hAnsi="Times New Roman" w:cs="Times New Roman"/>
            <w:sz w:val="20"/>
            <w:szCs w:val="20"/>
            <w:lang w:val="en-GB"/>
          </w:rPr>
          <w:t xml:space="preserve">anaesthetic gases, including nitrous oxide (N₂O), and pressurised metered-dose inhalers (pMDIs)</w:t>
        </w:r>
      </w:ins>
    </w:p>
    <w:p w14:paraId="26D4A2AC" w14:textId="77777777" w:rsid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ins w:id="89694" w:author="Albert Kwame Osei-Owusu" w:date="2026-09-14T09:00:00Z">
        <w:r>
          <w:rPr>
            <w:rFonts w:ascii="Times New Roman" w:hAnsi="Times New Roman" w:cs="Times New Roman"/>
            <w:sz w:val="20"/>
            <w:szCs w:val="20"/>
            <w:lang w:val="en-GB"/>
          </w:rPr>
          <w:t xml:space="preserve">private travel (employee commuting, and patient and visitor travel)</w:t>
        </w:r>
      </w:ins>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ins w:id="90696" w:author="Albert Kwame Osei-Owusu" w:date="2026-09-14T09:00:00Z">
        <w:r>
          <w:rPr>
            <w:rFonts w:ascii="Times New Roman" w:hAnsi="Times New Roman" w:cs="Times New Roman"/>
            <w:sz w:val="20"/>
            <w:szCs w:val="20"/>
            <w:lang w:val="en-GB"/>
          </w:rPr>
          <w:t xml:space="preserve">Excluded:</w:t>
        </w:r>
      </w:ins>
    </w:p>
    <w:p w14:paraId="2BF4ED0A" w14:textId="77777777" w:rsidR="003C0BF0" w:rsidRP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ins w:id="91698" w:author="Albert Kwame Osei-Owusu" w:date="2026-09-14T09:00:00Z">
        <w:r>
          <w:rPr>
            <w:rFonts w:ascii="Times New Roman" w:hAnsi="Times New Roman" w:cs="Times New Roman"/>
            <w:sz w:val="20"/>
            <w:szCs w:val="20"/>
            <w:lang w:val="en-GB"/>
          </w:rPr>
          <w:t xml:space="preserve">gross fixed capital formation (infrastructure and durable equipment)</w:t>
        </w:r>
      </w:ins>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16955" cy="3657429"/>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16955" cy="3657429"/>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w:t>
      </w:r>
      <w:del w:id="121989" w:author="Albert Kwame Osei-Owusu" w:date="2026-09-14T16:00:00Z">
        <w:r>
          <w:rPr>
            <w:lang w:val="en-GB"/>
          </w:rPr>
          <w:delText xml:space="preserve">Integration of </w:delText>
        </w:r>
      </w:del>
      <w:del w:id="6509" w:author="Albert Kwame Osei-Owusu" w:date="2026-09-12T09:00:00Z">
        <w:r>
          <w:rPr>
            <w:lang w:val="en-GB"/>
          </w:rPr>
          <w:delText xml:space="preserve">Danish Supply–Use Tables</w:delText>
        </w:r>
      </w:del>
      <w:ins w:id="6510" w:author="Albert Kwame Osei-Owusu" w:date="2026-09-12T09:00:00Z">
        <w:r>
          <w:rPr>
            <w:lang w:val="en-GB"/>
          </w:rPr>
          <w:t xml:space="preserve"/>
        </w:r>
      </w:ins>
      <w:del w:id="121988" w:author="Albert Kwame Osei-Owusu" w:date="2026-09-14T16:00:00Z">
        <w:r>
          <w:rPr>
            <w:lang w:val="en-GB"/>
          </w:rPr>
          <w:delText xml:space="preserve"> with EXIOBASE in five steps: (</w:delText>
        </w:r>
      </w:del>
      <w:proofErr w:type="spellStart"/>
      <w:del w:id="121987" w:author="Albert Kwame Osei-Owusu" w:date="2026-09-14T16:00:00Z">
        <w:r>
          <w:rPr>
            <w:lang w:val="en-GB"/>
          </w:rPr>
          <w:delText xml:space="preserve">i</w:delText>
        </w:r>
      </w:del>
      <w:proofErr w:type="spellEnd"/>
      <w:del w:id="121986" w:author="Albert Kwame Osei-Owusu" w:date="2026-09-14T16:00:00Z">
        <w:r>
          <w:rPr>
            <w:lang w:val="en-GB"/>
          </w:rPr>
          <w:delText xml:space="preserve">) summarising Danish </w:delText>
        </w:r>
      </w:del>
      <w:del w:id="4451" w:author="Albert Kwame Osei-Owusu" w:date="2026-09-12T09:00:00Z">
        <w:r>
          <w:rPr>
            <w:lang w:val="en-GB"/>
          </w:rPr>
          <w:delText xml:space="preserve">healthcare</w:delText>
        </w:r>
      </w:del>
      <w:ins w:id="4452" w:author="Albert Kwame Osei-Owusu" w:date="2026-09-12T09:00:00Z">
        <w:r>
          <w:rPr>
            <w:lang w:val="en-GB"/>
          </w:rPr>
          <w:t xml:space="preserve"/>
        </w:r>
      </w:ins>
      <w:del w:id="121985" w:author="Albert Kwame Osei-Owusu" w:date="2026-09-14T16:00:00Z">
        <w:r>
          <w:rPr>
            <w:lang w:val="en-GB"/>
          </w:rPr>
          <w:delText xml:space="preserve"> expenditures, (ii) aggregating them into SHA-based categories, (iii) mapping these to corresponding EXIOBASE sectors, </w:delText>
        </w:r>
      </w:del>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
        </w:r>
      </w:ins>
      <w:del w:id="121984" w:author="Albert Kwame Osei-Owusu" w:date="2026-09-14T16:00:00Z">
        <w:r>
          <w:rPr>
            <w:lang w:val="en-GB"/>
          </w:rPr>
          <w:delText xml:space="preserve">, and (v) aggregating outputs into </w:delText>
        </w:r>
      </w:del>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
        </w:r>
      </w:ins>
      <w:del w:id="121983" w:author="Albert Kwame Osei-Owusu" w:date="2026-09-14T16:00:00Z">
        <w:r>
          <w:rPr>
            <w:lang w:val="en-GB"/>
          </w:rPr>
          <w:delText xml:space="preserve">, as well as a scope-based </w:delText>
        </w:r>
      </w:del>
      <w:del w:id="99719" w:author="Albert Kwame Osei-Owusu" w:date="2026-09-14T09:00:00Z">
        <w:r>
          <w:rPr>
            <w:lang w:val="en-GB"/>
          </w:rPr>
          <w:delText xml:space="preserve">summary. </w:delText>
        </w:r>
      </w:del>
      <w:ins w:id="99720" w:author="Albert Kwame Osei-Owusu" w:date="2026-09-14T09:00:00Z">
        <w:r>
          <w:rPr>
            <w:lang w:val="en-GB"/>
          </w:rPr>
          <w:t xml:space="preserve">Integration of Danish health care expenditure with EXIOBASE in five steps: (i) summarising expenditure from Statistics Denmark's input-output table, (ii) aggregating it into System of Health Accounts categories, (iii) mapping these to EXIOBASE sectors, with the distribution margins on the two goods placed at the Danish trade industries, (iv) combining them with the environmental extensions and adding the terms estimated outside the model, and (v) reporting the results by activity group, producing sector, producing region, region-by-industry pair and GHG Protocol scope.</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IPCC AR6 GWP100 values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no value.</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(ATC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the fraction exhaled rather than metabolised (0.95 for sevoflurane, 1 otherwise) </w:t>
        </w:r>
      </w:ins>
      <w:ins w:id="14775" w:author="Albert Kwame Osei-Owusu" w:date="2026-09-13T09:00:00Z">
        <w:r>
          <w:rPr>
            <w:rFonts w:ascii="Times New Roman" w:hAnsi="Times New Roman" w:cs="Times New Roman"/>
            <w:sz w:val="20"/>
            <w:szCs w:val="20"/>
            <w:highlight w:val="yellow"/>
            <w:lang w:val="en-GB"/>
          </w:rPr>
          <w:t xml:space="preserve">[12]</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AR5 value of 265 used in Statistics Denmark's DRIVHUS accounts, is subtracted from their direct-emissions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F-gas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HFC-134a and 2.5 kt from HFC-227ea, 11,619 tonnes of CO₂ equivalents in total, on the GWPs of its Appendix 1 (1,430 and 3,220, the AR4 values). The 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The comparison years use the same inventory series: 5.0 tonnes of HFC-134a and 0.7 tonnes of HFC-227ea in 2019 </w:t>
        </w:r>
      </w:ins>
      <w:ins w:id="42546" w:author="Albert Kwame Osei-Owusu" w:date="2026-09-14T09:00:00Z">
        <w:r>
          <w:rPr>
            <w:rFonts w:ascii="Times New Roman" w:hAnsi="Times New Roman" w:cs="Times New Roman"/>
            <w:sz w:val="20"/>
            <w:szCs w:val="20"/>
            <w:highlight w:val="yellow"/>
            <w:lang w:val="en-GB"/>
          </w:rPr>
          <w:t xml:space="preserve">[14]</w:t>
        </w:r>
      </w:ins>
      <w:ins w:id="42547" w:author="Albert Kwame Osei-Owusu" w:date="2026-09-14T09:00:00Z">
        <w:r>
          <w:rPr>
            <w:rFonts w:ascii="Times New Roman" w:hAnsi="Times New Roman" w:cs="Times New Roman"/>
            <w:sz w:val="20"/>
            <w:szCs w:val="20"/>
            <w:lang w:val="en-GB"/>
          </w:rPr>
          <w:t xml:space="preserve">, giving 10.17 kt; and 5.5 tonnes of HFC-134a in 2016 </w:t>
        </w:r>
      </w:ins>
      <w:ins w:id="42548" w:author="Albert Kwame Osei-Owusu" w:date="2026-09-14T09:00:00Z">
        <w:r>
          <w:rPr>
            <w:rFonts w:ascii="Times New Roman" w:hAnsi="Times New Roman" w:cs="Times New Roman"/>
            <w:sz w:val="20"/>
            <w:szCs w:val="20"/>
            <w:highlight w:val="yellow"/>
            <w:lang w:val="en-GB"/>
          </w:rPr>
          <w:t xml:space="preserve">[15]</w:t>
        </w:r>
      </w:ins>
      <w:ins w:id="42549" w:author="Albert Kwame Osei-Owusu" w:date="2026-09-14T09:00:00Z">
        <w:r>
          <w:rPr>
            <w:rFonts w:ascii="Times New Roman" w:hAnsi="Times New Roman" w:cs="Times New Roman"/>
            <w:sz w:val="20"/>
            <w:szCs w:val="20"/>
            <w:lang w:val="en-GB"/>
          </w:rPr>
          <w:t xml:space="preserve">, with 0.61 tonnes of HFC-227ea imputed at the 90 to 10 split reported for 2019 </w:t>
        </w:r>
      </w:ins>
      <w:ins w:id="42550" w:author="Albert Kwame Osei-Owusu" w:date="2026-09-14T09:00:00Z">
        <w:r>
          <w:rPr>
            <w:rFonts w:ascii="Times New Roman" w:hAnsi="Times New Roman" w:cs="Times New Roman"/>
            <w:sz w:val="20"/>
            <w:szCs w:val="20"/>
            <w:highlight w:val="yellow"/>
            <w:lang w:val="en-GB"/>
          </w:rPr>
          <w:t xml:space="preserve">[16]</w:t>
        </w:r>
      </w:ins>
      <w:ins w:id="42551" w:author="Albert Kwame Osei-Owusu" w:date="2026-09-14T09:00:00Z">
        <w:r>
          <w:rPr>
            <w:rFonts w:ascii="Times New Roman" w:hAnsi="Times New Roman" w:cs="Times New Roman"/>
            <w:sz w:val="20"/>
            <w:szCs w:val="20"/>
            <w:lang w:val="en-GB"/>
          </w:rPr>
          <w:t xml:space="preserve">, giving 10.61 kt on the same factors.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emissions and the indirect impacts of fuel supply and vehicle manufacture, but records no waste.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 (9.7 in 2016 and 9.2 in 2019) </w:t>
        </w:r>
      </w:ins>
      <w:ins w:id="35268" w:author="Albert Kwame Osei-Owusu" w:date="2026-09-14T09:00:00Z">
        <w:r>
          <w:rPr>
            <w:rFonts w:ascii="Times New Roman" w:hAnsi="Times New Roman" w:cs="Times New Roman"/>
            <w:sz w:val="20"/>
            <w:szCs w:val="20"/>
            <w:highlight w:val="yellow"/>
            <w:lang w:val="en-GB"/>
          </w:rPr>
          <w:t xml:space="preserve">[7]</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over, the survey population;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 cars and other road vehicles carry 83%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measures it: the survey reports travel for social and health purposes (table 15, 'Social/sundhed'</w:t>
        </w:r>
        <w:r>
          <w:rPr>
            <w:rFonts w:ascii="Times New Roman" w:hAnsi="Times New Roman" w:cs="Times New Roman"/>
            <w:sz w:val="20"/>
            <w:szCs w:val="20"/>
            <w:lang w:val="en-GB"/>
          </w:rPr>
          <w:t xml:space="preserve">) at 0.8 km per person per day in 2022 among residents aged 6 and over. Because the survey folds visits to patients into visits to family and friends, the visitor share is the one imported parameter: the ratio of visitor to patient travel in NHS England,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 DTU Center for Transport Analytics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ins w:id="35230" w:author="Albert Kwame Osei-Owusu" w:date="2026-09-14T09:00:00Z">
        <w:r>
          <w:rPr>
            <w:rFonts w:ascii="Times New Roman" w:hAnsi="Times New Roman" w:cs="Times New Roman"/>
            <w:sz w:val="20"/>
            <w:szCs w:val="20"/>
            <w:lang w:val="en-GB"/>
          </w:rPr>
          <w:t xml:space="preserve">The travel statistics used are:</w:t>
        </w:r>
      </w:ins>
    </w:p>
    <w:p w14:paraId="538D3D1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ins w:id="35233" w:author="Albert Kwame Osei-Owusu" w:date="2026-09-14T09:00:00Z">
        <w:r>
          <w:rPr>
            <w:rFonts w:ascii="Times New Roman" w:hAnsi="Times New Roman" w:cs="Times New Roman"/>
            <w:sz w:val="20"/>
            <w:szCs w:val="20"/>
            <w:lang w:val="en-GB"/>
          </w:rPr>
          <w:t xml:space="preserve">distance per person per day by purpose, and the population aged 6 and over</w:t>
        </w:r>
      </w:ins>
    </w:p>
    <w:p w14:paraId="6C6CC15D"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ins w:id="35236" w:author="Albert Kwame Osei-Owusu" w:date="2026-09-14T09:00:00Z">
        <w:r>
          <w:rPr>
            <w:rFonts w:ascii="Times New Roman" w:hAnsi="Times New Roman" w:cs="Times New Roman"/>
            <w:sz w:val="20"/>
            <w:szCs w:val="20"/>
            <w:lang w:val="en-GB"/>
          </w:rPr>
          <w:t xml:space="preserve">distance per person per day by purpose and mode</w:t>
        </w:r>
      </w:ins>
    </w:p>
    <w:p w14:paraId="23430738"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ins w:id="35239" w:author="Albert Kwame Osei-Owusu" w:date="2026-09-14T09:00:00Z">
        <w:r>
          <w:rPr>
            <w:rFonts w:ascii="Times New Roman" w:hAnsi="Times New Roman" w:cs="Times New Roman"/>
            <w:sz w:val="20"/>
            <w:szCs w:val="20"/>
            <w:lang w:val="en-GB"/>
          </w:rPr>
          <w:t xml:space="preserve">hours worked by industry</w:t>
        </w:r>
      </w:ins>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table SI 7.1). The geometric standard deviations of the other five terms are 1.10 for the operational term from the national accounts, 1.15 for inhaler propellants, 1.25 for employee commuting, 1.30 for anaesthetic gases and 1.40 for patient and visitor travel: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w:t>
        </w:r>
        <w:r>
          <w:rPr>
            <w:rFonts w:ascii="Times New Roman" w:hAnsi="Times New Roman" w:cs="Times New Roman"/>
            <w:sz w:val="20"/>
            <w:szCs w:val="20"/>
            <w:lang w:val="en-GB"/>
          </w:rPr>
          <w:t xml:space="preserve">Because the model is additive, the variance shares follow in closed form rather than from the draws, and for the four independent terms they are first-order Sobol indices [21]:</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9.0%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49572" w:author="Albert Kwame Osei-Owusu" w:date="2026-09-14T09:00:00Z">
        <w:r>
          <w:rPr>
            <w:rFonts w:ascii="Times New Roman" w:hAnsi="Times New Roman" w:cs="Times New Roman"/>
            <w:sz w:val="20"/>
            <w:szCs w:val="20"/>
            <w:lang w:val="en-GB"/>
          </w:rPr>
          <w:t xml:space="preserve">Two consequences follow.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 pharmaceuticals and chemical products hold rank one in 96.6% of </w:t>
        </w:r>
        <w:r>
          <w:rPr>
            <w:rFonts w:ascii="Times New Roman" w:hAnsi="Times New Roman" w:cs="Times New Roman"/>
            <w:sz w:val="20"/>
            <w:szCs w:val="20"/>
            <w:lang w:val="en-GB"/>
          </w:rPr>
          <w:t xml:space="preserve">draws on the Chemicals n.e.c. intensity,</w:t>
        </w:r>
        <w:r>
          <w:rPr>
            <w:rFonts w:ascii="Times New Roman" w:hAnsi="Times New Roman" w:cs="Times New Roman"/>
            <w:sz w:val="20"/>
            <w:szCs w:val="20"/>
            <w:lang w:val="en-GB"/>
          </w:rPr>
          <w:t xml:space="preserve">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w:t>
        </w:r>
        <w:r>
          <w:rPr>
            <w:rFonts w:ascii="Times New Roman" w:hAnsi="Times New Roman" w:cs="Times New Roman"/>
            <w:sz w:val="20"/>
            <w:szCs w:val="20"/>
            <w:lang w:val="en-GB"/>
          </w:rPr>
          <w:t xml:space="preserve">The most important of these concern medicines. On a pharmaceutical-specific intensity rather than on Chemicals n.e.c., the median climate footprint decreases to 3,734 kt CO₂e (95% interval 3,163 to 4,457 kt), just inside the lower end of the parametric interval of 3,675 to 5,029 kt, and services rather than pharmaceuticals hold rank one in 60.1% of draws; adding the medicines used in hospitals, which the services purchases omit, increases the climate footprint to 5,635 kt, above the interval (see Sensitivity). Choices about medicines therefore move the estimate further than the parameter uncertainty does.</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123004" w:author="Albert Kwame Osei-Owusu" w:date="2026-10-21T20:00:00Z">
        <w:r>
          <w:rPr>
            <w:rFonts w:ascii="Times New Roman" w:hAnsi="Times New Roman" w:cs="Times New Roman"/>
            <w:sz w:val="20"/>
            <w:szCs w:val="20"/>
            <w:lang w:val="en-GB"/>
          </w:rPr>
          <w:t xml:space="preserve">Against the headline of 4,267 kt CO₂e, the sensitivity cases give the following results. A pharmaceutical-specific intensity in place of Chemicals n.e.c. for the medicines bought as goods, one third of its intensity for climate change, one seventh for material extraction and between one seventh and one for the other three categories, gives a climate median of 3,734 kt (12.5% lower) and decreases material extraction by 26.4%. Re-weighting the services purchases to the purchases of the Danish health and care industries in Statistics Denmark's input-output table for 2022, product by product and by domestic or imported origin, with the services spend held at 10,009 million euros, gives 5,734 kt (34.4% higher) when every product except energy is re-weighted and 5,635 kt (32.1% higher) when only the medicines are, and those medicines carried at the pharmaceutical-specific intensity give 3,933 kt (7.8% lower). Electricity, gas and district heat stay at EXIOBASE's own purchases in this test, because EXIOBASE version 3.8.2 records the output of Danish steam and hot water supply at about a fifth of Statistics Denmark's (379 against 1,799 million euros) while booking most combined heat-and-power emissions to it; routing the national heat purchases through it would add 1,100 kt that belong to the background rather than to the services recipe. Charging distribution margins at the manufacturing intensity gives 4,758 kt (11.5% higher); a sea-transport target share between 0.05 and 0.15 gives 4,245 to 4,397 kt; widening the boundary to include childcare gives 4,994 kt, and removing elder care gives 3,462 kt; endogenising the capital of the supplying industries on the matrices of Södersten and colleagues [22] adds 751 kt (17.6% of the headline); the GWP revision moves the input-output component between 4.7% lower (SAR) and 0.3% higher (AR5); and a correlation of 0 rather than 0.8 between the two travel terms narrows the interval from 3,672 to 5,027 kt to 3,715 to 4,972 kt (20,000 draws).</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6</m:t>
              </m:r>
            </m:sup>
          </m:sSup>
        </m:oMath>
      </w:ins>
      <w:ins w:id="13850" w:author="Albert Kwame Osei-Owusu" w:date="2026-09-13T09:00:00Z">
        <w:r>
          <w:rPr>
            <w:rFonts w:ascii="Times New Roman" w:hAnsi="Times New Roman" w:cs="Times New Roman"/>
            <w:sz w:val="20"/>
            <w:szCs w:val="20"/>
            <w:lang w:val="en-GB"/>
          </w:rPr>
          <w:t xml:space="preserve">, the inverse on 25 sampled columns;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variants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4419" w:author="Albert Kwame Osei-Owusu" w:date="2026-09-13T09:00:00Z">
        <w:r>
          <w:rPr>
            <w:rFonts w:ascii="Times New Roman" w:hAnsi="Times New Roman" w:cs="Times New Roman"/>
            <w:sz w:val="20"/>
            <w:szCs w:val="20"/>
            <w:lang w:val="en-GB"/>
          </w:rPr>
          <w:t xml:space="preserve">The greenhouse gas footprint is </w:t>
        </w:r>
      </w:ins>
      <w:ins w:id="14420" w:author="Albert Kwame Osei-Owusu" w:date="2026-09-13T09:00:00Z">
        <w:r>
          <w:rPr>
            <w:rFonts w:ascii="Times New Roman" w:hAnsi="Times New Roman" w:cs="Times New Roman"/>
            <w:sz w:val="20"/>
            <w:szCs w:val="20"/>
            <w:highlight w:val="yellow"/>
            <w:lang w:val="en-GB"/>
          </w:rPr>
          <w:t xml:space="preserve">partitioned following the Greenhouse Gas (GHG) Protocol [24]</w:t>
        </w:r>
      </w:ins>
      <w:ins w:id="14421" w:author="Albert Kwame Osei-Owusu" w:date="2026-09-13T09:00:00Z">
        <w:r>
          <w:rPr>
            <w:rFonts w:ascii="Times New Roman" w:hAnsi="Times New Roman" w:cs="Times New Roman"/>
            <w:sz w:val="20"/>
            <w:szCs w:val="20"/>
            <w:lang w:val="en-GB"/>
          </w:rPr>
          <w:t xml:space="preserve"> as applied to input-output models by Hertwich and Wood </w:t>
        </w:r>
      </w:ins>
      <w:ins w:id="14422" w:author="Albert Kwame Osei-Owusu" w:date="2026-09-13T09:00:00Z">
        <w:r>
          <w:rPr>
            <w:rFonts w:ascii="Times New Roman" w:hAnsi="Times New Roman" w:cs="Times New Roman"/>
            <w:sz w:val="20"/>
            <w:szCs w:val="20"/>
            <w:highlight w:val="yellow"/>
            <w:lang w:val="en-GB"/>
          </w:rPr>
          <w:t xml:space="preserve">[25]</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 OECD first-tier convention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w:t>
        </w:r>
        <w:r>
          <w:rPr>
            <w:rFonts w:ascii="Times New Roman" w:hAnsi="Times New Roman" w:cs="Times New Roman"/>
            <w:sz w:val="20"/>
            <w:szCs w:val="20"/>
            <w:lang w:val="en-GB"/>
          </w:rPr>
          <w:t xml:space="preserve">and tracing the purchased energy through the whole economy rather than through the energy block alone, while still counting only the emissions of energy nodes, 75.0 kt,</w:t>
        </w:r>
        <w:r>
          <w:rPr>
            <w:rFonts w:ascii="Times New Roman" w:hAnsi="Times New Roman" w:cs="Times New Roman"/>
            <w:sz w:val="20"/>
            <w:szCs w:val="20"/>
            <w:lang w:val="en-GB"/>
          </w:rPr>
          <w:t xml:space="preserve"> against 73.3 kt here. 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448067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4480670"/>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Region codes are ISO3 for individual countries and RoW AF, RoW AM, RoW AP, RoW EU and RoW ME for the EXIOBASE rest-of-world regions.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4388" w:author="Albert Kwame Osei-Owusu" w:date="2026-09-13T09:00:00Z">
        <w:r>
          <w:rPr>
            <w:rFonts w:ascii="Times New Roman" w:hAnsi="Times New Roman" w:cs="Times New Roman"/>
            <w:sz w:val="20"/>
            <w:szCs w:val="20"/>
            <w:lang w:val="en-GB"/>
          </w:rPr>
          <w:t xml:space="preserve">The partition covers 4,265 kt CO₂e: Scope 3 accounts for 3,797 kt (89.0%),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A.1 to A.5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A.1</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A.1.</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A.2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w:t>
        </w:r>
        <w:r>
          <w:rPr>
            <w:rFonts w:ascii="Times New Roman" w:hAnsi="Times New Roman" w:cs="Times New Roman"/>
            <w:sz w:val="20"/>
            <w:szCs w:val="20"/>
            <w:lang w:val="en-GB"/>
          </w:rPr>
          <w:t xml:space="preserve">The impacts are distributed over eleven sector groups and a residual group, ‘Other’; private travel, which has no producing sector in the model, is shown as its own group, as in Fig. 1B of the main text.</w:t>
        </w:r>
      </w:ins>
    </w:p>
    <w:p>
      <w:pPr>
        <w:pStyle w:val="TableCaption"/>
        <w:rPr>
          <w:ins w:id="35351" w:author="Albert Kwame Osei-Owusu" w:date="2026-09-14T09:00:00Z"/>
          <w:lang w:val="en-GB"/>
        </w:rPr>
      </w:pPr>
      <w:ins w:id="35352" w:author="Albert Kwame Osei-Owusu" w:date="2026-09-14T09:00:00Z">
        <w:r>
          <w:rPr>
            <w:b/>
            <w:bCs/>
            <w:lang w:val="en-GB"/>
          </w:rPr>
          <w:t xml:space="preserve">Table A.2.</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trPr>
          <w:trHeight w:val="288"/>
          <w:ins w:id="123013" w:author="Albert Kwame Osei-Owusu" w:date="2026-10-21T20:00:00Z"/>
        </w:trPr>
        <w:tc>
          <w:tcPr>
            <w:tcW w:w="2648" w:type="dxa"/>
          </w:tcPr>
          <w:p w14:paraId="13A6C0FE" w14:textId="77777777">
            <w:pPr>
              <w:pStyle w:val="TableText"/>
              <w:rPr>
                <w:ins w:id="123014" w:author="Albert Kwame Osei-Owusu" w:date="2026-10-21T20:00:00Z"/>
                <w:lang w:val="en-GB"/>
              </w:rPr>
            </w:pPr>
            <w:ins w:id="123015" w:author="Albert Kwame Osei-Owusu" w:date="2026-10-21T20:00:00Z">
              <w:r>
                <w:rPr>
                  <w:lang w:val="en-GB"/>
                </w:rPr>
                <w:t xml:space="preserve">Heat and water supply</w:t>
              </w:r>
            </w:ins>
          </w:p>
        </w:tc>
        <w:tc>
          <w:tcPr>
            <w:tcW w:w="1398" w:type="dxa"/>
          </w:tcPr>
          <w:p w14:paraId="2322BBCF" w14:textId="77777777">
            <w:pPr>
              <w:pStyle w:val="TableText"/>
              <w:jc w:val="right"/>
              <w:rPr>
                <w:ins w:id="123016" w:author="Albert Kwame Osei-Owusu" w:date="2026-10-21T20:00:00Z"/>
                <w:lang w:val="en-GB"/>
              </w:rPr>
            </w:pPr>
            <w:ins w:id="123017" w:author="Albert Kwame Osei-Owusu" w:date="2026-10-21T20:00:00Z">
              <w:r>
                <w:t xml:space="preserve">233.2</w:t>
              </w:r>
            </w:ins>
          </w:p>
        </w:tc>
        <w:tc>
          <w:tcPr>
            <w:tcW w:w="1398" w:type="dxa"/>
          </w:tcPr>
          <w:p w14:paraId="51779D29" w14:textId="77777777">
            <w:pPr>
              <w:pStyle w:val="TableText"/>
              <w:jc w:val="right"/>
              <w:rPr>
                <w:ins w:id="123018" w:author="Albert Kwame Osei-Owusu" w:date="2026-10-21T20:00:00Z"/>
                <w:lang w:val="en-GB"/>
              </w:rPr>
            </w:pPr>
            <w:ins w:id="123019" w:author="Albert Kwame Osei-Owusu" w:date="2026-10-21T20:00:00Z">
              <w:r>
                <w:t xml:space="preserve">5.3</w:t>
              </w:r>
            </w:ins>
          </w:p>
        </w:tc>
        <w:tc>
          <w:tcPr>
            <w:tcW w:w="1398" w:type="dxa"/>
          </w:tcPr>
          <w:p w14:paraId="623ED485" w14:textId="77777777">
            <w:pPr>
              <w:pStyle w:val="TableText"/>
              <w:jc w:val="right"/>
              <w:rPr>
                <w:ins w:id="123020" w:author="Albert Kwame Osei-Owusu" w:date="2026-10-21T20:00:00Z"/>
                <w:lang w:val="en-GB"/>
              </w:rPr>
            </w:pPr>
            <w:ins w:id="123021" w:author="Albert Kwame Osei-Owusu" w:date="2026-10-21T20:00:00Z">
              <w:r>
                <w:t xml:space="preserve">0.0</w:t>
              </w:r>
            </w:ins>
          </w:p>
        </w:tc>
        <w:tc>
          <w:tcPr>
            <w:tcW w:w="1398" w:type="dxa"/>
          </w:tcPr>
          <w:p w14:paraId="3B66380A" w14:textId="77777777">
            <w:pPr>
              <w:pStyle w:val="TableText"/>
              <w:jc w:val="right"/>
              <w:rPr>
                <w:ins w:id="123022" w:author="Albert Kwame Osei-Owusu" w:date="2026-10-21T20:00:00Z"/>
                <w:lang w:val="en-GB"/>
              </w:rPr>
            </w:pPr>
            <w:ins w:id="123023" w:author="Albert Kwame Osei-Owusu" w:date="2026-10-21T20:00:00Z">
              <w:r>
                <w:t xml:space="preserve">0.6</w:t>
              </w:r>
            </w:ins>
          </w:p>
        </w:tc>
        <w:tc>
          <w:tcPr>
            <w:tcW w:w="1398" w:type="dxa"/>
          </w:tcPr>
          <w:p w14:paraId="47B4A387" w14:textId="77777777">
            <w:pPr>
              <w:pStyle w:val="TableText"/>
              <w:jc w:val="right"/>
              <w:rPr>
                <w:ins w:id="123024" w:author="Albert Kwame Osei-Owusu" w:date="2026-10-21T20:00:00Z"/>
                <w:lang w:val="en-GB"/>
              </w:rPr>
            </w:pPr>
            <w:ins w:id="123025" w:author="Albert Kwame Osei-Owusu" w:date="2026-10-21T20:00:00Z">
              <w:r>
                <w:t xml:space="preserve">5.2</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trPr>
          <w:trHeight w:val="288"/>
          <w:ins w:id="123026" w:author="Albert Kwame Osei-Owusu" w:date="2026-10-21T20:00:00Z"/>
        </w:trPr>
        <w:tc>
          <w:tcPr>
            <w:tcW w:w="2648" w:type="dxa"/>
          </w:tcPr>
          <w:p w14:paraId="55C2E611" w14:textId="77777777">
            <w:pPr>
              <w:pStyle w:val="TableText"/>
              <w:rPr>
                <w:ins w:id="123027" w:author="Albert Kwame Osei-Owusu" w:date="2026-10-21T20:00:00Z"/>
                <w:lang w:val="en-GB"/>
              </w:rPr>
            </w:pPr>
            <w:ins w:id="123028" w:author="Albert Kwame Osei-Owusu" w:date="2026-10-21T20:00:00Z">
              <w:r>
                <w:rPr>
                  <w:lang w:val="en-GB"/>
                </w:rPr>
                <w:t xml:space="preserve">Private travel</w:t>
              </w:r>
            </w:ins>
          </w:p>
        </w:tc>
        <w:tc>
          <w:tcPr>
            <w:tcW w:w="1398" w:type="dxa"/>
          </w:tcPr>
          <w:p w14:paraId="4A5481F8" w14:textId="77777777">
            <w:pPr>
              <w:pStyle w:val="TableText"/>
              <w:jc w:val="right"/>
              <w:rPr>
                <w:ins w:id="123029" w:author="Albert Kwame Osei-Owusu" w:date="2026-10-21T20:00:00Z"/>
                <w:lang w:val="en-GB"/>
              </w:rPr>
            </w:pPr>
            <w:ins w:id="123030" w:author="Albert Kwame Osei-Owusu" w:date="2026-10-21T20:00:00Z">
              <w:r>
                <w:t xml:space="preserve">707.7</w:t>
              </w:r>
            </w:ins>
          </w:p>
        </w:tc>
        <w:tc>
          <w:tcPr>
            <w:tcW w:w="1398" w:type="dxa"/>
          </w:tcPr>
          <w:p w14:paraId="12BD8F8C" w14:textId="77777777">
            <w:pPr>
              <w:pStyle w:val="TableText"/>
              <w:jc w:val="right"/>
              <w:rPr>
                <w:ins w:id="123031" w:author="Albert Kwame Osei-Owusu" w:date="2026-10-21T20:00:00Z"/>
                <w:lang w:val="en-GB"/>
              </w:rPr>
            </w:pPr>
            <w:ins w:id="123032" w:author="Albert Kwame Osei-Owusu" w:date="2026-10-21T20:00:00Z">
              <w:r>
                <w:t xml:space="preserve">31.9</w:t>
              </w:r>
            </w:ins>
          </w:p>
        </w:tc>
        <w:tc>
          <w:tcPr>
            <w:tcW w:w="1398" w:type="dxa"/>
          </w:tcPr>
          <w:p w14:paraId="42B6B2D0" w14:textId="77777777">
            <w:pPr>
              <w:pStyle w:val="TableText"/>
              <w:jc w:val="right"/>
              <w:rPr>
                <w:ins w:id="123033" w:author="Albert Kwame Osei-Owusu" w:date="2026-10-21T20:00:00Z"/>
                <w:lang w:val="en-GB"/>
              </w:rPr>
            </w:pPr>
            <w:ins w:id="123034" w:author="Albert Kwame Osei-Owusu" w:date="2026-10-21T20:00:00Z">
              <w:r>
                <w:t xml:space="preserve">0.2</w:t>
              </w:r>
            </w:ins>
          </w:p>
        </w:tc>
        <w:tc>
          <w:tcPr>
            <w:tcW w:w="1398" w:type="dxa"/>
          </w:tcPr>
          <w:p w14:paraId="70C480CF" w14:textId="77777777">
            <w:pPr>
              <w:pStyle w:val="TableText"/>
              <w:jc w:val="right"/>
              <w:rPr>
                <w:ins w:id="123035" w:author="Albert Kwame Osei-Owusu" w:date="2026-10-21T20:00:00Z"/>
                <w:lang w:val="en-GB"/>
              </w:rPr>
            </w:pPr>
            <w:ins w:id="123036" w:author="Albert Kwame Osei-Owusu" w:date="2026-10-21T20:00:00Z">
              <w:r>
                <w:t xml:space="preserve">2.1</w:t>
              </w:r>
            </w:ins>
          </w:p>
        </w:tc>
        <w:tc>
          <w:tcPr>
            <w:tcW w:w="1398" w:type="dxa"/>
          </w:tcPr>
          <w:p w14:paraId="43E1FC98" w14:textId="77777777">
            <w:pPr>
              <w:pStyle w:val="TableText"/>
              <w:jc w:val="right"/>
              <w:rPr>
                <w:ins w:id="123037" w:author="Albert Kwame Osei-Owusu" w:date="2026-10-21T20:00:00Z"/>
                <w:lang w:val="en-GB"/>
              </w:rPr>
            </w:pPr>
            <w:ins w:id="123038" w:author="Albert Kwame Osei-Owusu" w:date="2026-10-21T20:00:00Z">
              <w:r>
                <w:t xml:space="preserve">0.0</w:t>
              </w:r>
            </w:ins>
          </w:p>
        </w:tc>
      </w:tr>
      <w:tr>
        <w:trPr>
          <w:trHeight w:val="288"/>
          <w:ins w:id="123039" w:author="Albert Kwame Osei-Owusu" w:date="2026-10-21T20:00:00Z"/>
        </w:trPr>
        <w:tc>
          <w:tcPr>
            <w:tcW w:w="2648" w:type="dxa"/>
          </w:tcPr>
          <w:p w14:paraId="2358AAC3" w14:textId="77777777">
            <w:pPr>
              <w:pStyle w:val="TableText"/>
              <w:rPr>
                <w:ins w:id="123040" w:author="Albert Kwame Osei-Owusu" w:date="2026-10-21T20:00:00Z"/>
                <w:lang w:val="en-GB"/>
              </w:rPr>
            </w:pPr>
            <w:ins w:id="123041" w:author="Albert Kwame Osei-Owusu" w:date="2026-10-21T20:00:00Z">
              <w:r>
                <w:rPr>
                  <w:lang w:val="en-GB"/>
                </w:rPr>
                <w:t xml:space="preserve">Services</w:t>
              </w:r>
            </w:ins>
          </w:p>
        </w:tc>
        <w:tc>
          <w:tcPr>
            <w:tcW w:w="1398" w:type="dxa"/>
          </w:tcPr>
          <w:p w14:paraId="6A0D85BB" w14:textId="77777777">
            <w:pPr>
              <w:pStyle w:val="TableText"/>
              <w:jc w:val="right"/>
              <w:rPr>
                <w:ins w:id="123042" w:author="Albert Kwame Osei-Owusu" w:date="2026-10-21T20:00:00Z"/>
                <w:lang w:val="en-GB"/>
              </w:rPr>
            </w:pPr>
            <w:ins w:id="123043" w:author="Albert Kwame Osei-Owusu" w:date="2026-10-21T20:00:00Z">
              <w:r>
                <w:t xml:space="preserve">266.8</w:t>
              </w:r>
            </w:ins>
          </w:p>
        </w:tc>
        <w:tc>
          <w:tcPr>
            <w:tcW w:w="1398" w:type="dxa"/>
          </w:tcPr>
          <w:p w14:paraId="470D5C82" w14:textId="77777777">
            <w:pPr>
              <w:pStyle w:val="TableText"/>
              <w:jc w:val="right"/>
              <w:rPr>
                <w:ins w:id="123044" w:author="Albert Kwame Osei-Owusu" w:date="2026-10-21T20:00:00Z"/>
                <w:lang w:val="en-GB"/>
              </w:rPr>
            </w:pPr>
            <w:ins w:id="123045" w:author="Albert Kwame Osei-Owusu" w:date="2026-10-21T20:00:00Z">
              <w:r>
                <w:t xml:space="preserve">29.9</w:t>
              </w:r>
            </w:ins>
          </w:p>
        </w:tc>
        <w:tc>
          <w:tcPr>
            <w:tcW w:w="1398" w:type="dxa"/>
          </w:tcPr>
          <w:p w14:paraId="74E63E1D" w14:textId="77777777">
            <w:pPr>
              <w:pStyle w:val="TableText"/>
              <w:jc w:val="right"/>
              <w:rPr>
                <w:ins w:id="123046" w:author="Albert Kwame Osei-Owusu" w:date="2026-10-21T20:00:00Z"/>
                <w:lang w:val="en-GB"/>
              </w:rPr>
            </w:pPr>
            <w:ins w:id="123047" w:author="Albert Kwame Osei-Owusu" w:date="2026-10-21T20:00:00Z">
              <w:r>
                <w:t xml:space="preserve">0.3</w:t>
              </w:r>
            </w:ins>
          </w:p>
        </w:tc>
        <w:tc>
          <w:tcPr>
            <w:tcW w:w="1398" w:type="dxa"/>
          </w:tcPr>
          <w:p w14:paraId="7915A120" w14:textId="77777777">
            <w:pPr>
              <w:pStyle w:val="TableText"/>
              <w:jc w:val="right"/>
              <w:rPr>
                <w:ins w:id="123048" w:author="Albert Kwame Osei-Owusu" w:date="2026-10-21T20:00:00Z"/>
                <w:lang w:val="en-GB"/>
              </w:rPr>
            </w:pPr>
            <w:ins w:id="123049" w:author="Albert Kwame Osei-Owusu" w:date="2026-10-21T20:00:00Z">
              <w:r>
                <w:t xml:space="preserve">8.4</w:t>
              </w:r>
            </w:ins>
          </w:p>
        </w:tc>
        <w:tc>
          <w:tcPr>
            <w:tcW w:w="1398" w:type="dxa"/>
          </w:tcPr>
          <w:p w14:paraId="5001D8AC" w14:textId="77777777">
            <w:pPr>
              <w:pStyle w:val="TableText"/>
              <w:jc w:val="right"/>
              <w:rPr>
                <w:ins w:id="123050" w:author="Albert Kwame Osei-Owusu" w:date="2026-10-21T20:00:00Z"/>
                <w:lang w:val="en-GB"/>
              </w:rPr>
            </w:pPr>
            <w:ins w:id="123051" w:author="Albert Kwame Osei-Owusu" w:date="2026-10-21T20:00:00Z">
              <w:r>
                <w:t xml:space="preserve">7.0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trPr>
          <w:trHeight w:val="288"/>
          <w:ins w:id="123052" w:author="Albert Kwame Osei-Owusu" w:date="2026-10-21T20:00:00Z"/>
        </w:trPr>
        <w:tc>
          <w:tcPr>
            <w:tcW w:w="2648" w:type="dxa"/>
          </w:tcPr>
          <w:p w14:paraId="30661909" w14:textId="77777777">
            <w:pPr>
              <w:pStyle w:val="TableText"/>
              <w:rPr>
                <w:ins w:id="123053" w:author="Albert Kwame Osei-Owusu" w:date="2026-10-21T20:00:00Z"/>
                <w:lang w:val="en-GB"/>
              </w:rPr>
            </w:pPr>
            <w:ins w:id="123054" w:author="Albert Kwame Osei-Owusu" w:date="2026-10-21T20:00:00Z">
              <w:r>
                <w:rPr>
                  <w:lang w:val="en-GB"/>
                </w:rPr>
                <w:t xml:space="preserve">Waste management</w:t>
              </w:r>
            </w:ins>
          </w:p>
        </w:tc>
        <w:tc>
          <w:tcPr>
            <w:tcW w:w="1398" w:type="dxa"/>
          </w:tcPr>
          <w:p w14:paraId="2A71367F" w14:textId="77777777">
            <w:pPr>
              <w:pStyle w:val="TableText"/>
              <w:jc w:val="right"/>
              <w:rPr>
                <w:ins w:id="123055" w:author="Albert Kwame Osei-Owusu" w:date="2026-10-21T20:00:00Z"/>
                <w:lang w:val="en-GB"/>
              </w:rPr>
            </w:pPr>
            <w:ins w:id="123056" w:author="Albert Kwame Osei-Owusu" w:date="2026-10-21T20:00:00Z">
              <w:r>
                <w:t xml:space="preserve">204.3</w:t>
              </w:r>
            </w:ins>
          </w:p>
        </w:tc>
        <w:tc>
          <w:tcPr>
            <w:tcW w:w="1398" w:type="dxa"/>
          </w:tcPr>
          <w:p w14:paraId="439035BC" w14:textId="77777777">
            <w:pPr>
              <w:pStyle w:val="TableText"/>
              <w:jc w:val="right"/>
              <w:rPr>
                <w:ins w:id="123057" w:author="Albert Kwame Osei-Owusu" w:date="2026-10-21T20:00:00Z"/>
                <w:lang w:val="en-GB"/>
              </w:rPr>
            </w:pPr>
            <w:ins w:id="123058" w:author="Albert Kwame Osei-Owusu" w:date="2026-10-21T20:00:00Z">
              <w:r>
                <w:t xml:space="preserve">2.2</w:t>
              </w:r>
            </w:ins>
          </w:p>
        </w:tc>
        <w:tc>
          <w:tcPr>
            <w:tcW w:w="1398" w:type="dxa"/>
          </w:tcPr>
          <w:p w14:paraId="2685EE65" w14:textId="77777777">
            <w:pPr>
              <w:pStyle w:val="TableText"/>
              <w:jc w:val="right"/>
              <w:rPr>
                <w:ins w:id="123059" w:author="Albert Kwame Osei-Owusu" w:date="2026-10-21T20:00:00Z"/>
                <w:lang w:val="en-GB"/>
              </w:rPr>
            </w:pPr>
            <w:ins w:id="123060" w:author="Albert Kwame Osei-Owusu" w:date="2026-10-21T20:00:00Z">
              <w:r>
                <w:t xml:space="preserve">0.0</w:t>
              </w:r>
            </w:ins>
          </w:p>
        </w:tc>
        <w:tc>
          <w:tcPr>
            <w:tcW w:w="1398" w:type="dxa"/>
          </w:tcPr>
          <w:p w14:paraId="16A49A87" w14:textId="77777777">
            <w:pPr>
              <w:pStyle w:val="TableText"/>
              <w:jc w:val="right"/>
              <w:rPr>
                <w:ins w:id="123061" w:author="Albert Kwame Osei-Owusu" w:date="2026-10-21T20:00:00Z"/>
                <w:lang w:val="en-GB"/>
              </w:rPr>
            </w:pPr>
            <w:ins w:id="123062" w:author="Albert Kwame Osei-Owusu" w:date="2026-10-21T20:00:00Z">
              <w:r>
                <w:t xml:space="preserve">0.9</w:t>
              </w:r>
            </w:ins>
          </w:p>
        </w:tc>
        <w:tc>
          <w:tcPr>
            <w:tcW w:w="1398" w:type="dxa"/>
          </w:tcPr>
          <w:p w14:paraId="2914F2A2" w14:textId="77777777">
            <w:pPr>
              <w:pStyle w:val="TableText"/>
              <w:jc w:val="right"/>
              <w:rPr>
                <w:ins w:id="123063" w:author="Albert Kwame Osei-Owusu" w:date="2026-10-21T20:00:00Z"/>
                <w:lang w:val="en-GB"/>
              </w:rPr>
            </w:pPr>
            <w:ins w:id="123064" w:author="Albert Kwame Osei-Owusu" w:date="2026-10-21T20:00:00Z">
              <w:r>
                <w:t xml:space="preserve">32.3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23008" w:author="Albert Kwame Osei-Owusu" w:date="2026-10-21T20:00:00Z">
              <w:r>
                <w:t xml:space="preserve">182.4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23009" w:author="Albert Kwame Osei-Owusu" w:date="2026-10-21T20:00:00Z">
              <w:r>
                <w:t xml:space="preserve">140.6</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23010" w:author="Albert Kwame Osei-Owusu" w:date="2026-10-21T20:00:00Z">
              <w:r>
                <w:t xml:space="preserve">2.0</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23011" w:author="Albert Kwame Osei-Owusu" w:date="2026-10-21T20:00:00Z">
              <w:r>
                <w:t xml:space="preserve">25.8</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23012" w:author="Albert Kwame Osei-Owusu" w:date="2026-10-21T20:00:00Z">
              <w:r>
                <w:t xml:space="preserve">21.9</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A.3 reports the absolute environmental impacts of Danish health care in 2022, disaggregated by the world region in which the impacts occur. The indirect impacts of private travel, from fuel supply and vehicle manufacture,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A.3.</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A.4 reports the health care footprint alongside the national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A.4.</w:t>
        </w:r>
        <w:r>
          <w:rPr>
            <w:lang w:val="en-GB"/>
          </w:rPr>
          <w:t xml:space="preserve"> The health care footprint, the Danish national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del w:id="123065" w:author="Albert Kwame Osei-Owusu" w:date="2026-10-21T20:00:00Z">
              <w:r>
                <w:rPr/>
                <w:delText>consumption</w:delText>
              </w:r>
            </w:del>
            <w:proofErr w:type="spellEnd"/>
            <w:del w:id="123066" w:author="Albert Kwame Osei-Owusu" w:date="2026-10-21T20:00:00Z">
              <w:r>
                <w:rPr/>
                <w:delText xml:space="preserve"> </w:delText>
              </w:r>
            </w:del>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del w:id="123067" w:author="Albert Kwame Osei-Owusu" w:date="2026-10-21T20:00:00Z">
              <w:r>
                <w:rPr/>
                <w:delText>consumption</w:delText>
              </w:r>
            </w:del>
            <w:proofErr w:type="spellEnd"/>
            <w:del w:id="123068" w:author="Albert Kwame Osei-Owusu" w:date="2026-10-21T20:00:00Z">
              <w:r>
                <w:rPr/>
                <w:delText xml:space="preserve"> </w:delText>
              </w:r>
            </w:del>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23069" w:author="Albert Kwame Osei-Owusu" w:date="2026-10-21T20:00:00Z">
              <w:r>
                <w:t xml:space="preserve">4,267</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23070" w:author="Albert Kwame Osei-Owusu" w:date="2026-10-21T20:00:00Z">
              <w:r>
                <w:t xml:space="preserve">77,241</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23071" w:author="Albert Kwame Osei-Owusu" w:date="2026-10-21T20:00:00Z">
              <w:r>
                <w:t xml:space="preserve">5.5</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23072" w:author="Albert Kwame Osei-Owusu" w:date="2026-10-21T20:00:00Z">
              <w:r>
                <w:t xml:space="preserve">3,498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23073" w:author="Albert Kwame Osei-Owusu" w:date="2026-10-21T20:00:00Z">
              <w:r>
                <w:t xml:space="preserve">53,925</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23074" w:author="Albert Kwame Osei-Owusu" w:date="2026-10-21T20:00:00Z">
              <w:r>
                <w:t xml:space="preserve">6.5</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23075" w:author="Albert Kwame Osei-Owusu" w:date="2026-10-21T20:00:00Z">
              <w:r>
                <w:t xml:space="preserve">75</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23076" w:author="Albert Kwame Osei-Owusu" w:date="2026-10-21T20:00:00Z">
              <w:r>
                <w:t xml:space="preserve">1,276</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23077" w:author="Albert Kwame Osei-Owusu" w:date="2026-10-21T20:00:00Z">
              <w:r>
                <w:t xml:space="preserve">5.9</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23078" w:author="Albert Kwame Osei-Owusu" w:date="2026-10-21T20:00:00Z">
              <w:r>
                <w:t xml:space="preserve">4,118</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23079" w:author="Albert Kwame Osei-Owusu" w:date="2026-10-21T20:00:00Z">
              <w:r>
                <w:t xml:space="preserve">99,443</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23080" w:author="Albert Kwame Osei-Owusu" w:date="2026-10-21T20:00:00Z">
              <w:r>
                <w:t xml:space="preserve">4.1</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23081" w:author="Albert Kwame Osei-Owusu" w:date="2026-10-21T20:00:00Z">
              <w:r>
                <w:t xml:space="preserve">221</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23082" w:author="Albert Kwame Osei-Owusu" w:date="2026-10-21T20:00:00Z">
              <w:r>
                <w:t xml:space="preserve">10,586</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23083" w:author="Albert Kwame Osei-Owusu" w:date="2026-10-21T20:00:00Z">
              <w:r>
                <w:t xml:space="preserve">2.1</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A.5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A.5.</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economy: Danish-flagged shipping sells its services overwhelmingly abroad, and treating that output as an input to domestic industries loads international shipping emissions onto every Danish purchaser, health care among them. The excess is reallocated to </w:t>
        </w:r>
        <w:r>
          <w:rPr>
            <w:rFonts w:ascii="Times New Roman" w:hAnsi="Times New Roman" w:cs="Times New Roman"/>
            <w:sz w:val="20"/>
            <w:szCs w:val="20"/>
            <w:lang w:val="en-GB"/>
          </w:rPr>
          <w:t xml:space="preserve">exports and</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input it replaced is credited to</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buying industries' net operating surplus, so that every industry's gross output is unchanged,</w:t>
        </w:r>
        <w:r>
          <w:rPr>
            <w:rFonts w:ascii="Times New Roman" w:hAnsi="Times New Roman" w:cs="Times New Roman"/>
            <w:sz w:val="20"/>
            <w:szCs w:val="20"/>
            <w:lang w:val="en-GB"/>
          </w:rPr>
          <w:t xml:space="preserve"> with the target share φ read from the Danish table for the background year in use: 0.0774 for the 2016 table, which the 2016 and 2019 runs share, and 0.0651 for the 2022 table. As an external check, the same procedure applied to the 2019 table returns 0.0931, </w:t>
        </w:r>
        <w:r>
          <w:rPr>
            <w:rFonts w:ascii="Times New Roman" w:hAnsi="Times New Roman" w:cs="Times New Roman"/>
            <w:sz w:val="20"/>
            <w:szCs w:val="20"/>
            <w:lang w:val="en-GB"/>
          </w:rPr>
          <w:t xml:space="preserve">close to</w:t>
        </w:r>
        <w:r>
          <w:rPr>
            <w:rFonts w:ascii="Times New Roman" w:hAnsi="Times New Roman" w:cs="Times New Roman"/>
            <w:sz w:val="20"/>
            <w:szCs w:val="20"/>
            <w:lang w:val="en-GB"/>
          </w:rPr>
          <w:t xml:space="preserve">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The correction releases 11,954 million euros of output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15.6% and the total is 4,267 kt. The same correction lowers the Danish national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added, and the health sector's own self-supply loop, 1.8 kt CO₂e, is removed from the scope partition so that it is not counted twice.</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fuel supply and vehicle manufacture for private travel, which the input-output component does not contain. Sixth, the pharmaceutical component consists of retail and marketed government purchases, and the services column's own purchase of chemicals is a separate channel of 3.5 million euros.</w:t>
        </w:r>
        <w:r>
          <w:rPr>
            <w:rFonts w:ascii="Times New Roman" w:hAnsi="Times New Roman" w:cs="Times New Roman"/>
            <w:sz w:val="20"/>
            <w:szCs w:val="20"/>
            <w:lang w:val="en-GB"/>
          </w:rPr>
          <w:t xml:space="preserve"> Seventh, Statistics Denmark's accounts book 8.7 kt CO₂e of hydrofluorocarbons to hospital activities in 2022, inside the operational term; if any of it were inhaler propellant it would overlap the inhaler term, and the accounts do not allow this to be tested.</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 Of the 4,265 kt CO₂e the partition covers, Scope 3 accounts for 3,797 kt (89.0%), Scope 1 for 131 kt (3.1%), Scope 2 for 73 kt (1.7%) and patient and visitor travel for 264 kt (6.2%).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42971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42971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A.1 gives the same decomposition in absolute units, and Fig. A.5 gives it per person, using the Danish population of 5,873,420 in 2022. Per-person values are the form most readily compared with other national studies, which more often than not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658327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658327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is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 version 3.8.2 has a two-year gap in the Danish health block. The output of the health and social work industry is 37,163 million euros in 2016 and 38,298 million in 2017,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 which is why version 3.8.2 is used here.</w:t>
        </w:r>
        <w:r>
          <w:rPr>
            <w:rFonts w:ascii="Times New Roman" w:hAnsi="Times New Roman" w:cs="Times New Roman"/>
            <w:sz w:val="20"/>
            <w:szCs w:val="20"/>
            <w:lang w:val="en-GB"/>
          </w:rPr>
          <w:t xml:space="preserve"> The 2022 table of version 3.8.2 is itself a projection: its metadata record it as written on 8 September 2021, before Danish statistics for 2022 existed, so its agreement with the 2022 national accounts is a test that the projection passed, and its environmental accounts for 2022 have no equivalent test.</w:t>
        </w:r>
        <w:r>
          <w:rPr>
            <w:rFonts w:ascii="Times New Roman" w:hAnsi="Times New Roman" w:cs="Times New Roman"/>
            <w:sz w:val="20"/>
            <w:szCs w:val="20"/>
            <w:lang w:val="en-GB"/>
          </w:rPr>
          <w:t xml:space="preserv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from 33,430 to 35,271 million euros in current prices and the five categories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by between 1.5% and 5.9%: the climate footprint from 3,809 to 3,996 kt CO₂e, material extraction from 2,431 to 2,574 kt, blue water consumption from 45.1 to 47.7 Mm³, land use from 2,859 to 3,020 km² and waste generation from 227 to 230 kt. Between 2019 and 2022,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by a further 15.1%, to 40,597 million euros, and the categories diverge: climate change +6.8%, material extraction +35.9%, blue water consumption +56.8%, land use +36.3% and waste generation −4.0%. The divergence arises largely from the background model. A group-level decomposition (Fig. A.9) shows the net climate increase of 271 kt to be the sum of a 657 kt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in pharmaceuticals and chemical products, which grows because the chemicals block is larger in the 2022 table;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of 231 kt in transport and 171 kt in the residual group; and a net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420540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420540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420540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4113652"/>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4113652"/>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OECD estimate, Pichler and colleagues, Eckelman and Sherman, and Malik and colleagues include health investment [26,28,29,30], so their totals are not directly comparable. Three capital treatments were computed. Each changes only the part of the footprint that has capital behind it, the input-output component with the operational term (3,535 kt CO₂e), and none affects the bottom-up terms, so each increase is stated against that part and against the headline of 4,267 kt. Adding the consumption of fixed capital of the Danish health and residential care industries themselves as an exogenous service flow adds 535 kt, 15.1% of that part and 12.5% of the headline.</w:t>
        </w:r>
      </w:ins>
      <w:ins w:id="62595" w:author="Albert Kwame Osei-Owusu" w:date="2026-09-14T09:00:00Z">
        <w:r>
          <w:rPr>
            <w:rFonts w:ascii="Times New Roman" w:hAnsi="Times New Roman" w:cs="Times New Roman"/>
            <w:sz w:val="20"/>
            <w:szCs w:val="20"/>
            <w:lang w:val="en-GB"/>
          </w:rPr>
          <w:t xml:space="preserve"> Endogenising capital into the Leontief inverse on the published matrices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123005" w:author="Albert Kwame Osei-Owusu" w:date="2026-10-21T20:00:00Z">
        <w:r>
          <w:rPr>
            <w:rFonts w:ascii="Times New Roman" w:hAnsi="Times New Roman" w:cs="Times New Roman"/>
            <w:sz w:val="20"/>
            <w:szCs w:val="20"/>
            <w:lang w:val="en-GB"/>
          </w:rPr>
          <w:t xml:space="preserve">adds the capital of the industries that supply health care, 751 kt, 21.2% of that part and 17.6% of the headline, and increases the material extraction of that part by 38.9%, its blue water consumption by 12.5% and its land use by 22.5%; an endogenisation built from each region's own capital formation and consumption of fixed capital adds 812 kt (23.0% of that part and 19.0% of the headline). The published matrices are for 2020 and are applied to 2022 output without rescaling. The exogenous flow and the endogenised matrices cover different capital, that of the health industries themselves and that of their suppliers, so the combined effect of capital is larger than either; we have not computed it. Excluding the suppliers' capital places the headline 15.0% below a capital-inclusive estimate on the Södersten matrices for climate change and 27.8% below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123006" w:author="Albert Kwame Osei-Owusu" w:date="2026-10-21T20:00:00Z">
        <w:r>
          <w:rPr>
            <w:rFonts w:ascii="Times New Roman" w:hAnsi="Times New Roman" w:cs="Times New Roman"/>
            <w:sz w:val="20"/>
            <w:szCs w:val="20"/>
            <w:lang w:val="en-GB"/>
          </w:rPr>
          <w:t xml:space="preserve">The input-output component is characterised on IPCC AR6 GWP100 values [31], restated from the factors of the EXIOBASE characterisation workbook for carbon dioxide, methane, nitrous oxide and sulphur hexafluoride, and the anaesthetic gases and inhaler propellants are characterised on AR6 as well. Two terms are not: the operational term keeps the AR5 values of Statistics Denmark's accounts, and was not restated; the travel terms keep the characterisation of the Dutch inventory from which they are scaled. The revision moves the input-output component by up to 5%: the same physical emissions give 3,254 kt CO₂e on SAR, 3,294 kt on TAR, 3,347 kt on AR4, 3,425 kt on AR5 and 3,415 kt on AR6. AR5 and AR6 are within 0.3% of one another, and AR4 gives 2.0% less than AR6; of the comparators used here, Lenzen and colleagues and the Dutch study characterise on AR4, Schmidt and Merciai and NHS England on AR5, and the OECD estimate on AR6.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w:t>
        </w:r>
        <w:r>
          <w:rPr>
            <w:rFonts w:ascii="Times New Roman" w:hAnsi="Times New Roman" w:cs="Times New Roman"/>
            <w:sz w:val="20"/>
            <w:szCs w:val="20"/>
            <w:lang w:val="en-GB"/>
          </w:rPr>
          <w:t xml:space="preserve">the Danish node alone 43%. That share rests on small purchases of a cheap material. EXIOBASE's purchase column for the Danish health industry buys 5.7 million euros of Danish sand and clay, close to the 4.9 million euros of gravel and stone, mostly for residential care, that Statistics Denmark's table records for the Danish health and care industries. At about 7 euros a tonne, that purchase accounts for 0.86 Mt of extraction, the quarries' own use of sand included, and the production of the chemicals that stand in for medicines draws a further 0.42 Mt. Because material extraction adds tonnes without weighting, low-value minerals dominate it, as in the Dutch study, where mining accounted for about 98% of material extraction [8]. Cattle farming and raw milk together carry 31% of land use;</w:t>
        </w:r>
        <w:r>
          <w:rPr>
            <w:rFonts w:ascii="Times New Roman" w:hAnsi="Times New Roman" w:cs="Times New Roman"/>
            <w:sz w:val="20"/>
            <w:szCs w:val="20"/>
            <w:lang w:val="en-GB"/>
          </w:rPr>
          <w:t xml:space="preserv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the footprint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23007" w:author="Albert Kwame Osei-Owusu" w:date="2026-10-21T20:00:00Z">
        <w:r>
          <w:rPr>
            <w:rFonts w:ascii="Times New Roman" w:hAnsi="Times New Roman" w:cs="Times New Roman"/>
            <w:sz w:val="20"/>
            <w:szCs w:val="20"/>
            <w:lang w:val="en-GB"/>
          </w:rPr>
          <w:t xml:space="preserve">The Danish national climate footprint computed in this study, 77.2 Mt CO₂e for 2022, is higher than Eurostat FIGARO's 63.8 Mt [32], which like this study includes households' own emissions (57.4 Mt without them), Statistics Denmark's AFTRYK 62.9 Mt [33], and Schmidt and Merciai's EXIOBASE-based 73.9 Mt for 2016 [34]. The separation is by model family rather than by year: national-accounts-based estimates sit below EXIOBASE-based estimates for Denmark. For health care, matching Schmidt and Merciai's sector, health and social work services, which we take to include childcare as NACE Q does, and their capital treatment moves this study's figure from 4.27 to 5.94 Mt CO₂e, 1.01 t per person, against their 6.1 Mt and 1.07 t per person for 2016: 2.5% lower in total and 5.4% lower per person. The capital step adds the 23.0% of the endogenisation built from each region's capital formation to the input-output and operational part of the matched figure only, because the travel and gas terms carry no capital. Their model is consequential and ours is attributional,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657429"/>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657429"/>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They are the evidence for three statements in the main text: that the intervals are set by the input-output data rather than by the Danish primary data, that the ranking of contributors is far more precisely determined than their levels, and that the estimate does not rest on the bottom-up proxies.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017698"/>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017698"/>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513049"/>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513049"/>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w:t>
        </w:r>
        <w:r>
          <w:rPr>
            <w:lang w:val="en-GB"/>
          </w:rPr>
          <w:t xml:space="preserve">Variance</w:t>
        </w:r>
        <w:r>
          <w:rPr>
            <w:lang w:val="en-GB"/>
          </w:rPr>
          <w:t xml:space="preserv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3061026"/>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3061026"/>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3382166"/>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3382166"/>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244535"/>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244535"/>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w:t>
        </w:r>
        <w:r>
          <w:rPr>
            <w:lang w:val="en-GB"/>
          </w:rPr>
          <w:t xml:space="preserve">Pharmaceuticals and chemical products hold rank one in 96.6% of draws on the Chemicals n.e.c. intensity (left) and services in 60.1% on the pharmaceutical-specific intensity (right).</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2023.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Danish consumption and emission of F-gases in 2019, Environmental Project No. 2161, The Danish Environmental Protection Agency,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CO2 equivalents) by industry and type of emission; AFFALD01: Waste generation by industry and waste category; NABB117: Employment (117-grouping), hours worked by industry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https://www.statbank.dk/AFFALD01</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https://www.statbank.dk/NABB117</w:t>
          </w:r>
        </w:ins>
      </w:hyperlink>
      <w:ins w:id="117833" w:author="Albert Kwame Osei-Owusu" w:date="2026-09-14T09:00:00Z">
        <w:r>
          <w:rPr>
            <w:rFonts w:ascii="Times New Roman" w:hAnsi="Times New Roman" w:cs="Times New Roman"/>
            <w:sz w:val="20"/>
            <w:szCs w:val="20"/>
            <w:lang w:val="en-GB"/>
          </w:rPr>
          <w:t xml:space="preserve"> (accessed 7 and 14 September 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[28]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[29]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[30]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[31]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[32]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CO2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[33]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[34]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5" Type="http://schemas.openxmlformats.org/officeDocument/2006/relationships/image" Target="media/image6.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23</cp:revision>
  <dcterms:created xsi:type="dcterms:W3CDTF">2026-06-19T07:54:00Z</dcterms:created>
  <dcterms:modified xsi:type="dcterms:W3CDTF">2026-10-21T20:44:05Z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