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The runs cannot be read as a series for two </w:t>
        </w:r>
        <w:r>
          <w:rPr>
            <w:rFonts w:ascii="Times New Roman" w:hAnsi="Times New Roman" w:cs="Times New Roman"/>
            <w:sz w:val="20"/>
            <w:szCs w:val="20"/>
            <w:lang w:val="en-GB"/>
          </w:rPr>
          <w:t xml:space="preserve">reasons. The</w:t>
        </w:r>
        <w:r>
          <w:rPr>
            <w:rFonts w:ascii="Times New Roman" w:hAnsi="Times New Roman" w:cs="Times New Roman"/>
            <w:sz w:val="20"/>
            <w:szCs w:val="20"/>
            <w:lang w:val="en-GB"/>
          </w:rPr>
          <w:t xml:space="preserv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w:t>
        </w:r>
        <w:r>
          <w:rPr>
            <w:rFonts w:ascii="Times New Roman" w:hAnsi="Times New Roman" w:cs="Times New Roman"/>
            <w:sz w:val="20"/>
            <w:szCs w:val="20"/>
            <w:lang w:val="en-GB"/>
          </w:rPr>
          <w:t xml:space="preserve">The pharmaceuticals and chemical products group also carries more than pharmaceuticals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of its 27.1% of the climate footprint, medicines bought as goods account for 20.1%, plastics and other chemicals bought by the health services for 6.7%, and inhaler propellants for 0.3%.</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3.5 million euros on Chemicals n.e.c., 0.04% of its purchases, whereas medicines are 13.9% of the purchases of the Danish health and care industries in Statistics Denmark's table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5.0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rather than on Chemicals n.e.c., the median climate footprint decreases to 3,734 kt CO₂e (95% interval 3,163 to 4,457 kt), just inside the lower end of the parametric interval of 3,675 to 5,029 kt, and services rather than pharmaceuticals hold rank one in 60.1% of draws; adding the medicines used in hospitals, which the services purchases omit, increases the climate footprint to 5,635 kt, above the interval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one. The boundary moves it by similar amounts, from 18.9% below without residential and elder care to 17.0%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w:t>
        </w:r>
        <w:r>
          <w:rPr>
            <w:rFonts w:ascii="Times New Roman" w:hAnsi="Times New Roman" w:cs="Times New Roman"/>
            <w:sz w:val="20"/>
            <w:szCs w:val="20"/>
            <w:lang w:val="en-GB"/>
          </w:rPr>
          <w:t xml:space="preserve">19.0% on its own,</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w:t>
        </w:r>
        <w:r>
          <w:rPr>
            <w:rFonts w:ascii="Times New Roman" w:hAnsi="Times New Roman" w:cs="Times New Roman"/>
            <w:sz w:val="20"/>
            <w:szCs w:val="20"/>
            <w:lang w:val="en-GB"/>
          </w:rPr>
          <w:t xml:space="preserve">75.0 kt,</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compared to</w:t>
        </w:r>
        <w:r>
          <w:rPr>
            <w:rFonts w:ascii="Times New Roman" w:hAnsi="Times New Roman" w:cs="Times New Roman"/>
            <w:sz w:val="20"/>
            <w:szCs w:val="20"/>
            <w:lang w:val="en-GB"/>
          </w:rPr>
          <w:t xml:space="preserve">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2689A3B6"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6959CBDC"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2309EF6A"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6888CD4B"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30292451"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2EB0FE39"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492A6B92"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796552E9"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67126837"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73ADA25E"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1190F5DC"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3F710B6F"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23C5CBC4"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5CD86B7B"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3663E9C1"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7D0D515D"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137B2D9D"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6BCD1E51"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2412EE8B"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3EB2B3AA"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5E88A414"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3FE7DEE0"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549D2368"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13B0EBFB"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euros.</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w:t>
        </w:r>
        <w:r>
          <w:rPr>
            <w:rFonts w:ascii="Times New Roman" w:hAnsi="Times New Roman" w:cs="Times New Roman"/>
            <w:sz w:val="20"/>
            <w:szCs w:val="20"/>
            <w:lang w:val="en-GB"/>
          </w:rPr>
          <w:t xml:space="preserve">227.0</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230.4</w:t>
        </w:r>
        <w:r>
          <w:rPr>
            <w:rFonts w:ascii="Times New Roman" w:hAnsi="Times New Roman" w:cs="Times New Roman"/>
            <w:sz w:val="20"/>
            <w:szCs w:val="20"/>
            <w:lang w:val="en-GB"/>
          </w:rPr>
          <w:t xml:space="preserve"> kt.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[26,28,29,30],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[31],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(23.0% of that part and 19.0%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15.0%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[32]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2.0%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Mt.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 which like this study includes households' own emissions (57.4 Mt without them), Statistics Denmark's AFTRYK 62.9 Mt [</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 The capital step adds the 23.0%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27876790"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7DB5EB16"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A.6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2B9C66EA" w14:textId="77777777">
      <w:pPr>
        <w:pStyle w:val="TableCaption"/>
        <w:rPr>
          <w:ins w:id="123093" w:author="Albert Kwame Osei-Owusu" w:date="2026-10-21T20:00:00Z"/>
        </w:rPr>
      </w:pPr>
      <w:ins w:id="123094" w:author="Albert Kwame Osei-Owusu" w:date="2026-10-21T20:00:00Z">
        <w:r>
          <w:rPr>
            <w:b/>
            <w:bCs/>
          </w:rPr>
          <w:t xml:space="preserve">Table A.6.</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26A384E4"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163A46EE"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24BD0C91"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5BC20E35"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342B2872"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248263C0"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335B995F"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1899671D"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2C972AEE"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72C01A62"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1F731513"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58E00885"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663B938F"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65494565"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4930B0C7"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28776754"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792908DD"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4001FC8D"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5D469AC7"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2D90ED35"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2F19145B"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5027159A"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6DCEF7A4"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2CFE7B5E"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13BAC753"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5BAA50D7"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64BA402F" w14:textId="77777777">
            <w:pPr>
              <w:pStyle w:val="TableText"/>
              <w:rPr>
                <w:ins w:id="123154" w:author="Albert Kwame Osei-Owusu" w:date="2026-10-21T20:00:00Z"/>
              </w:rPr>
            </w:pPr>
            <w:ins w:id="123155" w:author="Albert Kwame Osei-Owusu" w:date="2026-10-21T20:00:00Z">
              <w:r>
                <w:t xml:space="preserve">4,758</w:t>
              </w:r>
            </w:ins>
          </w:p>
        </w:tc>
        <w:tc>
          <w:tcPr>
            <w:tcW w:w="1300" w:type="dxa"/>
          </w:tcPr>
          <w:p w14:paraId="62CC1E3B" w14:textId="77777777">
            <w:pPr>
              <w:pStyle w:val="TableText"/>
              <w:rPr>
                <w:ins w:id="123156" w:author="Albert Kwame Osei-Owusu" w:date="2026-10-21T20:00:00Z"/>
              </w:rPr>
            </w:pPr>
            <w:ins w:id="123157" w:author="Albert Kwame Osei-Owusu" w:date="2026-10-21T20:00:00Z">
              <w:r>
                <w:t xml:space="preserve">+11.5</w:t>
              </w:r>
            </w:ins>
          </w:p>
        </w:tc>
      </w:tr>
      <w:tr>
        <w:trPr>
          <w:cantSplit/>
          <w:ins w:id="123158" w:author="Albert Kwame Osei-Owusu" w:date="2026-10-21T20:00:00Z"/>
        </w:trPr>
        <w:tc>
          <w:tcPr>
            <w:tcW w:w="2200" w:type="dxa"/>
          </w:tcPr>
          <w:p w14:paraId="77EB2E55"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640C3326"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38B82649"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1670B277" w14:textId="77777777">
            <w:pPr>
              <w:pStyle w:val="TableText"/>
              <w:rPr>
                <w:ins w:id="123165" w:author="Albert Kwame Osei-Owusu" w:date="2026-10-21T20:00:00Z"/>
              </w:rPr>
            </w:pPr>
            <w:ins w:id="123166" w:author="Albert Kwame Osei-Owusu" w:date="2026-10-21T20:00:00Z">
              <w:r>
                <w:t xml:space="preserve">−0.5 to +3.0</w:t>
              </w:r>
            </w:ins>
          </w:p>
        </w:tc>
      </w:tr>
      <w:tr>
        <w:trPr>
          <w:cantSplit/>
          <w:ins w:id="123167" w:author="Albert Kwame Osei-Owusu" w:date="2026-10-21T20:00:00Z"/>
        </w:trPr>
        <w:tc>
          <w:tcPr>
            <w:tcW w:w="2200" w:type="dxa"/>
          </w:tcPr>
          <w:p w14:paraId="3E4C63D4"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12640447"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283A82A1"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418BA40A"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54677C49"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72157747"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28D1657F"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72723D7F"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787937AC"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3019A0D1"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40EC8AFC"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72CC7C98"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31BE869F"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177014AE"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3BF156E6"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14FB712F"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5CFB1D52"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64616537"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[31], applied to 2022 output</w:t>
              </w:r>
            </w:ins>
          </w:p>
        </w:tc>
        <w:tc>
          <w:tcPr>
            <w:tcW w:w="1500" w:type="dxa"/>
          </w:tcPr>
          <w:p w14:paraId="5B1A69B8"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33DC6FB2"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45CFD249"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46BFD26F"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6062A23F"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67D7FE39"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397C152E"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649325F9"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519FA48A"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7566D2D5"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3D8DB098"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10758C46"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210E6B0D"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45D73BBB" w14:textId="77777777">
            <w:pPr>
              <w:pStyle w:val="TableText"/>
              <w:rPr>
                <w:ins w:id="123237" w:author="Albert Kwame Osei-Owusu" w:date="2026-10-21T20:00:00Z"/>
              </w:rPr>
            </w:pPr>
            <w:ins w:id="123238" w:author="Albert Kwame Osei-Owusu" w:date="2026-10-21T20:00:00Z">
              <w:r>
                <w:t xml:space="preserve">Interval only</w:t>
              </w:r>
            </w:ins>
          </w:p>
        </w:tc>
      </w:tr>
    </w:tbl>
    <w:p w14:paraId="4A57F28A"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1E1A871F"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[31]</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32</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2026-10-21T22:39:26Z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