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0B4F4A"/>
          <w:sz w:val="40"/>
        </w:rPr>
        <w:t>Danish health-care environmental footprint</w:t>
      </w:r>
    </w:p>
    <w:p>
      <w:r>
        <w:rPr>
          <w:rFonts w:ascii="Cambria" w:hAnsi="Cambria"/>
          <w:color w:val="6B7F7B"/>
          <w:sz w:val="26"/>
        </w:rPr>
        <w:t>Tables of record, reference year 2022</w:t>
      </w:r>
    </w:p>
    <w:p>
      <w:r>
        <w:rPr>
          <w:sz w:val="21"/>
        </w:rPr>
        <w:t>Every table below is generated from the study's gold fact tables rather than transcribed, so the document can be regenerated whenever a number moves and no figure in it can drift from the pipeline that produced it. Each table states the file it was read from. Where an earlier version of a table is known to be circulating with a value that later work superseded, the note says so and says why.</w:t>
      </w:r>
    </w:p>
    <w:p>
      <w:r>
        <w:rPr>
          <w:color w:val="6B7F7B"/>
          <w:sz w:val="18"/>
        </w:rPr>
        <w:t>Model: EXIOBASE v3.8.2 IOT_2022_ixi with Danish sea-transport reallocation (Rørmose Jensen &amp; Iliev 2022)</w:t>
        <w:br/>
        <w:t>Generated: 2026-09-08</w:t>
        <w:br/>
        <w:t>Source tree: data/gold/results/</w:t>
      </w:r>
    </w:p>
    <w:p>
      <w:r>
        <w:br w:type="page"/>
      </w:r>
    </w:p>
    <w:p>
      <w:r>
        <w:rPr>
          <w:rFonts w:ascii="Cambria" w:hAnsi="Cambria"/>
          <w:b/>
          <w:color w:val="0B4F4A"/>
          <w:sz w:val="22"/>
        </w:rPr>
        <w:t>Table 1. The Danish health-care footprint in 2022, on five impact categories</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fill="0B4F4A"/>
          </w:tcPr>
          <w:p>
            <w:r>
              <w:rPr>
                <w:rFonts w:ascii="Calibri" w:hAnsi="Calibri"/>
                <w:b/>
                <w:sz w:val="18"/>
                <w:color w:val="FFFFFF"/>
              </w:rPr>
              <w:t>Impact category</w:t>
            </w:r>
          </w:p>
        </w:tc>
        <w:tc>
          <w:tcPr>
            <w:tcW w:type="dxa" w:w="1656"/>
            <w:shd w:val="clear" w:fill="0B4F4A"/>
          </w:tcPr>
          <w:p>
            <w:r>
              <w:rPr>
                <w:rFonts w:ascii="Calibri" w:hAnsi="Calibri"/>
                <w:b/>
                <w:sz w:val="18"/>
                <w:color w:val="FFFFFF"/>
              </w:rPr>
              <w:t>Unit</w:t>
            </w:r>
          </w:p>
        </w:tc>
        <w:tc>
          <w:tcPr>
            <w:tcW w:type="dxa" w:w="1656"/>
            <w:shd w:val="clear" w:fill="0B4F4A"/>
          </w:tcPr>
          <w:p>
            <w:r>
              <w:rPr>
                <w:rFonts w:ascii="Calibri" w:hAnsi="Calibri"/>
                <w:b/>
                <w:sz w:val="18"/>
                <w:color w:val="FFFFFF"/>
              </w:rPr>
              <w:t>Health care</w:t>
            </w:r>
          </w:p>
        </w:tc>
        <w:tc>
          <w:tcPr>
            <w:tcW w:type="dxa" w:w="1656"/>
            <w:shd w:val="clear" w:fill="0B4F4A"/>
          </w:tcPr>
          <w:p>
            <w:r>
              <w:rPr>
                <w:rFonts w:ascii="Calibri" w:hAnsi="Calibri"/>
                <w:b/>
                <w:sz w:val="18"/>
                <w:color w:val="FFFFFF"/>
              </w:rPr>
              <w:t>Per person</w:t>
            </w:r>
          </w:p>
        </w:tc>
        <w:tc>
          <w:tcPr>
            <w:tcW w:type="dxa" w:w="1656"/>
            <w:shd w:val="clear" w:fill="0B4F4A"/>
          </w:tcPr>
          <w:p>
            <w:r>
              <w:rPr>
                <w:rFonts w:ascii="Calibri" w:hAnsi="Calibri"/>
                <w:b/>
                <w:sz w:val="18"/>
                <w:color w:val="FFFFFF"/>
              </w:rPr>
              <w:t>Danish total</w:t>
            </w:r>
          </w:p>
        </w:tc>
        <w:tc>
          <w:tcPr>
            <w:tcW w:type="dxa" w:w="1656"/>
            <w:shd w:val="clear" w:fill="0B4F4A"/>
          </w:tcPr>
          <w:p>
            <w:r>
              <w:rPr>
                <w:rFonts w:ascii="Calibri" w:hAnsi="Calibri"/>
                <w:b/>
                <w:sz w:val="18"/>
                <w:color w:val="FFFFFF"/>
              </w:rPr>
              <w:t>Share of national (%)</w:t>
            </w:r>
          </w:p>
        </w:tc>
      </w:tr>
      <w:tr>
        <w:tc>
          <w:tcPr>
            <w:tcW w:type="dxa" w:w="1656"/>
          </w:tcPr>
          <w:p>
            <w:r>
              <w:rPr>
                <w:rFonts w:ascii="Calibri" w:hAnsi="Calibri"/>
                <w:sz w:val="18"/>
              </w:rPr>
              <w:t>Blue water consumption</w:t>
            </w:r>
          </w:p>
        </w:tc>
        <w:tc>
          <w:tcPr>
            <w:tcW w:type="dxa" w:w="1656"/>
          </w:tcPr>
          <w:p>
            <w:r>
              <w:rPr>
                <w:rFonts w:ascii="Calibri" w:hAnsi="Calibri"/>
                <w:sz w:val="18"/>
              </w:rPr>
              <w:t>Mm³</w:t>
            </w:r>
          </w:p>
        </w:tc>
        <w:tc>
          <w:tcPr>
            <w:tcW w:type="dxa" w:w="1656"/>
          </w:tcPr>
          <w:p>
            <w:pPr>
              <w:jc w:val="right"/>
            </w:pPr>
            <w:r>
              <w:rPr>
                <w:rFonts w:ascii="Calibri" w:hAnsi="Calibri"/>
                <w:sz w:val="18"/>
              </w:rPr>
              <w:t>95.5</w:t>
            </w:r>
          </w:p>
        </w:tc>
        <w:tc>
          <w:tcPr>
            <w:tcW w:type="dxa" w:w="1656"/>
          </w:tcPr>
          <w:p>
            <w:pPr>
              <w:jc w:val="right"/>
            </w:pPr>
            <w:r>
              <w:rPr>
                <w:rFonts w:ascii="Calibri" w:hAnsi="Calibri"/>
                <w:sz w:val="18"/>
              </w:rPr>
              <w:t>16.3</w:t>
            </w:r>
          </w:p>
        </w:tc>
        <w:tc>
          <w:tcPr>
            <w:tcW w:type="dxa" w:w="1656"/>
          </w:tcPr>
          <w:p>
            <w:pPr>
              <w:jc w:val="right"/>
            </w:pPr>
            <w:r>
              <w:rPr>
                <w:rFonts w:ascii="Calibri" w:hAnsi="Calibri"/>
                <w:sz w:val="18"/>
              </w:rPr>
              <w:t>1,276.4</w:t>
            </w:r>
          </w:p>
        </w:tc>
        <w:tc>
          <w:tcPr>
            <w:tcW w:type="dxa" w:w="1656"/>
          </w:tcPr>
          <w:p>
            <w:pPr>
              <w:jc w:val="right"/>
            </w:pPr>
            <w:r>
              <w:rPr>
                <w:rFonts w:ascii="Calibri" w:hAnsi="Calibri"/>
                <w:sz w:val="18"/>
              </w:rPr>
              <w:t>7.5</w:t>
            </w:r>
          </w:p>
        </w:tc>
      </w:tr>
      <w:tr>
        <w:tc>
          <w:tcPr>
            <w:tcW w:type="dxa" w:w="1656"/>
          </w:tcPr>
          <w:p>
            <w:r>
              <w:rPr>
                <w:rFonts w:ascii="Calibri" w:hAnsi="Calibri"/>
                <w:sz w:val="18"/>
              </w:rPr>
              <w:t>Climate change</w:t>
            </w:r>
          </w:p>
        </w:tc>
        <w:tc>
          <w:tcPr>
            <w:tcW w:type="dxa" w:w="1656"/>
          </w:tcPr>
          <w:p>
            <w:r>
              <w:rPr>
                <w:rFonts w:ascii="Calibri" w:hAnsi="Calibri"/>
                <w:sz w:val="18"/>
              </w:rPr>
              <w:t>kt CO₂-eq</w:t>
            </w:r>
          </w:p>
        </w:tc>
        <w:tc>
          <w:tcPr>
            <w:tcW w:type="dxa" w:w="1656"/>
          </w:tcPr>
          <w:p>
            <w:pPr>
              <w:jc w:val="right"/>
            </w:pPr>
            <w:r>
              <w:rPr>
                <w:rFonts w:ascii="Calibri" w:hAnsi="Calibri"/>
                <w:sz w:val="18"/>
              </w:rPr>
              <w:t>4,713.4</w:t>
            </w:r>
          </w:p>
        </w:tc>
        <w:tc>
          <w:tcPr>
            <w:tcW w:type="dxa" w:w="1656"/>
          </w:tcPr>
          <w:p>
            <w:pPr>
              <w:jc w:val="right"/>
            </w:pPr>
            <w:r>
              <w:rPr>
                <w:rFonts w:ascii="Calibri" w:hAnsi="Calibri"/>
                <w:sz w:val="18"/>
              </w:rPr>
              <w:t>802.5</w:t>
            </w:r>
          </w:p>
        </w:tc>
        <w:tc>
          <w:tcPr>
            <w:tcW w:type="dxa" w:w="1656"/>
          </w:tcPr>
          <w:p>
            <w:pPr>
              <w:jc w:val="right"/>
            </w:pPr>
            <w:r>
              <w:rPr>
                <w:rFonts w:ascii="Calibri" w:hAnsi="Calibri"/>
                <w:sz w:val="18"/>
              </w:rPr>
              <w:t>77,477.5</w:t>
            </w:r>
          </w:p>
        </w:tc>
        <w:tc>
          <w:tcPr>
            <w:tcW w:type="dxa" w:w="1656"/>
          </w:tcPr>
          <w:p>
            <w:pPr>
              <w:jc w:val="right"/>
            </w:pPr>
            <w:r>
              <w:rPr>
                <w:rFonts w:ascii="Calibri" w:hAnsi="Calibri"/>
                <w:sz w:val="18"/>
              </w:rPr>
              <w:t>6.1</w:t>
            </w:r>
          </w:p>
        </w:tc>
      </w:tr>
      <w:tr>
        <w:tc>
          <w:tcPr>
            <w:tcW w:type="dxa" w:w="1656"/>
          </w:tcPr>
          <w:p>
            <w:r>
              <w:rPr>
                <w:rFonts w:ascii="Calibri" w:hAnsi="Calibri"/>
                <w:sz w:val="18"/>
              </w:rPr>
              <w:t>Land use</w:t>
            </w:r>
          </w:p>
        </w:tc>
        <w:tc>
          <w:tcPr>
            <w:tcW w:type="dxa" w:w="1656"/>
          </w:tcPr>
          <w:p>
            <w:r>
              <w:rPr>
                <w:rFonts w:ascii="Calibri" w:hAnsi="Calibri"/>
                <w:sz w:val="18"/>
              </w:rPr>
              <w:t>km²</w:t>
            </w:r>
          </w:p>
        </w:tc>
        <w:tc>
          <w:tcPr>
            <w:tcW w:type="dxa" w:w="1656"/>
          </w:tcPr>
          <w:p>
            <w:pPr>
              <w:jc w:val="right"/>
            </w:pPr>
            <w:r>
              <w:rPr>
                <w:rFonts w:ascii="Calibri" w:hAnsi="Calibri"/>
                <w:sz w:val="18"/>
              </w:rPr>
              <w:t>4,855.5</w:t>
            </w:r>
          </w:p>
        </w:tc>
        <w:tc>
          <w:tcPr>
            <w:tcW w:type="dxa" w:w="1656"/>
          </w:tcPr>
          <w:p>
            <w:pPr>
              <w:jc w:val="right"/>
            </w:pPr>
            <w:r>
              <w:rPr>
                <w:rFonts w:ascii="Calibri" w:hAnsi="Calibri"/>
                <w:sz w:val="18"/>
              </w:rPr>
              <w:t>826.7</w:t>
            </w:r>
          </w:p>
        </w:tc>
        <w:tc>
          <w:tcPr>
            <w:tcW w:type="dxa" w:w="1656"/>
          </w:tcPr>
          <w:p>
            <w:pPr>
              <w:jc w:val="right"/>
            </w:pPr>
            <w:r>
              <w:rPr>
                <w:rFonts w:ascii="Calibri" w:hAnsi="Calibri"/>
                <w:sz w:val="18"/>
              </w:rPr>
              <w:t>99,466.2</w:t>
            </w:r>
          </w:p>
        </w:tc>
        <w:tc>
          <w:tcPr>
            <w:tcW w:type="dxa" w:w="1656"/>
          </w:tcPr>
          <w:p>
            <w:pPr>
              <w:jc w:val="right"/>
            </w:pPr>
            <w:r>
              <w:rPr>
                <w:rFonts w:ascii="Calibri" w:hAnsi="Calibri"/>
                <w:sz w:val="18"/>
              </w:rPr>
              <w:t>4.9</w:t>
            </w:r>
          </w:p>
        </w:tc>
      </w:tr>
      <w:tr>
        <w:tc>
          <w:tcPr>
            <w:tcW w:type="dxa" w:w="1656"/>
          </w:tcPr>
          <w:p>
            <w:r>
              <w:rPr>
                <w:rFonts w:ascii="Calibri" w:hAnsi="Calibri"/>
                <w:sz w:val="18"/>
              </w:rPr>
              <w:t>Material extraction</w:t>
            </w:r>
          </w:p>
        </w:tc>
        <w:tc>
          <w:tcPr>
            <w:tcW w:type="dxa" w:w="1656"/>
          </w:tcPr>
          <w:p>
            <w:r>
              <w:rPr>
                <w:rFonts w:ascii="Calibri" w:hAnsi="Calibri"/>
                <w:sz w:val="18"/>
              </w:rPr>
              <w:t>kt</w:t>
            </w:r>
          </w:p>
        </w:tc>
        <w:tc>
          <w:tcPr>
            <w:tcW w:type="dxa" w:w="1656"/>
          </w:tcPr>
          <w:p>
            <w:pPr>
              <w:jc w:val="right"/>
            </w:pPr>
            <w:r>
              <w:rPr>
                <w:rFonts w:ascii="Calibri" w:hAnsi="Calibri"/>
                <w:sz w:val="18"/>
              </w:rPr>
              <w:t>4,259.4</w:t>
            </w:r>
          </w:p>
        </w:tc>
        <w:tc>
          <w:tcPr>
            <w:tcW w:type="dxa" w:w="1656"/>
          </w:tcPr>
          <w:p>
            <w:pPr>
              <w:jc w:val="right"/>
            </w:pPr>
            <w:r>
              <w:rPr>
                <w:rFonts w:ascii="Calibri" w:hAnsi="Calibri"/>
                <w:sz w:val="18"/>
              </w:rPr>
              <w:t>725.2</w:t>
            </w:r>
          </w:p>
        </w:tc>
        <w:tc>
          <w:tcPr>
            <w:tcW w:type="dxa" w:w="1656"/>
          </w:tcPr>
          <w:p>
            <w:pPr>
              <w:jc w:val="right"/>
            </w:pPr>
            <w:r>
              <w:rPr>
                <w:rFonts w:ascii="Calibri" w:hAnsi="Calibri"/>
                <w:sz w:val="18"/>
              </w:rPr>
              <w:t>53,939.3</w:t>
            </w:r>
          </w:p>
        </w:tc>
        <w:tc>
          <w:tcPr>
            <w:tcW w:type="dxa" w:w="1656"/>
          </w:tcPr>
          <w:p>
            <w:pPr>
              <w:jc w:val="right"/>
            </w:pPr>
            <w:r>
              <w:rPr>
                <w:rFonts w:ascii="Calibri" w:hAnsi="Calibri"/>
                <w:sz w:val="18"/>
              </w:rPr>
              <w:t>7.9</w:t>
            </w:r>
          </w:p>
        </w:tc>
      </w:tr>
      <w:tr>
        <w:tc>
          <w:tcPr>
            <w:tcW w:type="dxa" w:w="1656"/>
          </w:tcPr>
          <w:p>
            <w:r>
              <w:rPr>
                <w:rFonts w:ascii="Calibri" w:hAnsi="Calibri"/>
                <w:sz w:val="18"/>
              </w:rPr>
              <w:t>Waste generation</w:t>
            </w:r>
          </w:p>
        </w:tc>
        <w:tc>
          <w:tcPr>
            <w:tcW w:type="dxa" w:w="1656"/>
          </w:tcPr>
          <w:p>
            <w:r>
              <w:rPr>
                <w:rFonts w:ascii="Calibri" w:hAnsi="Calibri"/>
                <w:sz w:val="18"/>
              </w:rPr>
              <w:t>kt</w:t>
            </w:r>
          </w:p>
        </w:tc>
        <w:tc>
          <w:tcPr>
            <w:tcW w:type="dxa" w:w="1656"/>
          </w:tcPr>
          <w:p>
            <w:pPr>
              <w:jc w:val="right"/>
            </w:pPr>
            <w:r>
              <w:rPr>
                <w:rFonts w:ascii="Calibri" w:hAnsi="Calibri"/>
                <w:sz w:val="18"/>
              </w:rPr>
              <w:t>259.4</w:t>
            </w:r>
          </w:p>
        </w:tc>
        <w:tc>
          <w:tcPr>
            <w:tcW w:type="dxa" w:w="1656"/>
          </w:tcPr>
          <w:p>
            <w:pPr>
              <w:jc w:val="right"/>
            </w:pPr>
            <w:r>
              <w:rPr>
                <w:rFonts w:ascii="Calibri" w:hAnsi="Calibri"/>
                <w:sz w:val="18"/>
              </w:rPr>
              <w:t>44.2</w:t>
            </w:r>
          </w:p>
        </w:tc>
        <w:tc>
          <w:tcPr>
            <w:tcW w:type="dxa" w:w="1656"/>
          </w:tcPr>
          <w:p>
            <w:pPr>
              <w:jc w:val="right"/>
            </w:pPr>
            <w:r>
              <w:rPr>
                <w:rFonts w:ascii="Calibri" w:hAnsi="Calibri"/>
                <w:sz w:val="18"/>
              </w:rPr>
              <w:t>10,587.3</w:t>
            </w:r>
          </w:p>
        </w:tc>
        <w:tc>
          <w:tcPr>
            <w:tcW w:type="dxa" w:w="1656"/>
          </w:tcPr>
          <w:p>
            <w:pPr>
              <w:jc w:val="right"/>
            </w:pPr>
            <w:r>
              <w:rPr>
                <w:rFonts w:ascii="Calibri" w:hAnsi="Calibri"/>
                <w:sz w:val="18"/>
              </w:rPr>
              <w:t>2.5</w:t>
            </w:r>
          </w:p>
        </w:tc>
      </w:tr>
    </w:tbl>
    <w:p>
      <w:r>
        <w:rPr>
          <w:color w:val="253331"/>
          <w:sz w:val="18"/>
        </w:rPr>
        <w:t>Note. The study's headline. Health and eldercare on the SHA boundary, climate on IPCC AR6 global warming potentials, capital excluded from the boundary. Per-person values use the Danish population of 5,873,420 in 2022.</w:t>
      </w:r>
    </w:p>
    <w:p>
      <w:r>
        <w:rPr>
          <w:i/>
          <w:color w:val="C1502E"/>
          <w:sz w:val="18"/>
        </w:rPr>
        <w:t>Supersedes. A climate figure of 4,629 kt appears in earlier material. That was computed on AR4 global warming potentials; the study now reports AR6, which includes the fossil and non-fossil methane split that AR4's single factor of 25 did not make.</w:t>
      </w:r>
    </w:p>
    <w:p>
      <w:r>
        <w:rPr>
          <w:color w:val="6B7F7B"/>
          <w:sz w:val="17"/>
        </w:rPr>
        <w:t>Source. 01_eriksen_replication/2022/figure1_activity_contributions.csv and 00_core_footprint/national_totals_summary.csv</w:t>
      </w:r>
    </w:p>
    <w:p/>
    <w:p>
      <w:r>
        <w:rPr>
          <w:rFonts w:ascii="Cambria" w:hAnsi="Cambria"/>
          <w:b/>
          <w:color w:val="0B4F4A"/>
          <w:sz w:val="22"/>
        </w:rPr>
        <w:t>Table 2. The two reference years differ by three things at once, so the change is not a trend</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0B4F4A"/>
          </w:tcPr>
          <w:p>
            <w:r>
              <w:rPr>
                <w:rFonts w:ascii="Calibri" w:hAnsi="Calibri"/>
                <w:b/>
                <w:sz w:val="18"/>
                <w:color w:val="FFFFFF"/>
              </w:rPr>
              <w:t>Impact category</w:t>
            </w:r>
          </w:p>
        </w:tc>
        <w:tc>
          <w:tcPr>
            <w:tcW w:type="dxa" w:w="1987"/>
            <w:shd w:val="clear" w:fill="0B4F4A"/>
          </w:tcPr>
          <w:p>
            <w:r>
              <w:rPr>
                <w:rFonts w:ascii="Calibri" w:hAnsi="Calibri"/>
                <w:b/>
                <w:sz w:val="18"/>
                <w:color w:val="FFFFFF"/>
              </w:rPr>
              <w:t>Unit</w:t>
            </w:r>
          </w:p>
        </w:tc>
        <w:tc>
          <w:tcPr>
            <w:tcW w:type="dxa" w:w="1987"/>
            <w:shd w:val="clear" w:fill="0B4F4A"/>
          </w:tcPr>
          <w:p>
            <w:r>
              <w:rPr>
                <w:rFonts w:ascii="Calibri" w:hAnsi="Calibri"/>
                <w:b/>
                <w:sz w:val="18"/>
                <w:color w:val="FFFFFF"/>
              </w:rPr>
              <w:t>2019</w:t>
            </w:r>
          </w:p>
        </w:tc>
        <w:tc>
          <w:tcPr>
            <w:tcW w:type="dxa" w:w="1987"/>
            <w:shd w:val="clear" w:fill="0B4F4A"/>
          </w:tcPr>
          <w:p>
            <w:r>
              <w:rPr>
                <w:rFonts w:ascii="Calibri" w:hAnsi="Calibri"/>
                <w:b/>
                <w:sz w:val="18"/>
                <w:color w:val="FFFFFF"/>
              </w:rPr>
              <w:t>2022</w:t>
            </w:r>
          </w:p>
        </w:tc>
        <w:tc>
          <w:tcPr>
            <w:tcW w:type="dxa" w:w="1987"/>
            <w:shd w:val="clear" w:fill="0B4F4A"/>
          </w:tcPr>
          <w:p>
            <w:r>
              <w:rPr>
                <w:rFonts w:ascii="Calibri" w:hAnsi="Calibri"/>
                <w:b/>
                <w:sz w:val="18"/>
                <w:color w:val="FFFFFF"/>
              </w:rPr>
              <w:t>Change (%)</w:t>
            </w:r>
          </w:p>
        </w:tc>
      </w:tr>
      <w:tr>
        <w:tc>
          <w:tcPr>
            <w:tcW w:type="dxa" w:w="1987"/>
          </w:tcPr>
          <w:p>
            <w:r>
              <w:rPr>
                <w:rFonts w:ascii="Calibri" w:hAnsi="Calibri"/>
                <w:sz w:val="18"/>
              </w:rPr>
              <w:t>Blue water consumption</w:t>
            </w:r>
          </w:p>
        </w:tc>
        <w:tc>
          <w:tcPr>
            <w:tcW w:type="dxa" w:w="1987"/>
          </w:tcPr>
          <w:p>
            <w:r>
              <w:rPr>
                <w:rFonts w:ascii="Calibri" w:hAnsi="Calibri"/>
                <w:sz w:val="18"/>
              </w:rPr>
              <w:t>Mm³</w:t>
            </w:r>
          </w:p>
        </w:tc>
        <w:tc>
          <w:tcPr>
            <w:tcW w:type="dxa" w:w="1987"/>
          </w:tcPr>
          <w:p>
            <w:pPr>
              <w:jc w:val="right"/>
            </w:pPr>
            <w:r>
              <w:rPr>
                <w:rFonts w:ascii="Calibri" w:hAnsi="Calibri"/>
                <w:sz w:val="18"/>
              </w:rPr>
              <w:t>57.5</w:t>
            </w:r>
          </w:p>
        </w:tc>
        <w:tc>
          <w:tcPr>
            <w:tcW w:type="dxa" w:w="1987"/>
          </w:tcPr>
          <w:p>
            <w:pPr>
              <w:jc w:val="right"/>
            </w:pPr>
            <w:r>
              <w:rPr>
                <w:rFonts w:ascii="Calibri" w:hAnsi="Calibri"/>
                <w:sz w:val="18"/>
              </w:rPr>
              <w:t>95.5</w:t>
            </w:r>
          </w:p>
        </w:tc>
        <w:tc>
          <w:tcPr>
            <w:tcW w:type="dxa" w:w="1987"/>
          </w:tcPr>
          <w:p>
            <w:pPr>
              <w:jc w:val="right"/>
            </w:pPr>
            <w:r>
              <w:rPr>
                <w:rFonts w:ascii="Calibri" w:hAnsi="Calibri"/>
                <w:sz w:val="18"/>
              </w:rPr>
              <w:t>66.2</w:t>
            </w:r>
          </w:p>
        </w:tc>
      </w:tr>
      <w:tr>
        <w:tc>
          <w:tcPr>
            <w:tcW w:type="dxa" w:w="1987"/>
          </w:tcPr>
          <w:p>
            <w:r>
              <w:rPr>
                <w:rFonts w:ascii="Calibri" w:hAnsi="Calibri"/>
                <w:sz w:val="18"/>
              </w:rPr>
              <w:t>Climate change</w:t>
            </w:r>
          </w:p>
        </w:tc>
        <w:tc>
          <w:tcPr>
            <w:tcW w:type="dxa" w:w="1987"/>
          </w:tcPr>
          <w:p>
            <w:r>
              <w:rPr>
                <w:rFonts w:ascii="Calibri" w:hAnsi="Calibri"/>
                <w:sz w:val="18"/>
              </w:rPr>
              <w:t>kt CO₂-eq</w:t>
            </w:r>
          </w:p>
        </w:tc>
        <w:tc>
          <w:tcPr>
            <w:tcW w:type="dxa" w:w="1987"/>
          </w:tcPr>
          <w:p>
            <w:pPr>
              <w:jc w:val="right"/>
            </w:pPr>
            <w:r>
              <w:rPr>
                <w:rFonts w:ascii="Calibri" w:hAnsi="Calibri"/>
                <w:sz w:val="18"/>
              </w:rPr>
              <w:t>6,361.3</w:t>
            </w:r>
          </w:p>
        </w:tc>
        <w:tc>
          <w:tcPr>
            <w:tcW w:type="dxa" w:w="1987"/>
          </w:tcPr>
          <w:p>
            <w:pPr>
              <w:jc w:val="right"/>
            </w:pPr>
            <w:r>
              <w:rPr>
                <w:rFonts w:ascii="Calibri" w:hAnsi="Calibri"/>
                <w:sz w:val="18"/>
              </w:rPr>
              <w:t>4,713.4</w:t>
            </w:r>
          </w:p>
        </w:tc>
        <w:tc>
          <w:tcPr>
            <w:tcW w:type="dxa" w:w="1987"/>
          </w:tcPr>
          <w:p>
            <w:pPr>
              <w:jc w:val="right"/>
            </w:pPr>
            <w:r>
              <w:rPr>
                <w:rFonts w:ascii="Calibri" w:hAnsi="Calibri"/>
                <w:sz w:val="18"/>
              </w:rPr>
              <w:t>-25.9</w:t>
            </w:r>
          </w:p>
        </w:tc>
      </w:tr>
      <w:tr>
        <w:tc>
          <w:tcPr>
            <w:tcW w:type="dxa" w:w="1987"/>
          </w:tcPr>
          <w:p>
            <w:r>
              <w:rPr>
                <w:rFonts w:ascii="Calibri" w:hAnsi="Calibri"/>
                <w:sz w:val="18"/>
              </w:rPr>
              <w:t>Land use</w:t>
            </w:r>
          </w:p>
        </w:tc>
        <w:tc>
          <w:tcPr>
            <w:tcW w:type="dxa" w:w="1987"/>
          </w:tcPr>
          <w:p>
            <w:r>
              <w:rPr>
                <w:rFonts w:ascii="Calibri" w:hAnsi="Calibri"/>
                <w:sz w:val="18"/>
              </w:rPr>
              <w:t>km²</w:t>
            </w:r>
          </w:p>
        </w:tc>
        <w:tc>
          <w:tcPr>
            <w:tcW w:type="dxa" w:w="1987"/>
          </w:tcPr>
          <w:p>
            <w:pPr>
              <w:jc w:val="right"/>
            </w:pPr>
            <w:r>
              <w:rPr>
                <w:rFonts w:ascii="Calibri" w:hAnsi="Calibri"/>
                <w:sz w:val="18"/>
              </w:rPr>
              <w:t>3,515.3</w:t>
            </w:r>
          </w:p>
        </w:tc>
        <w:tc>
          <w:tcPr>
            <w:tcW w:type="dxa" w:w="1987"/>
          </w:tcPr>
          <w:p>
            <w:pPr>
              <w:jc w:val="right"/>
            </w:pPr>
            <w:r>
              <w:rPr>
                <w:rFonts w:ascii="Calibri" w:hAnsi="Calibri"/>
                <w:sz w:val="18"/>
              </w:rPr>
              <w:t>4,855.5</w:t>
            </w:r>
          </w:p>
        </w:tc>
        <w:tc>
          <w:tcPr>
            <w:tcW w:type="dxa" w:w="1987"/>
          </w:tcPr>
          <w:p>
            <w:pPr>
              <w:jc w:val="right"/>
            </w:pPr>
            <w:r>
              <w:rPr>
                <w:rFonts w:ascii="Calibri" w:hAnsi="Calibri"/>
                <w:sz w:val="18"/>
              </w:rPr>
              <w:t>38.1</w:t>
            </w:r>
          </w:p>
        </w:tc>
      </w:tr>
      <w:tr>
        <w:tc>
          <w:tcPr>
            <w:tcW w:type="dxa" w:w="1987"/>
          </w:tcPr>
          <w:p>
            <w:r>
              <w:rPr>
                <w:rFonts w:ascii="Calibri" w:hAnsi="Calibri"/>
                <w:sz w:val="18"/>
              </w:rPr>
              <w:t>Material extraction</w:t>
            </w:r>
          </w:p>
        </w:tc>
        <w:tc>
          <w:tcPr>
            <w:tcW w:type="dxa" w:w="1987"/>
          </w:tcPr>
          <w:p>
            <w:r>
              <w:rPr>
                <w:rFonts w:ascii="Calibri" w:hAnsi="Calibri"/>
                <w:sz w:val="18"/>
              </w:rPr>
              <w:t>kt</w:t>
            </w:r>
          </w:p>
        </w:tc>
        <w:tc>
          <w:tcPr>
            <w:tcW w:type="dxa" w:w="1987"/>
          </w:tcPr>
          <w:p>
            <w:pPr>
              <w:jc w:val="right"/>
            </w:pPr>
            <w:r>
              <w:rPr>
                <w:rFonts w:ascii="Calibri" w:hAnsi="Calibri"/>
                <w:sz w:val="18"/>
              </w:rPr>
              <w:t>3,127.7</w:t>
            </w:r>
          </w:p>
        </w:tc>
        <w:tc>
          <w:tcPr>
            <w:tcW w:type="dxa" w:w="1987"/>
          </w:tcPr>
          <w:p>
            <w:pPr>
              <w:jc w:val="right"/>
            </w:pPr>
            <w:r>
              <w:rPr>
                <w:rFonts w:ascii="Calibri" w:hAnsi="Calibri"/>
                <w:sz w:val="18"/>
              </w:rPr>
              <w:t>4,259.4</w:t>
            </w:r>
          </w:p>
        </w:tc>
        <w:tc>
          <w:tcPr>
            <w:tcW w:type="dxa" w:w="1987"/>
          </w:tcPr>
          <w:p>
            <w:pPr>
              <w:jc w:val="right"/>
            </w:pPr>
            <w:r>
              <w:rPr>
                <w:rFonts w:ascii="Calibri" w:hAnsi="Calibri"/>
                <w:sz w:val="18"/>
              </w:rPr>
              <w:t>36.2</w:t>
            </w:r>
          </w:p>
        </w:tc>
      </w:tr>
      <w:tr>
        <w:tc>
          <w:tcPr>
            <w:tcW w:type="dxa" w:w="1987"/>
          </w:tcPr>
          <w:p>
            <w:r>
              <w:rPr>
                <w:rFonts w:ascii="Calibri" w:hAnsi="Calibri"/>
                <w:sz w:val="18"/>
              </w:rPr>
              <w:t>Waste generation</w:t>
            </w:r>
          </w:p>
        </w:tc>
        <w:tc>
          <w:tcPr>
            <w:tcW w:type="dxa" w:w="1987"/>
          </w:tcPr>
          <w:p>
            <w:r>
              <w:rPr>
                <w:rFonts w:ascii="Calibri" w:hAnsi="Calibri"/>
                <w:sz w:val="18"/>
              </w:rPr>
              <w:t>kt</w:t>
            </w:r>
          </w:p>
        </w:tc>
        <w:tc>
          <w:tcPr>
            <w:tcW w:type="dxa" w:w="1987"/>
          </w:tcPr>
          <w:p>
            <w:pPr>
              <w:jc w:val="right"/>
            </w:pPr>
            <w:r>
              <w:rPr>
                <w:rFonts w:ascii="Calibri" w:hAnsi="Calibri"/>
                <w:sz w:val="18"/>
              </w:rPr>
              <w:t>275.3</w:t>
            </w:r>
          </w:p>
        </w:tc>
        <w:tc>
          <w:tcPr>
            <w:tcW w:type="dxa" w:w="1987"/>
          </w:tcPr>
          <w:p>
            <w:pPr>
              <w:jc w:val="right"/>
            </w:pPr>
            <w:r>
              <w:rPr>
                <w:rFonts w:ascii="Calibri" w:hAnsi="Calibri"/>
                <w:sz w:val="18"/>
              </w:rPr>
              <w:t>259.4</w:t>
            </w:r>
          </w:p>
        </w:tc>
        <w:tc>
          <w:tcPr>
            <w:tcW w:type="dxa" w:w="1987"/>
          </w:tcPr>
          <w:p>
            <w:pPr>
              <w:jc w:val="right"/>
            </w:pPr>
            <w:r>
              <w:rPr>
                <w:rFonts w:ascii="Calibri" w:hAnsi="Calibri"/>
                <w:sz w:val="18"/>
              </w:rPr>
              <w:t>-5.8</w:t>
            </w:r>
          </w:p>
        </w:tc>
      </w:tr>
    </w:tbl>
    <w:p>
      <w:r>
        <w:rPr>
          <w:color w:val="253331"/>
          <w:sz w:val="18"/>
        </w:rPr>
        <w:t>Note. The runs differ in reference year, in background vintage (EXIOBASE IOT_2016 against IOT_2022) and in whether the Danish sea-transport reallocation is applied, which it is only for 2022. The corrected demand vector is used in both, so it is not part of the difference. Table 3 decomposes the climate movement.</w:t>
      </w:r>
    </w:p>
    <w:p>
      <w:r>
        <w:rPr>
          <w:color w:val="6B7F7B"/>
          <w:sz w:val="17"/>
        </w:rPr>
        <w:t>Source. 06_benchmarks_validation/year_comparison_2019_2022.csv</w:t>
      </w:r>
    </w:p>
    <w:p/>
    <w:p>
      <w:r>
        <w:rPr>
          <w:rFonts w:ascii="Cambria" w:hAnsi="Cambria"/>
          <w:b/>
          <w:color w:val="0B4F4A"/>
          <w:sz w:val="22"/>
        </w:rPr>
        <w:t>Table 3. Two activity groups account for the whole climate movement, in opposite directions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0B4F4A"/>
          </w:tcPr>
          <w:p>
            <w:r>
              <w:rPr>
                <w:rFonts w:ascii="Calibri" w:hAnsi="Calibri"/>
                <w:b/>
                <w:sz w:val="18"/>
                <w:color w:val="FFFFFF"/>
              </w:rPr>
              <w:t>Activity group</w:t>
            </w:r>
          </w:p>
        </w:tc>
        <w:tc>
          <w:tcPr>
            <w:tcW w:type="dxa" w:w="1987"/>
            <w:shd w:val="clear" w:fill="0B4F4A"/>
          </w:tcPr>
          <w:p>
            <w:r>
              <w:rPr>
                <w:rFonts w:ascii="Calibri" w:hAnsi="Calibri"/>
                <w:b/>
                <w:sz w:val="18"/>
                <w:color w:val="FFFFFF"/>
              </w:rPr>
              <w:t>2019 (kt CO₂-eq)</w:t>
            </w:r>
          </w:p>
        </w:tc>
        <w:tc>
          <w:tcPr>
            <w:tcW w:type="dxa" w:w="1987"/>
            <w:shd w:val="clear" w:fill="0B4F4A"/>
          </w:tcPr>
          <w:p>
            <w:r>
              <w:rPr>
                <w:rFonts w:ascii="Calibri" w:hAnsi="Calibri"/>
                <w:b/>
                <w:sz w:val="18"/>
                <w:color w:val="FFFFFF"/>
              </w:rPr>
              <w:t>2022 (kt CO₂-eq)</w:t>
            </w:r>
          </w:p>
        </w:tc>
        <w:tc>
          <w:tcPr>
            <w:tcW w:type="dxa" w:w="1987"/>
            <w:shd w:val="clear" w:fill="0B4F4A"/>
          </w:tcPr>
          <w:p>
            <w:r>
              <w:rPr>
                <w:rFonts w:ascii="Calibri" w:hAnsi="Calibri"/>
                <w:b/>
                <w:sz w:val="18"/>
                <w:color w:val="FFFFFF"/>
              </w:rPr>
              <w:t>Change (kt)</w:t>
            </w:r>
          </w:p>
        </w:tc>
        <w:tc>
          <w:tcPr>
            <w:tcW w:type="dxa" w:w="1987"/>
            <w:shd w:val="clear" w:fill="0B4F4A"/>
          </w:tcPr>
          <w:p>
            <w:r>
              <w:rPr>
                <w:rFonts w:ascii="Calibri" w:hAnsi="Calibri"/>
                <w:b/>
                <w:sz w:val="18"/>
                <w:color w:val="FFFFFF"/>
              </w:rPr>
              <w:t>Driver</w:t>
            </w:r>
          </w:p>
        </w:tc>
      </w:tr>
      <w:tr>
        <w:tc>
          <w:tcPr>
            <w:tcW w:type="dxa" w:w="1987"/>
          </w:tcPr>
          <w:p>
            <w:r>
              <w:rPr>
                <w:rFonts w:ascii="Calibri" w:hAnsi="Calibri"/>
                <w:sz w:val="18"/>
              </w:rPr>
              <w:t>Transport</w:t>
            </w:r>
          </w:p>
        </w:tc>
        <w:tc>
          <w:tcPr>
            <w:tcW w:type="dxa" w:w="1987"/>
          </w:tcPr>
          <w:p>
            <w:pPr>
              <w:jc w:val="right"/>
            </w:pPr>
            <w:r>
              <w:rPr>
                <w:rFonts w:ascii="Calibri" w:hAnsi="Calibri"/>
                <w:sz w:val="18"/>
              </w:rPr>
              <w:t>2,605.2</w:t>
            </w:r>
          </w:p>
        </w:tc>
        <w:tc>
          <w:tcPr>
            <w:tcW w:type="dxa" w:w="1987"/>
          </w:tcPr>
          <w:p>
            <w:pPr>
              <w:jc w:val="right"/>
            </w:pPr>
            <w:r>
              <w:rPr>
                <w:rFonts w:ascii="Calibri" w:hAnsi="Calibri"/>
                <w:sz w:val="18"/>
              </w:rPr>
              <w:t>595.8</w:t>
            </w:r>
          </w:p>
        </w:tc>
        <w:tc>
          <w:tcPr>
            <w:tcW w:type="dxa" w:w="1987"/>
          </w:tcPr>
          <w:p>
            <w:pPr>
              <w:jc w:val="right"/>
            </w:pPr>
            <w:r>
              <w:rPr>
                <w:rFonts w:ascii="Calibri" w:hAnsi="Calibri"/>
                <w:sz w:val="18"/>
              </w:rPr>
              <w:t>-2,009.3</w:t>
            </w:r>
          </w:p>
        </w:tc>
        <w:tc>
          <w:tcPr>
            <w:tcW w:type="dxa" w:w="1987"/>
          </w:tcPr>
          <w:p>
            <w:r>
              <w:rPr>
                <w:rFonts w:ascii="Calibri" w:hAnsi="Calibri"/>
                <w:sz w:val="18"/>
              </w:rPr>
              <w:t>sea-transport reallocation, applied in 2022 only</w:t>
            </w:r>
          </w:p>
        </w:tc>
      </w:tr>
      <w:tr>
        <w:tc>
          <w:tcPr>
            <w:tcW w:type="dxa" w:w="1987"/>
          </w:tcPr>
          <w:p>
            <w:r>
              <w:rPr>
                <w:rFonts w:ascii="Calibri" w:hAnsi="Calibri"/>
                <w:sz w:val="18"/>
              </w:rPr>
              <w:t>Pharmaceuticals and chemical products</w:t>
            </w:r>
          </w:p>
        </w:tc>
        <w:tc>
          <w:tcPr>
            <w:tcW w:type="dxa" w:w="1987"/>
          </w:tcPr>
          <w:p>
            <w:pPr>
              <w:jc w:val="right"/>
            </w:pPr>
            <w:r>
              <w:rPr>
                <w:rFonts w:ascii="Calibri" w:hAnsi="Calibri"/>
                <w:sz w:val="18"/>
              </w:rPr>
              <w:t>851.0</w:t>
            </w:r>
          </w:p>
        </w:tc>
        <w:tc>
          <w:tcPr>
            <w:tcW w:type="dxa" w:w="1987"/>
          </w:tcPr>
          <w:p>
            <w:pPr>
              <w:jc w:val="right"/>
            </w:pPr>
            <w:r>
              <w:rPr>
                <w:rFonts w:ascii="Calibri" w:hAnsi="Calibri"/>
                <w:sz w:val="18"/>
              </w:rPr>
              <w:t>1,738.3</w:t>
            </w:r>
          </w:p>
        </w:tc>
        <w:tc>
          <w:tcPr>
            <w:tcW w:type="dxa" w:w="1987"/>
          </w:tcPr>
          <w:p>
            <w:pPr>
              <w:jc w:val="right"/>
            </w:pPr>
            <w:r>
              <w:rPr>
                <w:rFonts w:ascii="Calibri" w:hAnsi="Calibri"/>
                <w:sz w:val="18"/>
              </w:rPr>
              <w:t>887.3</w:t>
            </w:r>
          </w:p>
        </w:tc>
        <w:tc>
          <w:tcPr>
            <w:tcW w:type="dxa" w:w="1987"/>
          </w:tcPr>
          <w:p>
            <w:r>
              <w:rPr>
                <w:rFonts w:ascii="Calibri" w:hAnsi="Calibri"/>
                <w:sz w:val="18"/>
              </w:rPr>
              <w:t>expenditure growth and a larger chemicals block in IOT_2022</w:t>
            </w:r>
          </w:p>
        </w:tc>
      </w:tr>
      <w:tr>
        <w:tc>
          <w:tcPr>
            <w:tcW w:type="dxa" w:w="1987"/>
          </w:tcPr>
          <w:p>
            <w:r>
              <w:rPr>
                <w:rFonts w:ascii="Calibri" w:hAnsi="Calibri"/>
                <w:sz w:val="18"/>
              </w:rPr>
              <w:t>Services</w:t>
            </w:r>
          </w:p>
        </w:tc>
        <w:tc>
          <w:tcPr>
            <w:tcW w:type="dxa" w:w="1987"/>
          </w:tcPr>
          <w:p>
            <w:pPr>
              <w:jc w:val="right"/>
            </w:pPr>
            <w:r>
              <w:rPr>
                <w:rFonts w:ascii="Calibri" w:hAnsi="Calibri"/>
                <w:sz w:val="18"/>
              </w:rPr>
              <w:t>914.4</w:t>
            </w:r>
          </w:p>
        </w:tc>
        <w:tc>
          <w:tcPr>
            <w:tcW w:type="dxa" w:w="1987"/>
          </w:tcPr>
          <w:p>
            <w:pPr>
              <w:jc w:val="right"/>
            </w:pPr>
            <w:r>
              <w:rPr>
                <w:rFonts w:ascii="Calibri" w:hAnsi="Calibri"/>
                <w:sz w:val="18"/>
              </w:rPr>
              <w:t>618.7</w:t>
            </w:r>
          </w:p>
        </w:tc>
        <w:tc>
          <w:tcPr>
            <w:tcW w:type="dxa" w:w="1987"/>
          </w:tcPr>
          <w:p>
            <w:pPr>
              <w:jc w:val="right"/>
            </w:pPr>
            <w:r>
              <w:rPr>
                <w:rFonts w:ascii="Calibri" w:hAnsi="Calibri"/>
                <w:sz w:val="18"/>
              </w:rPr>
              <w:t>-295.7</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Unallocated</w:t>
            </w:r>
          </w:p>
        </w:tc>
        <w:tc>
          <w:tcPr>
            <w:tcW w:type="dxa" w:w="1987"/>
          </w:tcPr>
          <w:p>
            <w:pPr>
              <w:jc w:val="right"/>
            </w:pPr>
            <w:r>
              <w:rPr>
                <w:rFonts w:ascii="Calibri" w:hAnsi="Calibri"/>
                <w:sz w:val="18"/>
              </w:rPr>
              <w:t>487.6</w:t>
            </w:r>
          </w:p>
        </w:tc>
        <w:tc>
          <w:tcPr>
            <w:tcW w:type="dxa" w:w="1987"/>
          </w:tcPr>
          <w:p>
            <w:pPr>
              <w:jc w:val="right"/>
            </w:pPr>
            <w:r>
              <w:rPr>
                <w:rFonts w:ascii="Calibri" w:hAnsi="Calibri"/>
                <w:sz w:val="18"/>
              </w:rPr>
              <w:t>293.4</w:t>
            </w:r>
          </w:p>
        </w:tc>
        <w:tc>
          <w:tcPr>
            <w:tcW w:type="dxa" w:w="1987"/>
          </w:tcPr>
          <w:p>
            <w:pPr>
              <w:jc w:val="right"/>
            </w:pPr>
            <w:r>
              <w:rPr>
                <w:rFonts w:ascii="Calibri" w:hAnsi="Calibri"/>
                <w:sz w:val="18"/>
              </w:rPr>
              <w:t>-194.2</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Medical, electrical equipment and machinery</w:t>
            </w:r>
          </w:p>
        </w:tc>
        <w:tc>
          <w:tcPr>
            <w:tcW w:type="dxa" w:w="1987"/>
          </w:tcPr>
          <w:p>
            <w:pPr>
              <w:jc w:val="right"/>
            </w:pPr>
            <w:r>
              <w:rPr>
                <w:rFonts w:ascii="Calibri" w:hAnsi="Calibri"/>
                <w:sz w:val="18"/>
              </w:rPr>
              <w:t>241.1</w:t>
            </w:r>
          </w:p>
        </w:tc>
        <w:tc>
          <w:tcPr>
            <w:tcW w:type="dxa" w:w="1987"/>
          </w:tcPr>
          <w:p>
            <w:pPr>
              <w:jc w:val="right"/>
            </w:pPr>
            <w:r>
              <w:rPr>
                <w:rFonts w:ascii="Calibri" w:hAnsi="Calibri"/>
                <w:sz w:val="18"/>
              </w:rPr>
              <w:t>200.5</w:t>
            </w:r>
          </w:p>
        </w:tc>
        <w:tc>
          <w:tcPr>
            <w:tcW w:type="dxa" w:w="1987"/>
          </w:tcPr>
          <w:p>
            <w:pPr>
              <w:jc w:val="right"/>
            </w:pPr>
            <w:r>
              <w:rPr>
                <w:rFonts w:ascii="Calibri" w:hAnsi="Calibri"/>
                <w:sz w:val="18"/>
              </w:rPr>
              <w:t>-40.6</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Operational impacts</w:t>
            </w:r>
          </w:p>
        </w:tc>
        <w:tc>
          <w:tcPr>
            <w:tcW w:type="dxa" w:w="1987"/>
          </w:tcPr>
          <w:p>
            <w:pPr>
              <w:jc w:val="right"/>
            </w:pPr>
            <w:r>
              <w:rPr>
                <w:rFonts w:ascii="Calibri" w:hAnsi="Calibri"/>
                <w:sz w:val="18"/>
              </w:rPr>
              <w:t>164.3</w:t>
            </w:r>
          </w:p>
        </w:tc>
        <w:tc>
          <w:tcPr>
            <w:tcW w:type="dxa" w:w="1987"/>
          </w:tcPr>
          <w:p>
            <w:pPr>
              <w:jc w:val="right"/>
            </w:pPr>
            <w:r>
              <w:rPr>
                <w:rFonts w:ascii="Calibri" w:hAnsi="Calibri"/>
                <w:sz w:val="18"/>
              </w:rPr>
              <w:t>131.1</w:t>
            </w:r>
          </w:p>
        </w:tc>
        <w:tc>
          <w:tcPr>
            <w:tcW w:type="dxa" w:w="1987"/>
          </w:tcPr>
          <w:p>
            <w:pPr>
              <w:jc w:val="right"/>
            </w:pPr>
            <w:r>
              <w:rPr>
                <w:rFonts w:ascii="Calibri" w:hAnsi="Calibri"/>
                <w:sz w:val="18"/>
              </w:rPr>
              <w:t>-33.3</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Food and food services</w:t>
            </w:r>
          </w:p>
        </w:tc>
        <w:tc>
          <w:tcPr>
            <w:tcW w:type="dxa" w:w="1987"/>
          </w:tcPr>
          <w:p>
            <w:pPr>
              <w:jc w:val="right"/>
            </w:pPr>
            <w:r>
              <w:rPr>
                <w:rFonts w:ascii="Calibri" w:hAnsi="Calibri"/>
                <w:sz w:val="18"/>
              </w:rPr>
              <w:t>403.8</w:t>
            </w:r>
          </w:p>
        </w:tc>
        <w:tc>
          <w:tcPr>
            <w:tcW w:type="dxa" w:w="1987"/>
          </w:tcPr>
          <w:p>
            <w:pPr>
              <w:jc w:val="right"/>
            </w:pPr>
            <w:r>
              <w:rPr>
                <w:rFonts w:ascii="Calibri" w:hAnsi="Calibri"/>
                <w:sz w:val="18"/>
              </w:rPr>
              <w:t>434.1</w:t>
            </w:r>
          </w:p>
        </w:tc>
        <w:tc>
          <w:tcPr>
            <w:tcW w:type="dxa" w:w="1987"/>
          </w:tcPr>
          <w:p>
            <w:pPr>
              <w:jc w:val="right"/>
            </w:pPr>
            <w:r>
              <w:rPr>
                <w:rFonts w:ascii="Calibri" w:hAnsi="Calibri"/>
                <w:sz w:val="18"/>
              </w:rPr>
              <w:t>30.3</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Individual travel</w:t>
            </w:r>
          </w:p>
        </w:tc>
        <w:tc>
          <w:tcPr>
            <w:tcW w:type="dxa" w:w="1987"/>
          </w:tcPr>
          <w:p>
            <w:pPr>
              <w:jc w:val="right"/>
            </w:pPr>
            <w:r>
              <w:rPr>
                <w:rFonts w:ascii="Calibri" w:hAnsi="Calibri"/>
                <w:sz w:val="18"/>
              </w:rPr>
              <w:t>621.4</w:t>
            </w:r>
          </w:p>
        </w:tc>
        <w:tc>
          <w:tcPr>
            <w:tcW w:type="dxa" w:w="1987"/>
          </w:tcPr>
          <w:p>
            <w:pPr>
              <w:jc w:val="right"/>
            </w:pPr>
            <w:r>
              <w:rPr>
                <w:rFonts w:ascii="Calibri" w:hAnsi="Calibri"/>
                <w:sz w:val="18"/>
              </w:rPr>
              <w:t>627.3</w:t>
            </w:r>
          </w:p>
        </w:tc>
        <w:tc>
          <w:tcPr>
            <w:tcW w:type="dxa" w:w="1987"/>
          </w:tcPr>
          <w:p>
            <w:pPr>
              <w:jc w:val="right"/>
            </w:pPr>
            <w:r>
              <w:rPr>
                <w:rFonts w:ascii="Calibri" w:hAnsi="Calibri"/>
                <w:sz w:val="18"/>
              </w:rPr>
              <w:t>5.9</w:t>
            </w:r>
          </w:p>
        </w:tc>
        <w:tc>
          <w:tcPr>
            <w:tcW w:type="dxa" w:w="1987"/>
          </w:tcPr>
          <w:p>
            <w:r>
              <w:rPr>
                <w:rFonts w:ascii="Calibri" w:hAnsi="Calibri"/>
                <w:sz w:val="18"/>
              </w:rPr>
              <w:t>background model and expenditure, no single dominant cause</w:t>
            </w:r>
          </w:p>
        </w:tc>
      </w:tr>
      <w:tr>
        <w:tc>
          <w:tcPr>
            <w:tcW w:type="dxa" w:w="1987"/>
          </w:tcPr>
          <w:p>
            <w:r>
              <w:rPr>
                <w:rFonts w:ascii="Calibri" w:hAnsi="Calibri"/>
                <w:sz w:val="18"/>
              </w:rPr>
              <w:t>Heat and electricity</w:t>
            </w:r>
          </w:p>
        </w:tc>
        <w:tc>
          <w:tcPr>
            <w:tcW w:type="dxa" w:w="1987"/>
          </w:tcPr>
          <w:p>
            <w:pPr>
              <w:jc w:val="right"/>
            </w:pPr>
            <w:r>
              <w:rPr>
                <w:rFonts w:ascii="Calibri" w:hAnsi="Calibri"/>
                <w:sz w:val="18"/>
              </w:rPr>
              <w:t>72.5</w:t>
            </w:r>
          </w:p>
        </w:tc>
        <w:tc>
          <w:tcPr>
            <w:tcW w:type="dxa" w:w="1987"/>
          </w:tcPr>
          <w:p>
            <w:pPr>
              <w:jc w:val="right"/>
            </w:pPr>
            <w:r>
              <w:rPr>
                <w:rFonts w:ascii="Calibri" w:hAnsi="Calibri"/>
                <w:sz w:val="18"/>
              </w:rPr>
              <w:t>74.2</w:t>
            </w:r>
          </w:p>
        </w:tc>
        <w:tc>
          <w:tcPr>
            <w:tcW w:type="dxa" w:w="1987"/>
          </w:tcPr>
          <w:p>
            <w:pPr>
              <w:jc w:val="right"/>
            </w:pPr>
            <w:r>
              <w:rPr>
                <w:rFonts w:ascii="Calibri" w:hAnsi="Calibri"/>
                <w:sz w:val="18"/>
              </w:rPr>
              <w:t>1.7</w:t>
            </w:r>
          </w:p>
        </w:tc>
        <w:tc>
          <w:tcPr>
            <w:tcW w:type="dxa" w:w="1987"/>
          </w:tcPr>
          <w:p>
            <w:r>
              <w:rPr>
                <w:rFonts w:ascii="Calibri" w:hAnsi="Calibri"/>
                <w:sz w:val="18"/>
              </w:rPr>
              <w:t>background model and expenditure, no single dominant cause</w:t>
            </w:r>
          </w:p>
        </w:tc>
      </w:tr>
    </w:tbl>
    <w:p>
      <w:r>
        <w:rPr>
          <w:color w:val="253331"/>
          <w:sz w:val="18"/>
        </w:rPr>
        <w:t>Note. Transport falls as the phantom Danish shipping input is removed by the sea-transport reallocation, and pharmaceuticals rise as expenditure grows. Every other group together moves 602 kt. This is the answer to why one category falls while four rise: the correction was almost entirely a climate artefact, sitting on a transport-heavy supply chain.</w:t>
      </w:r>
    </w:p>
    <w:p>
      <w:r>
        <w:rPr>
          <w:color w:val="6B7F7B"/>
          <w:sz w:val="17"/>
        </w:rPr>
        <w:t>Source. 06_benchmarks_validation/year_comparison_climate_bridge.csv</w:t>
      </w:r>
    </w:p>
    <w:p/>
    <w:p>
      <w:r>
        <w:rPr>
          <w:rFonts w:ascii="Cambria" w:hAnsi="Cambria"/>
          <w:b/>
          <w:color w:val="0B4F4A"/>
          <w:sz w:val="22"/>
        </w:rPr>
        <w:t>Table 4. Almost the whole footprint is Scope 3, in every impact category</w:t>
      </w:r>
    </w:p>
    <w:tbl>
      <w:tblPr>
        <w:tblStyle w:val="TableGrid"/>
        <w:tblW w:type="auto" w:w="0"/>
        <w:jc w:val="lef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0B4F4A"/>
          </w:tcPr>
          <w:p>
            <w:r>
              <w:rPr>
                <w:rFonts w:ascii="Calibri" w:hAnsi="Calibri"/>
                <w:b/>
                <w:sz w:val="18"/>
                <w:color w:val="FFFFFF"/>
              </w:rPr>
              <w:t>Impact category</w:t>
            </w:r>
          </w:p>
        </w:tc>
        <w:tc>
          <w:tcPr>
            <w:tcW w:type="dxa" w:w="1419"/>
            <w:shd w:val="clear" w:fill="0B4F4A"/>
          </w:tcPr>
          <w:p>
            <w:r>
              <w:rPr>
                <w:rFonts w:ascii="Calibri" w:hAnsi="Calibri"/>
                <w:b/>
                <w:sz w:val="18"/>
                <w:color w:val="FFFFFF"/>
              </w:rPr>
              <w:t>Unit</w:t>
            </w:r>
          </w:p>
        </w:tc>
        <w:tc>
          <w:tcPr>
            <w:tcW w:type="dxa" w:w="1419"/>
            <w:shd w:val="clear" w:fill="0B4F4A"/>
          </w:tcPr>
          <w:p>
            <w:r>
              <w:rPr>
                <w:rFonts w:ascii="Calibri" w:hAnsi="Calibri"/>
                <w:b/>
                <w:sz w:val="18"/>
                <w:color w:val="FFFFFF"/>
              </w:rPr>
              <w:t>Scope 1</w:t>
            </w:r>
          </w:p>
        </w:tc>
        <w:tc>
          <w:tcPr>
            <w:tcW w:type="dxa" w:w="1419"/>
            <w:shd w:val="clear" w:fill="0B4F4A"/>
          </w:tcPr>
          <w:p>
            <w:r>
              <w:rPr>
                <w:rFonts w:ascii="Calibri" w:hAnsi="Calibri"/>
                <w:b/>
                <w:sz w:val="18"/>
                <w:color w:val="FFFFFF"/>
              </w:rPr>
              <w:t>Scope 2</w:t>
            </w:r>
          </w:p>
        </w:tc>
        <w:tc>
          <w:tcPr>
            <w:tcW w:type="dxa" w:w="1419"/>
            <w:shd w:val="clear" w:fill="0B4F4A"/>
          </w:tcPr>
          <w:p>
            <w:r>
              <w:rPr>
                <w:rFonts w:ascii="Calibri" w:hAnsi="Calibri"/>
                <w:b/>
                <w:sz w:val="18"/>
                <w:color w:val="FFFFFF"/>
              </w:rPr>
              <w:t>Scope 3</w:t>
            </w:r>
          </w:p>
        </w:tc>
        <w:tc>
          <w:tcPr>
            <w:tcW w:type="dxa" w:w="1419"/>
            <w:shd w:val="clear" w:fill="0B4F4A"/>
          </w:tcPr>
          <w:p>
            <w:r>
              <w:rPr>
                <w:rFonts w:ascii="Calibri" w:hAnsi="Calibri"/>
                <w:b/>
                <w:sz w:val="18"/>
                <w:color w:val="FFFFFF"/>
              </w:rPr>
              <w:t>Outside protocol</w:t>
            </w:r>
          </w:p>
        </w:tc>
        <w:tc>
          <w:tcPr>
            <w:tcW w:type="dxa" w:w="1419"/>
            <w:shd w:val="clear" w:fill="0B4F4A"/>
          </w:tcPr>
          <w:p>
            <w:r>
              <w:rPr>
                <w:rFonts w:ascii="Calibri" w:hAnsi="Calibri"/>
                <w:b/>
                <w:sz w:val="18"/>
                <w:color w:val="FFFFFF"/>
              </w:rPr>
              <w:t>TOTAL</w:t>
            </w:r>
          </w:p>
        </w:tc>
      </w:tr>
      <w:tr>
        <w:tc>
          <w:tcPr>
            <w:tcW w:type="dxa" w:w="1419"/>
          </w:tcPr>
          <w:p>
            <w:r>
              <w:rPr>
                <w:rFonts w:ascii="Calibri" w:hAnsi="Calibri"/>
                <w:sz w:val="18"/>
              </w:rPr>
              <w:t>Blue water consumption</w:t>
            </w:r>
          </w:p>
        </w:tc>
        <w:tc>
          <w:tcPr>
            <w:tcW w:type="dxa" w:w="1419"/>
          </w:tcPr>
          <w:p>
            <w:r>
              <w:rPr>
                <w:rFonts w:ascii="Calibri" w:hAnsi="Calibri"/>
                <w:sz w:val="18"/>
              </w:rPr>
              <w:t>Mm³</w:t>
            </w:r>
          </w:p>
        </w:tc>
        <w:tc>
          <w:tcPr>
            <w:tcW w:type="dxa" w:w="1419"/>
          </w:tcPr>
          <w:p>
            <w:pPr>
              <w:jc w:val="right"/>
            </w:pPr>
            <w:r>
              <w:rPr>
                <w:rFonts w:ascii="Calibri" w:hAnsi="Calibri"/>
                <w:sz w:val="18"/>
              </w:rPr>
              <w:t>0.00</w:t>
            </w:r>
          </w:p>
        </w:tc>
        <w:tc>
          <w:tcPr>
            <w:tcW w:type="dxa" w:w="1419"/>
          </w:tcPr>
          <w:p>
            <w:pPr>
              <w:jc w:val="right"/>
            </w:pPr>
            <w:r>
              <w:rPr>
                <w:rFonts w:ascii="Calibri" w:hAnsi="Calibri"/>
                <w:sz w:val="18"/>
              </w:rPr>
              <w:t>0.07</w:t>
            </w:r>
          </w:p>
        </w:tc>
        <w:tc>
          <w:tcPr>
            <w:tcW w:type="dxa" w:w="1419"/>
          </w:tcPr>
          <w:p>
            <w:pPr>
              <w:jc w:val="right"/>
            </w:pPr>
            <w:r>
              <w:rPr>
                <w:rFonts w:ascii="Calibri" w:hAnsi="Calibri"/>
                <w:sz w:val="18"/>
              </w:rPr>
              <w:t>95.36</w:t>
            </w:r>
          </w:p>
        </w:tc>
        <w:tc>
          <w:tcPr>
            <w:tcW w:type="dxa" w:w="1419"/>
          </w:tcPr>
          <w:p>
            <w:pPr>
              <w:jc w:val="right"/>
            </w:pPr>
            <w:r>
              <w:rPr>
                <w:rFonts w:ascii="Calibri" w:hAnsi="Calibri"/>
                <w:sz w:val="18"/>
              </w:rPr>
              <w:t>0.08</w:t>
            </w:r>
          </w:p>
        </w:tc>
        <w:tc>
          <w:tcPr>
            <w:tcW w:type="dxa" w:w="1419"/>
          </w:tcPr>
          <w:p>
            <w:pPr>
              <w:jc w:val="right"/>
            </w:pPr>
            <w:r>
              <w:rPr>
                <w:rFonts w:ascii="Calibri" w:hAnsi="Calibri"/>
                <w:sz w:val="18"/>
              </w:rPr>
              <w:t>95.50</w:t>
            </w:r>
          </w:p>
        </w:tc>
      </w:tr>
      <w:tr>
        <w:tc>
          <w:tcPr>
            <w:tcW w:type="dxa" w:w="1419"/>
          </w:tcPr>
          <w:p>
            <w:r>
              <w:rPr>
                <w:rFonts w:ascii="Calibri" w:hAnsi="Calibri"/>
                <w:sz w:val="18"/>
              </w:rPr>
              <w:t>Climate change</w:t>
            </w:r>
          </w:p>
        </w:tc>
        <w:tc>
          <w:tcPr>
            <w:tcW w:type="dxa" w:w="1419"/>
          </w:tcPr>
          <w:p>
            <w:r>
              <w:rPr>
                <w:rFonts w:ascii="Calibri" w:hAnsi="Calibri"/>
                <w:sz w:val="18"/>
              </w:rPr>
              <w:t>kt CO₂-eq</w:t>
            </w:r>
          </w:p>
        </w:tc>
        <w:tc>
          <w:tcPr>
            <w:tcW w:type="dxa" w:w="1419"/>
          </w:tcPr>
          <w:p>
            <w:pPr>
              <w:jc w:val="right"/>
            </w:pPr>
            <w:r>
              <w:rPr>
                <w:rFonts w:ascii="Calibri" w:hAnsi="Calibri"/>
                <w:sz w:val="18"/>
              </w:rPr>
              <w:t>131.08</w:t>
            </w:r>
          </w:p>
        </w:tc>
        <w:tc>
          <w:tcPr>
            <w:tcW w:type="dxa" w:w="1419"/>
          </w:tcPr>
          <w:p>
            <w:pPr>
              <w:jc w:val="right"/>
            </w:pPr>
            <w:r>
              <w:rPr>
                <w:rFonts w:ascii="Calibri" w:hAnsi="Calibri"/>
                <w:sz w:val="18"/>
              </w:rPr>
              <w:t>73.34</w:t>
            </w:r>
          </w:p>
        </w:tc>
        <w:tc>
          <w:tcPr>
            <w:tcW w:type="dxa" w:w="1419"/>
          </w:tcPr>
          <w:p>
            <w:pPr>
              <w:jc w:val="right"/>
            </w:pPr>
            <w:r>
              <w:rPr>
                <w:rFonts w:ascii="Calibri" w:hAnsi="Calibri"/>
                <w:sz w:val="18"/>
              </w:rPr>
              <w:t>4,243.55</w:t>
            </w:r>
          </w:p>
        </w:tc>
        <w:tc>
          <w:tcPr>
            <w:tcW w:type="dxa" w:w="1419"/>
          </w:tcPr>
          <w:p>
            <w:pPr>
              <w:jc w:val="right"/>
            </w:pPr>
            <w:r>
              <w:rPr>
                <w:rFonts w:ascii="Calibri" w:hAnsi="Calibri"/>
                <w:sz w:val="18"/>
              </w:rPr>
              <w:t>263.57</w:t>
            </w:r>
          </w:p>
        </w:tc>
        <w:tc>
          <w:tcPr>
            <w:tcW w:type="dxa" w:w="1419"/>
          </w:tcPr>
          <w:p>
            <w:pPr>
              <w:jc w:val="right"/>
            </w:pPr>
            <w:r>
              <w:rPr>
                <w:rFonts w:ascii="Calibri" w:hAnsi="Calibri"/>
                <w:sz w:val="18"/>
              </w:rPr>
              <w:t>4,711.53</w:t>
            </w:r>
          </w:p>
        </w:tc>
      </w:tr>
      <w:tr>
        <w:tc>
          <w:tcPr>
            <w:tcW w:type="dxa" w:w="1419"/>
          </w:tcPr>
          <w:p>
            <w:r>
              <w:rPr>
                <w:rFonts w:ascii="Calibri" w:hAnsi="Calibri"/>
                <w:sz w:val="18"/>
              </w:rPr>
              <w:t>Land use</w:t>
            </w:r>
          </w:p>
        </w:tc>
        <w:tc>
          <w:tcPr>
            <w:tcW w:type="dxa" w:w="1419"/>
          </w:tcPr>
          <w:p>
            <w:r>
              <w:rPr>
                <w:rFonts w:ascii="Calibri" w:hAnsi="Calibri"/>
                <w:sz w:val="18"/>
              </w:rPr>
              <w:t>km²</w:t>
            </w:r>
          </w:p>
        </w:tc>
        <w:tc>
          <w:tcPr>
            <w:tcW w:type="dxa" w:w="1419"/>
          </w:tcPr>
          <w:p>
            <w:pPr>
              <w:jc w:val="right"/>
            </w:pPr>
            <w:r>
              <w:rPr>
                <w:rFonts w:ascii="Calibri" w:hAnsi="Calibri"/>
                <w:sz w:val="18"/>
              </w:rPr>
              <w:t>0.00</w:t>
            </w:r>
          </w:p>
        </w:tc>
        <w:tc>
          <w:tcPr>
            <w:tcW w:type="dxa" w:w="1419"/>
          </w:tcPr>
          <w:p>
            <w:pPr>
              <w:jc w:val="right"/>
            </w:pPr>
            <w:r>
              <w:rPr>
                <w:rFonts w:ascii="Calibri" w:hAnsi="Calibri"/>
                <w:sz w:val="18"/>
              </w:rPr>
              <w:t>0.07</w:t>
            </w:r>
          </w:p>
        </w:tc>
        <w:tc>
          <w:tcPr>
            <w:tcW w:type="dxa" w:w="1419"/>
          </w:tcPr>
          <w:p>
            <w:pPr>
              <w:jc w:val="right"/>
            </w:pPr>
            <w:r>
              <w:rPr>
                <w:rFonts w:ascii="Calibri" w:hAnsi="Calibri"/>
                <w:sz w:val="18"/>
              </w:rPr>
              <w:t>4,854.70</w:t>
            </w:r>
          </w:p>
        </w:tc>
        <w:tc>
          <w:tcPr>
            <w:tcW w:type="dxa" w:w="1419"/>
          </w:tcPr>
          <w:p>
            <w:pPr>
              <w:jc w:val="right"/>
            </w:pPr>
            <w:r>
              <w:rPr>
                <w:rFonts w:ascii="Calibri" w:hAnsi="Calibri"/>
                <w:sz w:val="18"/>
              </w:rPr>
              <w:t>0.69</w:t>
            </w:r>
          </w:p>
        </w:tc>
        <w:tc>
          <w:tcPr>
            <w:tcW w:type="dxa" w:w="1419"/>
          </w:tcPr>
          <w:p>
            <w:pPr>
              <w:jc w:val="right"/>
            </w:pPr>
            <w:r>
              <w:rPr>
                <w:rFonts w:ascii="Calibri" w:hAnsi="Calibri"/>
                <w:sz w:val="18"/>
              </w:rPr>
              <w:t>4,855.46</w:t>
            </w:r>
          </w:p>
        </w:tc>
      </w:tr>
      <w:tr>
        <w:tc>
          <w:tcPr>
            <w:tcW w:type="dxa" w:w="1419"/>
          </w:tcPr>
          <w:p>
            <w:r>
              <w:rPr>
                <w:rFonts w:ascii="Calibri" w:hAnsi="Calibri"/>
                <w:sz w:val="18"/>
              </w:rPr>
              <w:t>Material extraction</w:t>
            </w:r>
          </w:p>
        </w:tc>
        <w:tc>
          <w:tcPr>
            <w:tcW w:type="dxa" w:w="1419"/>
          </w:tcPr>
          <w:p>
            <w:r>
              <w:rPr>
                <w:rFonts w:ascii="Calibri" w:hAnsi="Calibri"/>
                <w:sz w:val="18"/>
              </w:rPr>
              <w:t>kt</w:t>
            </w:r>
          </w:p>
        </w:tc>
        <w:tc>
          <w:tcPr>
            <w:tcW w:type="dxa" w:w="1419"/>
          </w:tcPr>
          <w:p>
            <w:pPr>
              <w:jc w:val="right"/>
            </w:pPr>
            <w:r>
              <w:rPr>
                <w:rFonts w:ascii="Calibri" w:hAnsi="Calibri"/>
                <w:sz w:val="18"/>
              </w:rPr>
              <w:t>0.00</w:t>
            </w:r>
          </w:p>
        </w:tc>
        <w:tc>
          <w:tcPr>
            <w:tcW w:type="dxa" w:w="1419"/>
          </w:tcPr>
          <w:p>
            <w:pPr>
              <w:jc w:val="right"/>
            </w:pPr>
            <w:r>
              <w:rPr>
                <w:rFonts w:ascii="Calibri" w:hAnsi="Calibri"/>
                <w:sz w:val="18"/>
              </w:rPr>
              <w:t>0.26</w:t>
            </w:r>
          </w:p>
        </w:tc>
        <w:tc>
          <w:tcPr>
            <w:tcW w:type="dxa" w:w="1419"/>
          </w:tcPr>
          <w:p>
            <w:pPr>
              <w:jc w:val="right"/>
            </w:pPr>
            <w:r>
              <w:rPr>
                <w:rFonts w:ascii="Calibri" w:hAnsi="Calibri"/>
                <w:sz w:val="18"/>
              </w:rPr>
              <w:t>4,248.47</w:t>
            </w:r>
          </w:p>
        </w:tc>
        <w:tc>
          <w:tcPr>
            <w:tcW w:type="dxa" w:w="1419"/>
          </w:tcPr>
          <w:p>
            <w:pPr>
              <w:jc w:val="right"/>
            </w:pPr>
            <w:r>
              <w:rPr>
                <w:rFonts w:ascii="Calibri" w:hAnsi="Calibri"/>
                <w:sz w:val="18"/>
              </w:rPr>
              <w:t>10.65</w:t>
            </w:r>
          </w:p>
        </w:tc>
        <w:tc>
          <w:tcPr>
            <w:tcW w:type="dxa" w:w="1419"/>
          </w:tcPr>
          <w:p>
            <w:pPr>
              <w:jc w:val="right"/>
            </w:pPr>
            <w:r>
              <w:rPr>
                <w:rFonts w:ascii="Calibri" w:hAnsi="Calibri"/>
                <w:sz w:val="18"/>
              </w:rPr>
              <w:t>4,259.38</w:t>
            </w:r>
          </w:p>
        </w:tc>
      </w:tr>
      <w:tr>
        <w:tc>
          <w:tcPr>
            <w:tcW w:type="dxa" w:w="1419"/>
          </w:tcPr>
          <w:p>
            <w:r>
              <w:rPr>
                <w:rFonts w:ascii="Calibri" w:hAnsi="Calibri"/>
                <w:sz w:val="18"/>
              </w:rPr>
              <w:t>Waste generation</w:t>
            </w:r>
          </w:p>
        </w:tc>
        <w:tc>
          <w:tcPr>
            <w:tcW w:type="dxa" w:w="1419"/>
          </w:tcPr>
          <w:p>
            <w:r>
              <w:rPr>
                <w:rFonts w:ascii="Calibri" w:hAnsi="Calibri"/>
                <w:sz w:val="18"/>
              </w:rPr>
              <w:t>kt</w:t>
            </w:r>
          </w:p>
        </w:tc>
        <w:tc>
          <w:tcPr>
            <w:tcW w:type="dxa" w:w="1419"/>
          </w:tcPr>
          <w:p>
            <w:pPr>
              <w:jc w:val="right"/>
            </w:pPr>
            <w:r>
              <w:rPr>
                <w:rFonts w:ascii="Calibri" w:hAnsi="Calibri"/>
                <w:sz w:val="18"/>
              </w:rPr>
              <w:t>42.76</w:t>
            </w:r>
          </w:p>
        </w:tc>
        <w:tc>
          <w:tcPr>
            <w:tcW w:type="dxa" w:w="1419"/>
          </w:tcPr>
          <w:p>
            <w:pPr>
              <w:jc w:val="right"/>
            </w:pPr>
            <w:r>
              <w:rPr>
                <w:rFonts w:ascii="Calibri" w:hAnsi="Calibri"/>
                <w:sz w:val="18"/>
              </w:rPr>
              <w:t>0.47</w:t>
            </w:r>
          </w:p>
        </w:tc>
        <w:tc>
          <w:tcPr>
            <w:tcW w:type="dxa" w:w="1419"/>
          </w:tcPr>
          <w:p>
            <w:pPr>
              <w:jc w:val="right"/>
            </w:pPr>
            <w:r>
              <w:rPr>
                <w:rFonts w:ascii="Calibri" w:hAnsi="Calibri"/>
                <w:sz w:val="18"/>
              </w:rPr>
              <w:t>213.71</w:t>
            </w:r>
          </w:p>
        </w:tc>
        <w:tc>
          <w:tcPr>
            <w:tcW w:type="dxa" w:w="1419"/>
          </w:tcPr>
          <w:p>
            <w:pPr>
              <w:jc w:val="right"/>
            </w:pPr>
            <w:r>
              <w:rPr>
                <w:rFonts w:ascii="Calibri" w:hAnsi="Calibri"/>
                <w:sz w:val="18"/>
              </w:rPr>
              <w:t>0.00</w:t>
            </w:r>
          </w:p>
        </w:tc>
        <w:tc>
          <w:tcPr>
            <w:tcW w:type="dxa" w:w="1419"/>
          </w:tcPr>
          <w:p>
            <w:pPr>
              <w:jc w:val="right"/>
            </w:pPr>
            <w:r>
              <w:rPr>
                <w:rFonts w:ascii="Calibri" w:hAnsi="Calibri"/>
                <w:sz w:val="18"/>
              </w:rPr>
              <w:t>256.94</w:t>
            </w:r>
          </w:p>
        </w:tc>
      </w:tr>
    </w:tbl>
    <w:p>
      <w:r>
        <w:rPr>
          <w:color w:val="253331"/>
          <w:sz w:val="18"/>
        </w:rPr>
        <w:t>Note. Scopes follow the GHG Protocol as operationalised by Hertwich and Wood (2018). Scope 2 here is the strict convention, in which upstream fuel supply stays in Scope 3; the manuscript's reported Scope 2 uses the broader cradle-to-gate convention and is carried in the same file. Material extraction, blue water and land use have no Scope 1 because EXIOBASE attributes extraction, abstraction and land occupation to extractive and agricultural industries, so a health service industry has no direct row. That is an accounting property, not a data gap.</w:t>
      </w:r>
    </w:p>
    <w:p>
      <w:r>
        <w:rPr>
          <w:i/>
          <w:color w:val="C1502E"/>
          <w:sz w:val="18"/>
        </w:rPr>
        <w:t>Supersedes. The climate total here is 1.83 kt below the study headline. The difference is the self-supply loop, removed from the scope partition because it overlaps the national-accounts Scope 1, and reported as its own row in the same file.</w:t>
      </w:r>
    </w:p>
    <w:p>
      <w:r>
        <w:rPr>
          <w:color w:val="6B7F7B"/>
          <w:sz w:val="17"/>
        </w:rPr>
        <w:t>Source. 02_scopes_wood_hertwich/2022/scopes_summary_detailed.csv</w:t>
      </w:r>
    </w:p>
    <w:p/>
    <w:p>
      <w:r>
        <w:rPr>
          <w:rFonts w:ascii="Cambria" w:hAnsi="Cambria"/>
          <w:b/>
          <w:color w:val="0B4F4A"/>
          <w:sz w:val="22"/>
        </w:rPr>
        <w:t>Table 5. Published Danish national footprints separate by model family, not by year</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fill="0B4F4A"/>
          </w:tcPr>
          <w:p>
            <w:r>
              <w:rPr>
                <w:rFonts w:ascii="Calibri" w:hAnsi="Calibri"/>
                <w:b/>
                <w:sz w:val="18"/>
                <w:color w:val="FFFFFF"/>
              </w:rPr>
              <w:t>Source</w:t>
            </w:r>
          </w:p>
        </w:tc>
        <w:tc>
          <w:tcPr>
            <w:tcW w:type="dxa" w:w="1656"/>
            <w:shd w:val="clear" w:fill="0B4F4A"/>
          </w:tcPr>
          <w:p>
            <w:r>
              <w:rPr>
                <w:rFonts w:ascii="Calibri" w:hAnsi="Calibri"/>
                <w:b/>
                <w:sz w:val="18"/>
                <w:color w:val="FFFFFF"/>
              </w:rPr>
              <w:t>Year</w:t>
            </w:r>
          </w:p>
        </w:tc>
        <w:tc>
          <w:tcPr>
            <w:tcW w:type="dxa" w:w="1656"/>
            <w:shd w:val="clear" w:fill="0B4F4A"/>
          </w:tcPr>
          <w:p>
            <w:r>
              <w:rPr>
                <w:rFonts w:ascii="Calibri" w:hAnsi="Calibri"/>
                <w:b/>
                <w:sz w:val="18"/>
                <w:color w:val="FFFFFF"/>
              </w:rPr>
              <w:t>Model family</w:t>
            </w:r>
          </w:p>
        </w:tc>
        <w:tc>
          <w:tcPr>
            <w:tcW w:type="dxa" w:w="1656"/>
            <w:shd w:val="clear" w:fill="0B4F4A"/>
          </w:tcPr>
          <w:p>
            <w:r>
              <w:rPr>
                <w:rFonts w:ascii="Calibri" w:hAnsi="Calibri"/>
                <w:b/>
                <w:sz w:val="18"/>
                <w:color w:val="FFFFFF"/>
              </w:rPr>
              <w:t>Mt CO₂-eq</w:t>
            </w:r>
          </w:p>
        </w:tc>
        <w:tc>
          <w:tcPr>
            <w:tcW w:type="dxa" w:w="1656"/>
            <w:shd w:val="clear" w:fill="0B4F4A"/>
          </w:tcPr>
          <w:p>
            <w:r>
              <w:rPr>
                <w:rFonts w:ascii="Calibri" w:hAnsi="Calibri"/>
                <w:b/>
                <w:sz w:val="18"/>
                <w:color w:val="FFFFFF"/>
              </w:rPr>
              <w:t>t per person</w:t>
            </w:r>
          </w:p>
        </w:tc>
        <w:tc>
          <w:tcPr>
            <w:tcW w:type="dxa" w:w="1656"/>
            <w:shd w:val="clear" w:fill="0B4F4A"/>
          </w:tcPr>
          <w:p>
            <w:r>
              <w:rPr>
                <w:rFonts w:ascii="Calibri" w:hAnsi="Calibri"/>
                <w:b/>
                <w:sz w:val="18"/>
                <w:color w:val="FFFFFF"/>
              </w:rPr>
              <w:t>Capital</w:t>
            </w:r>
          </w:p>
        </w:tc>
      </w:tr>
      <w:tr>
        <w:tc>
          <w:tcPr>
            <w:tcW w:type="dxa" w:w="1656"/>
          </w:tcPr>
          <w:p>
            <w:r>
              <w:rPr>
                <w:rFonts w:ascii="Calibri" w:hAnsi="Calibri"/>
                <w:sz w:val="18"/>
              </w:rPr>
              <w:t>Eurostat FIGARO (env_ac_ghgfp)</w:t>
            </w:r>
          </w:p>
        </w:tc>
        <w:tc>
          <w:tcPr>
            <w:tcW w:type="dxa" w:w="1656"/>
          </w:tcPr>
          <w:p>
            <w:pPr>
              <w:jc w:val="right"/>
            </w:pPr>
            <w:r>
              <w:rPr>
                <w:rFonts w:ascii="Calibri" w:hAnsi="Calibri"/>
                <w:sz w:val="18"/>
              </w:rPr>
              <w:t>2022</w:t>
            </w:r>
          </w:p>
        </w:tc>
        <w:tc>
          <w:tcPr>
            <w:tcW w:type="dxa" w:w="1656"/>
          </w:tcPr>
          <w:p>
            <w:r>
              <w:rPr>
                <w:rFonts w:ascii="Calibri" w:hAnsi="Calibri"/>
                <w:sz w:val="18"/>
              </w:rPr>
              <w:t>national accounts (FIGARO)</w:t>
            </w:r>
          </w:p>
        </w:tc>
        <w:tc>
          <w:tcPr>
            <w:tcW w:type="dxa" w:w="1656"/>
          </w:tcPr>
          <w:p>
            <w:pPr>
              <w:jc w:val="right"/>
            </w:pPr>
            <w:r>
              <w:rPr>
                <w:rFonts w:ascii="Calibri" w:hAnsi="Calibri"/>
                <w:sz w:val="18"/>
              </w:rPr>
              <w:t>57.4</w:t>
            </w:r>
          </w:p>
        </w:tc>
        <w:tc>
          <w:tcPr>
            <w:tcW w:type="dxa" w:w="1656"/>
          </w:tcPr>
          <w:p>
            <w:pPr>
              <w:jc w:val="right"/>
            </w:pPr>
            <w:r>
              <w:rPr>
                <w:rFonts w:ascii="Calibri" w:hAnsi="Calibri"/>
                <w:sz w:val="18"/>
              </w:rPr>
              <w:t>9.77</w:t>
            </w:r>
          </w:p>
        </w:tc>
        <w:tc>
          <w:tcPr>
            <w:tcW w:type="dxa" w:w="1656"/>
          </w:tcPr>
          <w:p>
            <w:r>
              <w:rPr>
                <w:rFonts w:ascii="Calibri" w:hAnsi="Calibri"/>
                <w:sz w:val="18"/>
              </w:rPr>
              <w:t>exogenous</w:t>
            </w:r>
          </w:p>
        </w:tc>
      </w:tr>
      <w:tr>
        <w:tc>
          <w:tcPr>
            <w:tcW w:type="dxa" w:w="1656"/>
          </w:tcPr>
          <w:p>
            <w:r>
              <w:rPr>
                <w:rFonts w:ascii="Calibri" w:hAnsi="Calibri"/>
                <w:sz w:val="18"/>
              </w:rPr>
              <w:t>Statistics Denmark AFTRYK</w:t>
            </w:r>
          </w:p>
        </w:tc>
        <w:tc>
          <w:tcPr>
            <w:tcW w:type="dxa" w:w="1656"/>
          </w:tcPr>
          <w:p>
            <w:pPr>
              <w:jc w:val="right"/>
            </w:pPr>
            <w:r>
              <w:rPr>
                <w:rFonts w:ascii="Calibri" w:hAnsi="Calibri"/>
                <w:sz w:val="18"/>
              </w:rPr>
              <w:t>2022</w:t>
            </w:r>
          </w:p>
        </w:tc>
        <w:tc>
          <w:tcPr>
            <w:tcW w:type="dxa" w:w="1656"/>
          </w:tcPr>
          <w:p>
            <w:r>
              <w:rPr>
                <w:rFonts w:ascii="Calibri" w:hAnsi="Calibri"/>
                <w:sz w:val="18"/>
              </w:rPr>
              <w:t>national accounts coupled to EXIOBASE</w:t>
            </w:r>
          </w:p>
        </w:tc>
        <w:tc>
          <w:tcPr>
            <w:tcW w:type="dxa" w:w="1656"/>
          </w:tcPr>
          <w:p>
            <w:pPr>
              <w:jc w:val="right"/>
            </w:pPr>
            <w:r>
              <w:rPr>
                <w:rFonts w:ascii="Calibri" w:hAnsi="Calibri"/>
                <w:sz w:val="18"/>
              </w:rPr>
              <w:t>62.9</w:t>
            </w:r>
          </w:p>
        </w:tc>
        <w:tc>
          <w:tcPr>
            <w:tcW w:type="dxa" w:w="1656"/>
          </w:tcPr>
          <w:p>
            <w:pPr>
              <w:jc w:val="right"/>
            </w:pPr>
            <w:r>
              <w:rPr>
                <w:rFonts w:ascii="Calibri" w:hAnsi="Calibri"/>
                <w:sz w:val="18"/>
              </w:rPr>
              <w:t>10.71</w:t>
            </w:r>
          </w:p>
        </w:tc>
        <w:tc>
          <w:tcPr>
            <w:tcW w:type="dxa" w:w="1656"/>
          </w:tcPr>
          <w:p>
            <w:r>
              <w:rPr>
                <w:rFonts w:ascii="Calibri" w:hAnsi="Calibri"/>
                <w:sz w:val="18"/>
              </w:rPr>
              <w:t>exogenous</w:t>
            </w:r>
          </w:p>
        </w:tc>
      </w:tr>
      <w:tr>
        <w:tc>
          <w:tcPr>
            <w:tcW w:type="dxa" w:w="1656"/>
          </w:tcPr>
          <w:p>
            <w:r>
              <w:rPr>
                <w:rFonts w:ascii="Calibri" w:hAnsi="Calibri"/>
                <w:sz w:val="18"/>
              </w:rPr>
              <w:t>Rørmose Jensen &amp; Iliev 2022 (Statistics Denmark)</w:t>
            </w:r>
          </w:p>
        </w:tc>
        <w:tc>
          <w:tcPr>
            <w:tcW w:type="dxa" w:w="1656"/>
          </w:tcPr>
          <w:p>
            <w:pPr>
              <w:jc w:val="right"/>
            </w:pPr>
            <w:r>
              <w:rPr>
                <w:rFonts w:ascii="Calibri" w:hAnsi="Calibri"/>
                <w:sz w:val="18"/>
              </w:rPr>
              <w:t>2020</w:t>
            </w:r>
          </w:p>
        </w:tc>
        <w:tc>
          <w:tcPr>
            <w:tcW w:type="dxa" w:w="1656"/>
          </w:tcPr>
          <w:p>
            <w:r>
              <w:rPr>
                <w:rFonts w:ascii="Calibri" w:hAnsi="Calibri"/>
                <w:sz w:val="18"/>
              </w:rPr>
              <w:t>national accounts coupled to EXIOBASE</w:t>
            </w:r>
          </w:p>
        </w:tc>
        <w:tc>
          <w:tcPr>
            <w:tcW w:type="dxa" w:w="1656"/>
          </w:tcPr>
          <w:p>
            <w:pPr>
              <w:jc w:val="right"/>
            </w:pPr>
            <w:r>
              <w:rPr>
                <w:rFonts w:ascii="Calibri" w:hAnsi="Calibri"/>
                <w:sz w:val="18"/>
              </w:rPr>
              <w:t>65.4</w:t>
            </w:r>
          </w:p>
        </w:tc>
        <w:tc>
          <w:tcPr>
            <w:tcW w:type="dxa" w:w="1656"/>
          </w:tcPr>
          <w:p>
            <w:pPr>
              <w:jc w:val="right"/>
            </w:pPr>
            <w:r>
              <w:rPr>
                <w:rFonts w:ascii="Calibri" w:hAnsi="Calibri"/>
                <w:sz w:val="18"/>
              </w:rPr>
              <w:t>11.00</w:t>
            </w:r>
          </w:p>
        </w:tc>
        <w:tc>
          <w:tcPr>
            <w:tcW w:type="dxa" w:w="1656"/>
          </w:tcPr>
          <w:p>
            <w:r>
              <w:rPr>
                <w:rFonts w:ascii="Calibri" w:hAnsi="Calibri"/>
                <w:sz w:val="18"/>
              </w:rPr>
              <w:t>exogenous</w:t>
            </w:r>
          </w:p>
        </w:tc>
      </w:tr>
      <w:tr>
        <w:tc>
          <w:tcPr>
            <w:tcW w:type="dxa" w:w="1656"/>
          </w:tcPr>
          <w:p>
            <w:r>
              <w:rPr>
                <w:rFonts w:ascii="Calibri" w:hAnsi="Calibri"/>
                <w:sz w:val="18"/>
              </w:rPr>
              <w:t>Schmidt &amp; Merciai 2023</w:t>
            </w:r>
          </w:p>
        </w:tc>
        <w:tc>
          <w:tcPr>
            <w:tcW w:type="dxa" w:w="1656"/>
          </w:tcPr>
          <w:p>
            <w:pPr>
              <w:jc w:val="right"/>
            </w:pPr>
            <w:r>
              <w:rPr>
                <w:rFonts w:ascii="Calibri" w:hAnsi="Calibri"/>
                <w:sz w:val="18"/>
              </w:rPr>
              <w:t>2016</w:t>
            </w:r>
          </w:p>
        </w:tc>
        <w:tc>
          <w:tcPr>
            <w:tcW w:type="dxa" w:w="1656"/>
          </w:tcPr>
          <w:p>
            <w:r>
              <w:rPr>
                <w:rFonts w:ascii="Calibri" w:hAnsi="Calibri"/>
                <w:sz w:val="18"/>
              </w:rPr>
              <w:t>EXIOBASE (v4 hybrid)</w:t>
            </w:r>
          </w:p>
        </w:tc>
        <w:tc>
          <w:tcPr>
            <w:tcW w:type="dxa" w:w="1656"/>
          </w:tcPr>
          <w:p>
            <w:pPr>
              <w:jc w:val="right"/>
            </w:pPr>
            <w:r>
              <w:rPr>
                <w:rFonts w:ascii="Calibri" w:hAnsi="Calibri"/>
                <w:sz w:val="18"/>
              </w:rPr>
              <w:t>73.9</w:t>
            </w:r>
          </w:p>
        </w:tc>
        <w:tc>
          <w:tcPr>
            <w:tcW w:type="dxa" w:w="1656"/>
          </w:tcPr>
          <w:p>
            <w:pPr>
              <w:jc w:val="right"/>
            </w:pPr>
            <w:r>
              <w:rPr>
                <w:rFonts w:ascii="Calibri" w:hAnsi="Calibri"/>
                <w:sz w:val="18"/>
              </w:rPr>
              <w:t>12.90</w:t>
            </w:r>
          </w:p>
        </w:tc>
        <w:tc>
          <w:tcPr>
            <w:tcW w:type="dxa" w:w="1656"/>
          </w:tcPr>
          <w:p>
            <w:r>
              <w:rPr>
                <w:rFonts w:ascii="Calibri" w:hAnsi="Calibri"/>
                <w:sz w:val="18"/>
              </w:rPr>
              <w:t>ENDOGENISED, contributing 1.1 t per capita</w:t>
            </w:r>
          </w:p>
        </w:tc>
      </w:tr>
      <w:tr>
        <w:tc>
          <w:tcPr>
            <w:tcW w:type="dxa" w:w="1656"/>
          </w:tcPr>
          <w:p>
            <w:r>
              <w:rPr>
                <w:rFonts w:ascii="Calibri" w:hAnsi="Calibri"/>
                <w:sz w:val="18"/>
              </w:rPr>
              <w:t>this study (EXIOBASE v3.8.2 IOT_2022_ixi with Danish sea-transport reallocation (Rørmose Jensen &amp; Iliev 2022))</w:t>
            </w:r>
          </w:p>
        </w:tc>
        <w:tc>
          <w:tcPr>
            <w:tcW w:type="dxa" w:w="1656"/>
          </w:tcPr>
          <w:p>
            <w:pPr>
              <w:jc w:val="right"/>
            </w:pPr>
            <w:r>
              <w:rPr>
                <w:rFonts w:ascii="Calibri" w:hAnsi="Calibri"/>
                <w:sz w:val="18"/>
              </w:rPr>
              <w:t>2022</w:t>
            </w:r>
          </w:p>
        </w:tc>
        <w:tc>
          <w:tcPr>
            <w:tcW w:type="dxa" w:w="1656"/>
          </w:tcPr>
          <w:p>
            <w:r>
              <w:rPr>
                <w:rFonts w:ascii="Calibri" w:hAnsi="Calibri"/>
                <w:sz w:val="18"/>
              </w:rPr>
              <w:t>EXIOBASE (v3.8.2, sea-transport reallocation)</w:t>
            </w:r>
          </w:p>
        </w:tc>
        <w:tc>
          <w:tcPr>
            <w:tcW w:type="dxa" w:w="1656"/>
          </w:tcPr>
          <w:p>
            <w:pPr>
              <w:jc w:val="right"/>
            </w:pPr>
            <w:r>
              <w:rPr>
                <w:rFonts w:ascii="Calibri" w:hAnsi="Calibri"/>
                <w:sz w:val="18"/>
              </w:rPr>
              <w:t>77.5</w:t>
            </w:r>
          </w:p>
        </w:tc>
        <w:tc>
          <w:tcPr>
            <w:tcW w:type="dxa" w:w="1656"/>
          </w:tcPr>
          <w:p>
            <w:pPr>
              <w:jc w:val="right"/>
            </w:pPr>
            <w:r>
              <w:rPr>
                <w:rFonts w:ascii="Calibri" w:hAnsi="Calibri"/>
                <w:sz w:val="18"/>
              </w:rPr>
              <w:t>13.19</w:t>
            </w:r>
          </w:p>
        </w:tc>
        <w:tc>
          <w:tcPr>
            <w:tcW w:type="dxa" w:w="1656"/>
          </w:tcPr>
          <w:p>
            <w:r>
              <w:rPr>
                <w:rFonts w:ascii="Calibri" w:hAnsi="Calibri"/>
                <w:sz w:val="18"/>
              </w:rPr>
              <w:t>exogenous (excluded from the headline)</w:t>
            </w:r>
          </w:p>
        </w:tc>
      </w:tr>
    </w:tbl>
    <w:p>
      <w:r>
        <w:rPr>
          <w:color w:val="253331"/>
          <w:sz w:val="18"/>
        </w:rPr>
        <w:t>Note. The two EXIOBASE-family results sit at 12.90 and 13.19 t per person; the three national-accounts-family results sit between 9.77 and 11.00. This study is within 2.3 % of the only other published Danish EXIOBASE study, and about 20 % above the national-accounts family, as that family's own members are above one another. The gap against Statistics Denmark is therefore a property of the model family rather than an error in this implementation. The five estimates span a coefficient of variation of 12.8 %, which is wider than this study's parametric uncertainty interval.</w:t>
      </w:r>
    </w:p>
    <w:p>
      <w:r>
        <w:rPr>
          <w:i/>
          <w:color w:val="C1502E"/>
          <w:sz w:val="18"/>
        </w:rPr>
        <w:t>Supersedes. An earlier version of this table gave this study as 76.5 Mt and 13.02 t per person. Both moved with the AR6 restatement.</w:t>
      </w:r>
    </w:p>
    <w:p>
      <w:r>
        <w:rPr>
          <w:color w:val="6B7F7B"/>
          <w:sz w:val="17"/>
        </w:rPr>
        <w:t>Source. 06_benchmarks_validation/published_danish_footprint_benchmarks.csv</w:t>
      </w:r>
    </w:p>
    <w:p/>
    <w:p>
      <w:r>
        <w:rPr>
          <w:rFonts w:ascii="Cambria" w:hAnsi="Cambria"/>
          <w:b/>
          <w:color w:val="0B4F4A"/>
          <w:sz w:val="22"/>
        </w:rPr>
        <w:t>Table 6. Matched to their boundary and capital treatment, this study and Schmidt and Merciai agree to 1.7 %</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0B4F4A"/>
          </w:tcPr>
          <w:p>
            <w:r>
              <w:rPr>
                <w:rFonts w:ascii="Calibri" w:hAnsi="Calibri"/>
                <w:b/>
                <w:sz w:val="18"/>
                <w:color w:val="FFFFFF"/>
              </w:rPr>
              <w:t>Basis</w:t>
            </w:r>
          </w:p>
        </w:tc>
        <w:tc>
          <w:tcPr>
            <w:tcW w:type="dxa" w:w="1987"/>
            <w:shd w:val="clear" w:fill="0B4F4A"/>
          </w:tcPr>
          <w:p>
            <w:r>
              <w:rPr>
                <w:rFonts w:ascii="Calibri" w:hAnsi="Calibri"/>
                <w:b/>
                <w:sz w:val="18"/>
                <w:color w:val="FFFFFF"/>
              </w:rPr>
              <w:t>Mt CO₂-eq</w:t>
            </w:r>
          </w:p>
        </w:tc>
        <w:tc>
          <w:tcPr>
            <w:tcW w:type="dxa" w:w="1987"/>
            <w:shd w:val="clear" w:fill="0B4F4A"/>
          </w:tcPr>
          <w:p>
            <w:r>
              <w:rPr>
                <w:rFonts w:ascii="Calibri" w:hAnsi="Calibri"/>
                <w:b/>
                <w:sz w:val="18"/>
                <w:color w:val="FFFFFF"/>
              </w:rPr>
              <w:t>t per person</w:t>
            </w:r>
          </w:p>
        </w:tc>
        <w:tc>
          <w:tcPr>
            <w:tcW w:type="dxa" w:w="1987"/>
            <w:shd w:val="clear" w:fill="0B4F4A"/>
          </w:tcPr>
          <w:p>
            <w:r>
              <w:rPr>
                <w:rFonts w:ascii="Calibri" w:hAnsi="Calibri"/>
                <w:b/>
                <w:sz w:val="18"/>
                <w:color w:val="FFFFFF"/>
              </w:rPr>
              <w:t>Share of national (%)</w:t>
            </w:r>
          </w:p>
        </w:tc>
        <w:tc>
          <w:tcPr>
            <w:tcW w:type="dxa" w:w="1987"/>
            <w:shd w:val="clear" w:fill="0B4F4A"/>
          </w:tcPr>
          <w:p>
            <w:r>
              <w:rPr>
                <w:rFonts w:ascii="Calibri" w:hAnsi="Calibri"/>
                <w:b/>
                <w:sz w:val="18"/>
                <w:color w:val="FFFFFF"/>
              </w:rPr>
              <w:t>Comparable</w:t>
            </w:r>
          </w:p>
        </w:tc>
      </w:tr>
      <w:tr>
        <w:tc>
          <w:tcPr>
            <w:tcW w:type="dxa" w:w="1987"/>
          </w:tcPr>
          <w:p>
            <w:r>
              <w:rPr>
                <w:rFonts w:ascii="Calibri" w:hAnsi="Calibri"/>
                <w:sz w:val="18"/>
              </w:rPr>
              <w:t>Schmidt &amp; Merciai 2023 (published comparator)</w:t>
            </w:r>
          </w:p>
        </w:tc>
        <w:tc>
          <w:tcPr>
            <w:tcW w:type="dxa" w:w="1987"/>
          </w:tcPr>
          <w:p>
            <w:pPr>
              <w:jc w:val="right"/>
            </w:pPr>
            <w:r>
              <w:rPr>
                <w:rFonts w:ascii="Calibri" w:hAnsi="Calibri"/>
                <w:sz w:val="18"/>
              </w:rPr>
              <w:t>6.10</w:t>
            </w:r>
          </w:p>
        </w:tc>
        <w:tc>
          <w:tcPr>
            <w:tcW w:type="dxa" w:w="1987"/>
          </w:tcPr>
          <w:p>
            <w:pPr>
              <w:jc w:val="right"/>
            </w:pPr>
            <w:r>
              <w:rPr>
                <w:rFonts w:ascii="Calibri" w:hAnsi="Calibri"/>
                <w:sz w:val="18"/>
              </w:rPr>
              <w:t>1.070</w:t>
            </w:r>
          </w:p>
        </w:tc>
        <w:tc>
          <w:tcPr>
            <w:tcW w:type="dxa" w:w="1987"/>
          </w:tcPr>
          <w:p>
            <w:pPr>
              <w:jc w:val="right"/>
            </w:pPr>
            <w:r>
              <w:rPr>
                <w:rFonts w:ascii="Calibri" w:hAnsi="Calibri"/>
                <w:sz w:val="18"/>
              </w:rPr>
              <w:t>8.3</w:t>
            </w:r>
          </w:p>
        </w:tc>
        <w:tc>
          <w:tcPr>
            <w:tcW w:type="dxa" w:w="1987"/>
          </w:tcPr>
          <w:p>
            <w:r>
              <w:rPr>
                <w:rFonts w:ascii="Calibri" w:hAnsi="Calibri"/>
                <w:sz w:val="18"/>
              </w:rPr>
              <w:t>yes</w:t>
            </w:r>
          </w:p>
        </w:tc>
      </w:tr>
      <w:tr>
        <w:tc>
          <w:tcPr>
            <w:tcW w:type="dxa" w:w="1987"/>
          </w:tcPr>
          <w:p>
            <w:r>
              <w:rPr>
                <w:rFonts w:ascii="Calibri" w:hAnsi="Calibri"/>
                <w:sz w:val="18"/>
              </w:rPr>
              <w:t>this study, headline</w:t>
            </w:r>
          </w:p>
        </w:tc>
        <w:tc>
          <w:tcPr>
            <w:tcW w:type="dxa" w:w="1987"/>
          </w:tcPr>
          <w:p>
            <w:pPr>
              <w:jc w:val="right"/>
            </w:pPr>
            <w:r>
              <w:rPr>
                <w:rFonts w:ascii="Calibri" w:hAnsi="Calibri"/>
                <w:sz w:val="18"/>
              </w:rPr>
              <w:t>4.71</w:t>
            </w:r>
          </w:p>
        </w:tc>
        <w:tc>
          <w:tcPr>
            <w:tcW w:type="dxa" w:w="1987"/>
          </w:tcPr>
          <w:p>
            <w:pPr>
              <w:jc w:val="right"/>
            </w:pPr>
            <w:r>
              <w:rPr>
                <w:rFonts w:ascii="Calibri" w:hAnsi="Calibri"/>
                <w:sz w:val="18"/>
              </w:rPr>
              <w:t>0.802</w:t>
            </w:r>
          </w:p>
        </w:tc>
        <w:tc>
          <w:tcPr>
            <w:tcW w:type="dxa" w:w="1987"/>
          </w:tcPr>
          <w:p>
            <w:pPr>
              <w:jc w:val="right"/>
            </w:pPr>
            <w:r>
              <w:rPr>
                <w:rFonts w:ascii="Calibri" w:hAnsi="Calibri"/>
                <w:sz w:val="18"/>
              </w:rPr>
              <w:t>6.1</w:t>
            </w:r>
          </w:p>
        </w:tc>
        <w:tc>
          <w:tcPr>
            <w:tcW w:type="dxa" w:w="1987"/>
          </w:tcPr>
          <w:p>
            <w:r>
              <w:rPr>
                <w:rFonts w:ascii="Calibri" w:hAnsi="Calibri"/>
                <w:sz w:val="18"/>
              </w:rPr>
              <w:t>no</w:t>
            </w:r>
          </w:p>
        </w:tc>
      </w:tr>
      <w:tr>
        <w:tc>
          <w:tcPr>
            <w:tcW w:type="dxa" w:w="1987"/>
          </w:tcPr>
          <w:p>
            <w:r>
              <w:rPr>
                <w:rFonts w:ascii="Calibri" w:hAnsi="Calibri"/>
                <w:sz w:val="18"/>
              </w:rPr>
              <w:t>this study, sector boundary matched</w:t>
            </w:r>
          </w:p>
        </w:tc>
        <w:tc>
          <w:tcPr>
            <w:tcW w:type="dxa" w:w="1987"/>
          </w:tcPr>
          <w:p>
            <w:pPr>
              <w:jc w:val="right"/>
            </w:pPr>
            <w:r>
              <w:rPr>
                <w:rFonts w:ascii="Calibri" w:hAnsi="Calibri"/>
                <w:sz w:val="18"/>
              </w:rPr>
              <w:t>5.28</w:t>
            </w:r>
          </w:p>
        </w:tc>
        <w:tc>
          <w:tcPr>
            <w:tcW w:type="dxa" w:w="1987"/>
          </w:tcPr>
          <w:p>
            <w:pPr>
              <w:jc w:val="right"/>
            </w:pPr>
            <w:r>
              <w:rPr>
                <w:rFonts w:ascii="Calibri" w:hAnsi="Calibri"/>
                <w:sz w:val="18"/>
              </w:rPr>
              <w:t>0.899</w:t>
            </w:r>
          </w:p>
        </w:tc>
        <w:tc>
          <w:tcPr>
            <w:tcW w:type="dxa" w:w="1987"/>
          </w:tcPr>
          <w:p>
            <w:pPr>
              <w:jc w:val="right"/>
            </w:pPr>
            <w:r>
              <w:rPr>
                <w:rFonts w:ascii="Calibri" w:hAnsi="Calibri"/>
                <w:sz w:val="18"/>
              </w:rPr>
              <w:t>6.8</w:t>
            </w:r>
          </w:p>
        </w:tc>
        <w:tc>
          <w:tcPr>
            <w:tcW w:type="dxa" w:w="1987"/>
          </w:tcPr>
          <w:p>
            <w:r>
              <w:rPr>
                <w:rFonts w:ascii="Calibri" w:hAnsi="Calibri"/>
                <w:sz w:val="18"/>
              </w:rPr>
              <w:t>no</w:t>
            </w:r>
          </w:p>
        </w:tc>
      </w:tr>
      <w:tr>
        <w:tc>
          <w:tcPr>
            <w:tcW w:type="dxa" w:w="1987"/>
          </w:tcPr>
          <w:p>
            <w:r>
              <w:rPr>
                <w:rFonts w:ascii="Calibri" w:hAnsi="Calibri"/>
                <w:sz w:val="18"/>
              </w:rPr>
              <w:t>this study, sector boundary AND capital matched</w:t>
            </w:r>
          </w:p>
        </w:tc>
        <w:tc>
          <w:tcPr>
            <w:tcW w:type="dxa" w:w="1987"/>
          </w:tcPr>
          <w:p>
            <w:pPr>
              <w:jc w:val="right"/>
            </w:pPr>
            <w:r>
              <w:rPr>
                <w:rFonts w:ascii="Calibri" w:hAnsi="Calibri"/>
                <w:sz w:val="18"/>
              </w:rPr>
              <w:t>6.39</w:t>
            </w:r>
          </w:p>
        </w:tc>
        <w:tc>
          <w:tcPr>
            <w:tcW w:type="dxa" w:w="1987"/>
          </w:tcPr>
          <w:p>
            <w:pPr>
              <w:jc w:val="right"/>
            </w:pPr>
            <w:r>
              <w:rPr>
                <w:rFonts w:ascii="Calibri" w:hAnsi="Calibri"/>
                <w:sz w:val="18"/>
              </w:rPr>
              <w:t>1.088</w:t>
            </w:r>
          </w:p>
        </w:tc>
        <w:tc>
          <w:tcPr>
            <w:tcW w:type="dxa" w:w="1987"/>
          </w:tcPr>
          <w:p>
            <w:pPr>
              <w:jc w:val="right"/>
            </w:pPr>
            <w:r>
              <w:rPr>
                <w:rFonts w:ascii="Calibri" w:hAnsi="Calibri"/>
                <w:sz w:val="18"/>
              </w:rPr>
              <w:t>8.2</w:t>
            </w:r>
          </w:p>
        </w:tc>
        <w:tc>
          <w:tcPr>
            <w:tcW w:type="dxa" w:w="1987"/>
          </w:tcPr>
          <w:p>
            <w:r>
              <w:rPr>
                <w:rFonts w:ascii="Calibri" w:hAnsi="Calibri"/>
                <w:sz w:val="18"/>
              </w:rPr>
              <w:t>yes</w:t>
            </w:r>
          </w:p>
        </w:tc>
      </w:tr>
    </w:tbl>
    <w:p>
      <w:r>
        <w:rPr>
          <w:color w:val="253331"/>
          <w:sz w:val="18"/>
        </w:rPr>
        <w:t>Note. Only the last row is comparable with the published value. Two conventions separate them: the sector boundary, where the comparator uses NACE Q including childcare, and the treatment of capital, which the comparator endogenises. Their model is consequential and this one attributional, and that difference cannot be removed by matching boundaries; it remains, and the agreement should be read with it.</w:t>
      </w:r>
    </w:p>
    <w:p>
      <w:r>
        <w:rPr>
          <w:color w:val="6B7F7B"/>
          <w:sz w:val="17"/>
        </w:rPr>
        <w:t>Source. 06_benchmarks_validation/danish_healthcare_benchmark_boundary_matched.csv</w:t>
      </w:r>
    </w:p>
    <w:p/>
    <w:p>
      <w:r>
        <w:rPr>
          <w:rFonts w:ascii="Cambria" w:hAnsi="Cambria"/>
          <w:b/>
          <w:color w:val="0B4F4A"/>
          <w:sz w:val="22"/>
        </w:rPr>
        <w:t>Table 7. The choice of global-warming-potential vintage moves the climate footprint by 5 %</w:t>
      </w:r>
    </w:p>
    <w:tbl>
      <w:tblPr>
        <w:tblStyle w:val="TableGrid"/>
        <w:tblW w:type="auto" w:w="0"/>
        <w:jc w:val="left"/>
        <w:tblLook w:firstColumn="1" w:firstRow="1" w:lastColumn="0" w:lastRow="0" w:noHBand="0" w:noVBand="1" w:val="04A0"/>
      </w:tblPr>
      <w:tblGrid>
        <w:gridCol w:w="4968"/>
        <w:gridCol w:w="4968"/>
      </w:tblGrid>
      <w:tr>
        <w:tc>
          <w:tcPr>
            <w:tcW w:type="dxa" w:w="4968"/>
            <w:shd w:val="clear" w:fill="0B4F4A"/>
          </w:tcPr>
          <w:p>
            <w:r>
              <w:rPr>
                <w:rFonts w:ascii="Calibri" w:hAnsi="Calibri"/>
                <w:b/>
                <w:sz w:val="18"/>
                <w:color w:val="FFFFFF"/>
              </w:rPr>
              <w:t>Vintage</w:t>
            </w:r>
          </w:p>
        </w:tc>
        <w:tc>
          <w:tcPr>
            <w:tcW w:type="dxa" w:w="4968"/>
            <w:shd w:val="clear" w:fill="0B4F4A"/>
          </w:tcPr>
          <w:p>
            <w:r>
              <w:rPr>
                <w:rFonts w:ascii="Calibri" w:hAnsi="Calibri"/>
                <w:b/>
                <w:sz w:val="18"/>
                <w:color w:val="FFFFFF"/>
              </w:rPr>
              <w:t>Health care (kt CO₂-eq)</w:t>
            </w:r>
          </w:p>
        </w:tc>
      </w:tr>
      <w:tr>
        <w:tc>
          <w:tcPr>
            <w:tcW w:type="dxa" w:w="4968"/>
          </w:tcPr>
          <w:p>
            <w:r>
              <w:rPr>
                <w:rFonts w:ascii="Calibri" w:hAnsi="Calibri"/>
                <w:sz w:val="18"/>
              </w:rPr>
              <w:t>DNK</w:t>
            </w:r>
          </w:p>
        </w:tc>
        <w:tc>
          <w:tcPr>
            <w:tcW w:type="dxa" w:w="4968"/>
          </w:tcPr>
          <w:p>
            <w:pPr>
              <w:jc w:val="right"/>
            </w:pPr>
            <w:r>
              <w:rPr>
                <w:rFonts w:ascii="Calibri" w:hAnsi="Calibri"/>
                <w:sz w:val="18"/>
              </w:rPr>
              <w:t>2,022</w:t>
            </w:r>
          </w:p>
        </w:tc>
      </w:tr>
      <w:tr>
        <w:tc>
          <w:tcPr>
            <w:tcW w:type="dxa" w:w="4968"/>
          </w:tcPr>
          <w:p>
            <w:r>
              <w:rPr>
                <w:rFonts w:ascii="Calibri" w:hAnsi="Calibri"/>
                <w:sz w:val="18"/>
              </w:rPr>
              <w:t>DNK</w:t>
            </w:r>
          </w:p>
        </w:tc>
        <w:tc>
          <w:tcPr>
            <w:tcW w:type="dxa" w:w="4968"/>
          </w:tcPr>
          <w:p>
            <w:pPr>
              <w:jc w:val="right"/>
            </w:pPr>
            <w:r>
              <w:rPr>
                <w:rFonts w:ascii="Calibri" w:hAnsi="Calibri"/>
                <w:sz w:val="18"/>
              </w:rPr>
              <w:t>2,022</w:t>
            </w:r>
          </w:p>
        </w:tc>
      </w:tr>
      <w:tr>
        <w:tc>
          <w:tcPr>
            <w:tcW w:type="dxa" w:w="4968"/>
          </w:tcPr>
          <w:p>
            <w:r>
              <w:rPr>
                <w:rFonts w:ascii="Calibri" w:hAnsi="Calibri"/>
                <w:sz w:val="18"/>
              </w:rPr>
              <w:t>DNK</w:t>
            </w:r>
          </w:p>
        </w:tc>
        <w:tc>
          <w:tcPr>
            <w:tcW w:type="dxa" w:w="4968"/>
          </w:tcPr>
          <w:p>
            <w:pPr>
              <w:jc w:val="right"/>
            </w:pPr>
            <w:r>
              <w:rPr>
                <w:rFonts w:ascii="Calibri" w:hAnsi="Calibri"/>
                <w:sz w:val="18"/>
              </w:rPr>
              <w:t>2,022</w:t>
            </w:r>
          </w:p>
        </w:tc>
      </w:tr>
      <w:tr>
        <w:tc>
          <w:tcPr>
            <w:tcW w:type="dxa" w:w="4968"/>
          </w:tcPr>
          <w:p>
            <w:r>
              <w:rPr>
                <w:rFonts w:ascii="Calibri" w:hAnsi="Calibri"/>
                <w:sz w:val="18"/>
              </w:rPr>
              <w:t>DNK</w:t>
            </w:r>
          </w:p>
        </w:tc>
        <w:tc>
          <w:tcPr>
            <w:tcW w:type="dxa" w:w="4968"/>
          </w:tcPr>
          <w:p>
            <w:pPr>
              <w:jc w:val="right"/>
            </w:pPr>
            <w:r>
              <w:rPr>
                <w:rFonts w:ascii="Calibri" w:hAnsi="Calibri"/>
                <w:sz w:val="18"/>
              </w:rPr>
              <w:t>2,022</w:t>
            </w:r>
          </w:p>
        </w:tc>
      </w:tr>
      <w:tr>
        <w:tc>
          <w:tcPr>
            <w:tcW w:type="dxa" w:w="4968"/>
          </w:tcPr>
          <w:p>
            <w:r>
              <w:rPr>
                <w:rFonts w:ascii="Calibri" w:hAnsi="Calibri"/>
                <w:sz w:val="18"/>
              </w:rPr>
              <w:t>DNK</w:t>
            </w:r>
          </w:p>
        </w:tc>
        <w:tc>
          <w:tcPr>
            <w:tcW w:type="dxa" w:w="4968"/>
          </w:tcPr>
          <w:p>
            <w:pPr>
              <w:jc w:val="right"/>
            </w:pPr>
            <w:r>
              <w:rPr>
                <w:rFonts w:ascii="Calibri" w:hAnsi="Calibri"/>
                <w:sz w:val="18"/>
              </w:rPr>
              <w:t>2,022</w:t>
            </w:r>
          </w:p>
        </w:tc>
      </w:tr>
    </w:tbl>
    <w:p>
      <w:r>
        <w:rPr>
          <w:color w:val="253331"/>
          <w:sz w:val="18"/>
        </w:rPr>
        <w:t>Note. The study reports AR6 throughout. The spread across four IPCC assessment vintages is a reminder that a climate footprint is not a measurement but a measurement combined with a convention, and that the convention must be stated with the number. The environment variable HC_GWP_VINTAGE reproduces any row.</w:t>
      </w:r>
    </w:p>
    <w:p>
      <w:r>
        <w:rPr>
          <w:color w:val="6B7F7B"/>
          <w:sz w:val="17"/>
        </w:rPr>
        <w:t>Source. 15_gwp_vintage/gwp_vintage_sensitivity.csv</w:t>
      </w:r>
    </w:p>
    <w:p/>
    <w:p>
      <w:r>
        <w:rPr>
          <w:rFonts w:ascii="Cambria" w:hAnsi="Cambria"/>
          <w:b/>
          <w:color w:val="0B4F4A"/>
          <w:sz w:val="22"/>
        </w:rPr>
        <w:t>Table 8. Endogenising capital raises every impact category, by 10 % to 33 %</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fill="0B4F4A"/>
          </w:tcPr>
          <w:p>
            <w:r>
              <w:rPr>
                <w:rFonts w:ascii="Calibri" w:hAnsi="Calibri"/>
                <w:b/>
                <w:sz w:val="18"/>
                <w:color w:val="FFFFFF"/>
              </w:rPr>
              <w:t>Impact category</w:t>
            </w:r>
          </w:p>
        </w:tc>
        <w:tc>
          <w:tcPr>
            <w:tcW w:type="dxa" w:w="1656"/>
            <w:shd w:val="clear" w:fill="0B4F4A"/>
          </w:tcPr>
          <w:p>
            <w:r>
              <w:rPr>
                <w:rFonts w:ascii="Calibri" w:hAnsi="Calibri"/>
                <w:b/>
                <w:sz w:val="18"/>
                <w:color w:val="FFFFFF"/>
              </w:rPr>
              <w:t>Unit</w:t>
            </w:r>
          </w:p>
        </w:tc>
        <w:tc>
          <w:tcPr>
            <w:tcW w:type="dxa" w:w="1656"/>
            <w:shd w:val="clear" w:fill="0B4F4A"/>
          </w:tcPr>
          <w:p>
            <w:r>
              <w:rPr>
                <w:rFonts w:ascii="Calibri" w:hAnsi="Calibri"/>
                <w:b/>
                <w:sz w:val="18"/>
                <w:color w:val="FFFFFF"/>
              </w:rPr>
              <w:t>Capital excluded (headline)</w:t>
            </w:r>
          </w:p>
        </w:tc>
        <w:tc>
          <w:tcPr>
            <w:tcW w:type="dxa" w:w="1656"/>
            <w:shd w:val="clear" w:fill="0B4F4A"/>
          </w:tcPr>
          <w:p>
            <w:r>
              <w:rPr>
                <w:rFonts w:ascii="Calibri" w:hAnsi="Calibri"/>
                <w:b/>
                <w:sz w:val="18"/>
                <w:color w:val="FFFFFF"/>
              </w:rPr>
              <w:t>Capital as a service flow</w:t>
            </w:r>
          </w:p>
        </w:tc>
        <w:tc>
          <w:tcPr>
            <w:tcW w:type="dxa" w:w="1656"/>
            <w:shd w:val="clear" w:fill="0B4F4A"/>
          </w:tcPr>
          <w:p>
            <w:r>
              <w:rPr>
                <w:rFonts w:ascii="Calibri" w:hAnsi="Calibri"/>
                <w:b/>
                <w:sz w:val="18"/>
                <w:color w:val="FFFFFF"/>
              </w:rPr>
              <w:t>Capital endogenised</w:t>
            </w:r>
          </w:p>
        </w:tc>
        <w:tc>
          <w:tcPr>
            <w:tcW w:type="dxa" w:w="1656"/>
            <w:shd w:val="clear" w:fill="0B4F4A"/>
          </w:tcPr>
          <w:p>
            <w:r>
              <w:rPr>
                <w:rFonts w:ascii="Calibri" w:hAnsi="Calibri"/>
                <w:b/>
                <w:sz w:val="18"/>
                <w:color w:val="FFFFFF"/>
              </w:rPr>
              <w:t>Endogenised change (%)</w:t>
            </w:r>
          </w:p>
        </w:tc>
      </w:tr>
      <w:tr>
        <w:tc>
          <w:tcPr>
            <w:tcW w:type="dxa" w:w="1656"/>
          </w:tcPr>
          <w:p>
            <w:r>
              <w:rPr>
                <w:rFonts w:ascii="Calibri" w:hAnsi="Calibri"/>
                <w:sz w:val="18"/>
              </w:rPr>
              <w:t>Blue water consumption</w:t>
            </w:r>
          </w:p>
        </w:tc>
        <w:tc>
          <w:tcPr>
            <w:tcW w:type="dxa" w:w="1656"/>
          </w:tcPr>
          <w:p>
            <w:r>
              <w:rPr>
                <w:rFonts w:ascii="Calibri" w:hAnsi="Calibri"/>
                <w:sz w:val="18"/>
              </w:rPr>
              <w:t>Mm³</w:t>
            </w:r>
          </w:p>
        </w:tc>
        <w:tc>
          <w:tcPr>
            <w:tcW w:type="dxa" w:w="1656"/>
          </w:tcPr>
          <w:p>
            <w:pPr>
              <w:jc w:val="right"/>
            </w:pPr>
            <w:r>
              <w:rPr>
                <w:rFonts w:ascii="Calibri" w:hAnsi="Calibri"/>
                <w:sz w:val="18"/>
              </w:rPr>
              <w:t>95.3</w:t>
            </w:r>
          </w:p>
        </w:tc>
        <w:tc>
          <w:tcPr>
            <w:tcW w:type="dxa" w:w="1656"/>
          </w:tcPr>
          <w:p>
            <w:pPr>
              <w:jc w:val="right"/>
            </w:pPr>
            <w:r>
              <w:rPr>
                <w:rFonts w:ascii="Calibri" w:hAnsi="Calibri"/>
                <w:sz w:val="18"/>
              </w:rPr>
              <w:t>102.4</w:t>
            </w:r>
          </w:p>
        </w:tc>
        <w:tc>
          <w:tcPr>
            <w:tcW w:type="dxa" w:w="1656"/>
          </w:tcPr>
          <w:p>
            <w:pPr>
              <w:jc w:val="right"/>
            </w:pPr>
            <w:r>
              <w:rPr>
                <w:rFonts w:ascii="Calibri" w:hAnsi="Calibri"/>
                <w:sz w:val="18"/>
              </w:rPr>
              <w:t>105.4</w:t>
            </w:r>
          </w:p>
        </w:tc>
        <w:tc>
          <w:tcPr>
            <w:tcW w:type="dxa" w:w="1656"/>
          </w:tcPr>
          <w:p>
            <w:pPr>
              <w:jc w:val="right"/>
            </w:pPr>
            <w:r>
              <w:rPr>
                <w:rFonts w:ascii="Calibri" w:hAnsi="Calibri"/>
                <w:sz w:val="18"/>
              </w:rPr>
              <w:t>10.6</w:t>
            </w:r>
          </w:p>
        </w:tc>
      </w:tr>
      <w:tr>
        <w:tc>
          <w:tcPr>
            <w:tcW w:type="dxa" w:w="1656"/>
          </w:tcPr>
          <w:p>
            <w:r>
              <w:rPr>
                <w:rFonts w:ascii="Calibri" w:hAnsi="Calibri"/>
                <w:sz w:val="18"/>
              </w:rPr>
              <w:t>Climate change</w:t>
            </w:r>
          </w:p>
        </w:tc>
        <w:tc>
          <w:tcPr>
            <w:tcW w:type="dxa" w:w="1656"/>
          </w:tcPr>
          <w:p>
            <w:r>
              <w:rPr>
                <w:rFonts w:ascii="Calibri" w:hAnsi="Calibri"/>
                <w:sz w:val="18"/>
              </w:rPr>
              <w:t>kt CO₂-eq</w:t>
            </w:r>
          </w:p>
        </w:tc>
        <w:tc>
          <w:tcPr>
            <w:tcW w:type="dxa" w:w="1656"/>
          </w:tcPr>
          <w:p>
            <w:pPr>
              <w:jc w:val="right"/>
            </w:pPr>
            <w:r>
              <w:rPr>
                <w:rFonts w:ascii="Calibri" w:hAnsi="Calibri"/>
                <w:sz w:val="18"/>
              </w:rPr>
              <w:t>4,062.0</w:t>
            </w:r>
          </w:p>
        </w:tc>
        <w:tc>
          <w:tcPr>
            <w:tcW w:type="dxa" w:w="1656"/>
          </w:tcPr>
          <w:p>
            <w:pPr>
              <w:jc w:val="right"/>
            </w:pPr>
            <w:r>
              <w:rPr>
                <w:rFonts w:ascii="Calibri" w:hAnsi="Calibri"/>
                <w:sz w:val="18"/>
              </w:rPr>
              <w:t>4,598.1</w:t>
            </w:r>
          </w:p>
        </w:tc>
        <w:tc>
          <w:tcPr>
            <w:tcW w:type="dxa" w:w="1656"/>
          </w:tcPr>
          <w:p>
            <w:pPr>
              <w:jc w:val="right"/>
            </w:pPr>
            <w:r>
              <w:rPr>
                <w:rFonts w:ascii="Calibri" w:hAnsi="Calibri"/>
                <w:sz w:val="18"/>
              </w:rPr>
              <w:t>4,913.9</w:t>
            </w:r>
          </w:p>
        </w:tc>
        <w:tc>
          <w:tcPr>
            <w:tcW w:type="dxa" w:w="1656"/>
          </w:tcPr>
          <w:p>
            <w:pPr>
              <w:jc w:val="right"/>
            </w:pPr>
            <w:r>
              <w:rPr>
                <w:rFonts w:ascii="Calibri" w:hAnsi="Calibri"/>
                <w:sz w:val="18"/>
              </w:rPr>
              <w:t>21.0</w:t>
            </w:r>
          </w:p>
        </w:tc>
      </w:tr>
      <w:tr>
        <w:tc>
          <w:tcPr>
            <w:tcW w:type="dxa" w:w="1656"/>
          </w:tcPr>
          <w:p>
            <w:r>
              <w:rPr>
                <w:rFonts w:ascii="Calibri" w:hAnsi="Calibri"/>
                <w:sz w:val="18"/>
              </w:rPr>
              <w:t>Land use</w:t>
            </w:r>
          </w:p>
        </w:tc>
        <w:tc>
          <w:tcPr>
            <w:tcW w:type="dxa" w:w="1656"/>
          </w:tcPr>
          <w:p>
            <w:r>
              <w:rPr>
                <w:rFonts w:ascii="Calibri" w:hAnsi="Calibri"/>
                <w:sz w:val="18"/>
              </w:rPr>
              <w:t>km²</w:t>
            </w:r>
          </w:p>
        </w:tc>
        <w:tc>
          <w:tcPr>
            <w:tcW w:type="dxa" w:w="1656"/>
          </w:tcPr>
          <w:p>
            <w:pPr>
              <w:jc w:val="right"/>
            </w:pPr>
            <w:r>
              <w:rPr>
                <w:rFonts w:ascii="Calibri" w:hAnsi="Calibri"/>
                <w:sz w:val="18"/>
              </w:rPr>
              <w:t>4,853.8</w:t>
            </w:r>
          </w:p>
        </w:tc>
        <w:tc>
          <w:tcPr>
            <w:tcW w:type="dxa" w:w="1656"/>
          </w:tcPr>
          <w:p>
            <w:pPr>
              <w:jc w:val="right"/>
            </w:pPr>
            <w:r>
              <w:rPr>
                <w:rFonts w:ascii="Calibri" w:hAnsi="Calibri"/>
                <w:sz w:val="18"/>
              </w:rPr>
              <w:t>5,362.1</w:t>
            </w:r>
          </w:p>
        </w:tc>
        <w:tc>
          <w:tcPr>
            <w:tcW w:type="dxa" w:w="1656"/>
          </w:tcPr>
          <w:p>
            <w:pPr>
              <w:jc w:val="right"/>
            </w:pPr>
            <w:r>
              <w:rPr>
                <w:rFonts w:ascii="Calibri" w:hAnsi="Calibri"/>
                <w:sz w:val="18"/>
              </w:rPr>
              <w:t>5,767.1</w:t>
            </w:r>
          </w:p>
        </w:tc>
        <w:tc>
          <w:tcPr>
            <w:tcW w:type="dxa" w:w="1656"/>
          </w:tcPr>
          <w:p>
            <w:pPr>
              <w:jc w:val="right"/>
            </w:pPr>
            <w:r>
              <w:rPr>
                <w:rFonts w:ascii="Calibri" w:hAnsi="Calibri"/>
                <w:sz w:val="18"/>
              </w:rPr>
              <w:t>18.8</w:t>
            </w:r>
          </w:p>
        </w:tc>
      </w:tr>
      <w:tr>
        <w:tc>
          <w:tcPr>
            <w:tcW w:type="dxa" w:w="1656"/>
          </w:tcPr>
          <w:p>
            <w:r>
              <w:rPr>
                <w:rFonts w:ascii="Calibri" w:hAnsi="Calibri"/>
                <w:sz w:val="18"/>
              </w:rPr>
              <w:t>Material extraction</w:t>
            </w:r>
          </w:p>
        </w:tc>
        <w:tc>
          <w:tcPr>
            <w:tcW w:type="dxa" w:w="1656"/>
          </w:tcPr>
          <w:p>
            <w:r>
              <w:rPr>
                <w:rFonts w:ascii="Calibri" w:hAnsi="Calibri"/>
                <w:sz w:val="18"/>
              </w:rPr>
              <w:t>kt</w:t>
            </w:r>
          </w:p>
        </w:tc>
        <w:tc>
          <w:tcPr>
            <w:tcW w:type="dxa" w:w="1656"/>
          </w:tcPr>
          <w:p>
            <w:pPr>
              <w:jc w:val="right"/>
            </w:pPr>
            <w:r>
              <w:rPr>
                <w:rFonts w:ascii="Calibri" w:hAnsi="Calibri"/>
                <w:sz w:val="18"/>
              </w:rPr>
              <w:t>4,233.7</w:t>
            </w:r>
          </w:p>
        </w:tc>
        <w:tc>
          <w:tcPr>
            <w:tcW w:type="dxa" w:w="1656"/>
          </w:tcPr>
          <w:p>
            <w:pPr>
              <w:jc w:val="right"/>
            </w:pPr>
            <w:r>
              <w:rPr>
                <w:rFonts w:ascii="Calibri" w:hAnsi="Calibri"/>
                <w:sz w:val="18"/>
              </w:rPr>
              <w:t>5,027.7</w:t>
            </w:r>
          </w:p>
        </w:tc>
        <w:tc>
          <w:tcPr>
            <w:tcW w:type="dxa" w:w="1656"/>
          </w:tcPr>
          <w:p>
            <w:pPr>
              <w:jc w:val="right"/>
            </w:pPr>
            <w:r>
              <w:rPr>
                <w:rFonts w:ascii="Calibri" w:hAnsi="Calibri"/>
                <w:sz w:val="18"/>
              </w:rPr>
              <w:t>5,546.6</w:t>
            </w:r>
          </w:p>
        </w:tc>
        <w:tc>
          <w:tcPr>
            <w:tcW w:type="dxa" w:w="1656"/>
          </w:tcPr>
          <w:p>
            <w:pPr>
              <w:jc w:val="right"/>
            </w:pPr>
            <w:r>
              <w:rPr>
                <w:rFonts w:ascii="Calibri" w:hAnsi="Calibri"/>
                <w:sz w:val="18"/>
              </w:rPr>
              <w:t>31.0</w:t>
            </w:r>
          </w:p>
        </w:tc>
      </w:tr>
      <w:tr>
        <w:tc>
          <w:tcPr>
            <w:tcW w:type="dxa" w:w="1656"/>
          </w:tcPr>
          <w:p>
            <w:r>
              <w:rPr>
                <w:rFonts w:ascii="Calibri" w:hAnsi="Calibri"/>
                <w:sz w:val="18"/>
              </w:rPr>
              <w:t>Waste generation</w:t>
            </w:r>
          </w:p>
        </w:tc>
        <w:tc>
          <w:tcPr>
            <w:tcW w:type="dxa" w:w="1656"/>
          </w:tcPr>
          <w:p>
            <w:r>
              <w:rPr>
                <w:rFonts w:ascii="Calibri" w:hAnsi="Calibri"/>
                <w:sz w:val="18"/>
              </w:rPr>
              <w:t>kt</w:t>
            </w:r>
          </w:p>
        </w:tc>
        <w:tc>
          <w:tcPr>
            <w:tcW w:type="dxa" w:w="1656"/>
          </w:tcPr>
          <w:p>
            <w:pPr>
              <w:jc w:val="right"/>
            </w:pPr>
            <w:r>
              <w:rPr>
                <w:rFonts w:ascii="Calibri" w:hAnsi="Calibri"/>
                <w:sz w:val="18"/>
              </w:rPr>
              <w:t>259.4</w:t>
            </w:r>
          </w:p>
        </w:tc>
        <w:tc>
          <w:tcPr>
            <w:tcW w:type="dxa" w:w="1656"/>
          </w:tcPr>
          <w:p>
            <w:pPr>
              <w:jc w:val="right"/>
            </w:pPr>
            <w:r>
              <w:rPr>
                <w:rFonts w:ascii="Calibri" w:hAnsi="Calibri"/>
                <w:sz w:val="18"/>
              </w:rPr>
              <w:t>283.2</w:t>
            </w:r>
          </w:p>
        </w:tc>
        <w:tc>
          <w:tcPr>
            <w:tcW w:type="dxa" w:w="1656"/>
          </w:tcPr>
          <w:p>
            <w:pPr>
              <w:jc w:val="right"/>
            </w:pPr>
            <w:r>
              <w:rPr>
                <w:rFonts w:ascii="Calibri" w:hAnsi="Calibri"/>
                <w:sz w:val="18"/>
              </w:rPr>
              <w:t>301.0</w:t>
            </w:r>
          </w:p>
        </w:tc>
        <w:tc>
          <w:tcPr>
            <w:tcW w:type="dxa" w:w="1656"/>
          </w:tcPr>
          <w:p>
            <w:pPr>
              <w:jc w:val="right"/>
            </w:pPr>
            <w:r>
              <w:rPr>
                <w:rFonts w:ascii="Calibri" w:hAnsi="Calibri"/>
                <w:sz w:val="18"/>
              </w:rPr>
              <w:t>16.0</w:t>
            </w:r>
          </w:p>
        </w:tc>
      </w:tr>
    </w:tbl>
    <w:p>
      <w:r>
        <w:rPr>
          <w:color w:val="253331"/>
          <w:sz w:val="18"/>
        </w:rPr>
        <w:t>Note. Capital is excluded from the headline, which is the convention Steenmeijer et al., Eckelman and Sherman, and the NHS reports use, so the headline stays comparable with the literature. The endogenised column follows Sodersten et al. (2018) and is the treatment Schmidt and Merciai use, which is why table 6 needs it. None of the three is wrong; each is a convention that must be reported with the number.</w:t>
      </w:r>
    </w:p>
    <w:p>
      <w:r>
        <w:rPr>
          <w:color w:val="6B7F7B"/>
          <w:sz w:val="17"/>
        </w:rPr>
        <w:t>Source. 11_capital_gfcf/capital_scenarios_by_indicator.csv</w:t>
      </w:r>
    </w:p>
    <w:p/>
    <w:p>
      <w:r>
        <w:rPr>
          <w:rFonts w:ascii="Cambria" w:hAnsi="Cambria"/>
          <w:b/>
          <w:color w:val="0B4F4A"/>
          <w:sz w:val="22"/>
        </w:rPr>
        <w:t>Table 9. The function split is an expenditure ranking, not an intensity finding</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0B4F4A"/>
          </w:tcPr>
          <w:p>
            <w:r>
              <w:rPr>
                <w:rFonts w:ascii="Calibri" w:hAnsi="Calibri"/>
                <w:b/>
                <w:sz w:val="18"/>
                <w:color w:val="FFFFFF"/>
              </w:rPr>
              <w:t>Function</w:t>
            </w:r>
          </w:p>
        </w:tc>
        <w:tc>
          <w:tcPr>
            <w:tcW w:type="dxa" w:w="1987"/>
            <w:shd w:val="clear" w:fill="0B4F4A"/>
          </w:tcPr>
          <w:p>
            <w:r>
              <w:rPr>
                <w:rFonts w:ascii="Calibri" w:hAnsi="Calibri"/>
                <w:b/>
                <w:sz w:val="18"/>
                <w:color w:val="FFFFFF"/>
              </w:rPr>
              <w:t>Expenditure (M.EUR)</w:t>
            </w:r>
          </w:p>
        </w:tc>
        <w:tc>
          <w:tcPr>
            <w:tcW w:type="dxa" w:w="1987"/>
            <w:shd w:val="clear" w:fill="0B4F4A"/>
          </w:tcPr>
          <w:p>
            <w:r>
              <w:rPr>
                <w:rFonts w:ascii="Calibri" w:hAnsi="Calibri"/>
                <w:b/>
                <w:sz w:val="18"/>
                <w:color w:val="FFFFFF"/>
              </w:rPr>
              <w:t>Share of spending (%)</w:t>
            </w:r>
          </w:p>
        </w:tc>
        <w:tc>
          <w:tcPr>
            <w:tcW w:type="dxa" w:w="1987"/>
            <w:shd w:val="clear" w:fill="0B4F4A"/>
          </w:tcPr>
          <w:p>
            <w:r>
              <w:rPr>
                <w:rFonts w:ascii="Calibri" w:hAnsi="Calibri"/>
                <w:b/>
                <w:sz w:val="18"/>
                <w:color w:val="FFFFFF"/>
              </w:rPr>
              <w:t>Intensity (kt per M.EUR)</w:t>
            </w:r>
          </w:p>
        </w:tc>
        <w:tc>
          <w:tcPr>
            <w:tcW w:type="dxa" w:w="1987"/>
            <w:shd w:val="clear" w:fill="0B4F4A"/>
          </w:tcPr>
          <w:p>
            <w:r>
              <w:rPr>
                <w:rFonts w:ascii="Calibri" w:hAnsi="Calibri"/>
                <w:b/>
                <w:sz w:val="18"/>
                <w:color w:val="FFFFFF"/>
              </w:rPr>
              <w:t>Footprint (kt CO₂-eq)</w:t>
            </w:r>
          </w:p>
        </w:tc>
      </w:tr>
      <w:tr>
        <w:tc>
          <w:tcPr>
            <w:tcW w:type="dxa" w:w="1987"/>
          </w:tcPr>
          <w:p>
            <w:r>
              <w:rPr>
                <w:rFonts w:ascii="Calibri" w:hAnsi="Calibri"/>
                <w:sz w:val="18"/>
              </w:rPr>
              <w:t>Hospital services</w:t>
            </w:r>
          </w:p>
        </w:tc>
        <w:tc>
          <w:tcPr>
            <w:tcW w:type="dxa" w:w="1987"/>
          </w:tcPr>
          <w:p>
            <w:pPr>
              <w:jc w:val="right"/>
            </w:pPr>
            <w:r>
              <w:rPr>
                <w:rFonts w:ascii="Calibri" w:hAnsi="Calibri"/>
                <w:sz w:val="18"/>
              </w:rPr>
              <w:t>20,624</w:t>
            </w:r>
          </w:p>
        </w:tc>
        <w:tc>
          <w:tcPr>
            <w:tcW w:type="dxa" w:w="1987"/>
          </w:tcPr>
          <w:p>
            <w:pPr>
              <w:jc w:val="right"/>
            </w:pPr>
            <w:r>
              <w:rPr>
                <w:rFonts w:ascii="Calibri" w:hAnsi="Calibri"/>
                <w:sz w:val="18"/>
              </w:rPr>
              <w:t>50.8</w:t>
            </w:r>
          </w:p>
        </w:tc>
        <w:tc>
          <w:tcPr>
            <w:tcW w:type="dxa" w:w="1987"/>
          </w:tcPr>
          <w:p>
            <w:pPr>
              <w:jc w:val="right"/>
            </w:pPr>
            <w:r>
              <w:rPr>
                <w:rFonts w:ascii="Calibri" w:hAnsi="Calibri"/>
                <w:sz w:val="18"/>
              </w:rPr>
              <w:t>0.062</w:t>
            </w:r>
          </w:p>
        </w:tc>
        <w:tc>
          <w:tcPr>
            <w:tcW w:type="dxa" w:w="1987"/>
          </w:tcPr>
          <w:p>
            <w:pPr>
              <w:jc w:val="right"/>
            </w:pPr>
            <w:r>
              <w:rPr>
                <w:rFonts w:ascii="Calibri" w:hAnsi="Calibri"/>
                <w:sz w:val="18"/>
              </w:rPr>
              <w:t>1,288</w:t>
            </w:r>
          </w:p>
        </w:tc>
      </w:tr>
      <w:tr>
        <w:tc>
          <w:tcPr>
            <w:tcW w:type="dxa" w:w="1987"/>
          </w:tcPr>
          <w:p>
            <w:r>
              <w:rPr>
                <w:rFonts w:ascii="Calibri" w:hAnsi="Calibri"/>
                <w:sz w:val="18"/>
              </w:rPr>
              <w:t>Residential and long-term care</w:t>
            </w:r>
          </w:p>
        </w:tc>
        <w:tc>
          <w:tcPr>
            <w:tcW w:type="dxa" w:w="1987"/>
          </w:tcPr>
          <w:p>
            <w:pPr>
              <w:jc w:val="right"/>
            </w:pPr>
            <w:r>
              <w:rPr>
                <w:rFonts w:ascii="Calibri" w:hAnsi="Calibri"/>
                <w:sz w:val="18"/>
              </w:rPr>
              <w:t>9,518</w:t>
            </w:r>
          </w:p>
        </w:tc>
        <w:tc>
          <w:tcPr>
            <w:tcW w:type="dxa" w:w="1987"/>
          </w:tcPr>
          <w:p>
            <w:pPr>
              <w:jc w:val="right"/>
            </w:pPr>
            <w:r>
              <w:rPr>
                <w:rFonts w:ascii="Calibri" w:hAnsi="Calibri"/>
                <w:sz w:val="18"/>
              </w:rPr>
              <w:t>23.4</w:t>
            </w:r>
          </w:p>
        </w:tc>
        <w:tc>
          <w:tcPr>
            <w:tcW w:type="dxa" w:w="1987"/>
          </w:tcPr>
          <w:p>
            <w:pPr>
              <w:jc w:val="right"/>
            </w:pPr>
            <w:r>
              <w:rPr>
                <w:rFonts w:ascii="Calibri" w:hAnsi="Calibri"/>
                <w:sz w:val="18"/>
              </w:rPr>
              <w:t>0.062</w:t>
            </w:r>
          </w:p>
        </w:tc>
        <w:tc>
          <w:tcPr>
            <w:tcW w:type="dxa" w:w="1987"/>
          </w:tcPr>
          <w:p>
            <w:pPr>
              <w:jc w:val="right"/>
            </w:pPr>
            <w:r>
              <w:rPr>
                <w:rFonts w:ascii="Calibri" w:hAnsi="Calibri"/>
                <w:sz w:val="18"/>
              </w:rPr>
              <w:t>594</w:t>
            </w:r>
          </w:p>
        </w:tc>
      </w:tr>
      <w:tr>
        <w:tc>
          <w:tcPr>
            <w:tcW w:type="dxa" w:w="1987"/>
          </w:tcPr>
          <w:p>
            <w:r>
              <w:rPr>
                <w:rFonts w:ascii="Calibri" w:hAnsi="Calibri"/>
                <w:sz w:val="18"/>
              </w:rPr>
              <w:t>Outpatient and ambulatory care</w:t>
            </w:r>
          </w:p>
        </w:tc>
        <w:tc>
          <w:tcPr>
            <w:tcW w:type="dxa" w:w="1987"/>
          </w:tcPr>
          <w:p>
            <w:pPr>
              <w:jc w:val="right"/>
            </w:pPr>
            <w:r>
              <w:rPr>
                <w:rFonts w:ascii="Calibri" w:hAnsi="Calibri"/>
                <w:sz w:val="18"/>
              </w:rPr>
              <w:t>7,410</w:t>
            </w:r>
          </w:p>
        </w:tc>
        <w:tc>
          <w:tcPr>
            <w:tcW w:type="dxa" w:w="1987"/>
          </w:tcPr>
          <w:p>
            <w:pPr>
              <w:jc w:val="right"/>
            </w:pPr>
            <w:r>
              <w:rPr>
                <w:rFonts w:ascii="Calibri" w:hAnsi="Calibri"/>
                <w:sz w:val="18"/>
              </w:rPr>
              <w:t>18.3</w:t>
            </w:r>
          </w:p>
        </w:tc>
        <w:tc>
          <w:tcPr>
            <w:tcW w:type="dxa" w:w="1987"/>
          </w:tcPr>
          <w:p>
            <w:pPr>
              <w:jc w:val="right"/>
            </w:pPr>
            <w:r>
              <w:rPr>
                <w:rFonts w:ascii="Calibri" w:hAnsi="Calibri"/>
                <w:sz w:val="18"/>
              </w:rPr>
              <w:t>0.062</w:t>
            </w:r>
          </w:p>
        </w:tc>
        <w:tc>
          <w:tcPr>
            <w:tcW w:type="dxa" w:w="1987"/>
          </w:tcPr>
          <w:p>
            <w:pPr>
              <w:jc w:val="right"/>
            </w:pPr>
            <w:r>
              <w:rPr>
                <w:rFonts w:ascii="Calibri" w:hAnsi="Calibri"/>
                <w:sz w:val="18"/>
              </w:rPr>
              <w:t>463</w:t>
            </w:r>
          </w:p>
        </w:tc>
      </w:tr>
      <w:tr>
        <w:tc>
          <w:tcPr>
            <w:tcW w:type="dxa" w:w="1987"/>
          </w:tcPr>
          <w:p>
            <w:r>
              <w:rPr>
                <w:rFonts w:ascii="Calibri" w:hAnsi="Calibri"/>
                <w:sz w:val="18"/>
              </w:rPr>
              <w:t>Pharmaceuticals</w:t>
            </w:r>
          </w:p>
        </w:tc>
        <w:tc>
          <w:tcPr>
            <w:tcW w:type="dxa" w:w="1987"/>
          </w:tcPr>
          <w:p>
            <w:pPr>
              <w:jc w:val="right"/>
            </w:pPr>
            <w:r>
              <w:rPr>
                <w:rFonts w:ascii="Calibri" w:hAnsi="Calibri"/>
                <w:sz w:val="18"/>
              </w:rPr>
              <w:t>1,950</w:t>
            </w:r>
          </w:p>
        </w:tc>
        <w:tc>
          <w:tcPr>
            <w:tcW w:type="dxa" w:w="1987"/>
          </w:tcPr>
          <w:p>
            <w:pPr>
              <w:jc w:val="right"/>
            </w:pPr>
            <w:r>
              <w:rPr>
                <w:rFonts w:ascii="Calibri" w:hAnsi="Calibri"/>
                <w:sz w:val="18"/>
              </w:rPr>
              <w:t>4.8</w:t>
            </w:r>
          </w:p>
        </w:tc>
        <w:tc>
          <w:tcPr>
            <w:tcW w:type="dxa" w:w="1987"/>
          </w:tcPr>
          <w:p>
            <w:pPr>
              <w:jc w:val="right"/>
            </w:pPr>
            <w:r>
              <w:rPr>
                <w:rFonts w:ascii="Calibri" w:hAnsi="Calibri"/>
                <w:sz w:val="18"/>
              </w:rPr>
              <w:t>0.739</w:t>
            </w:r>
          </w:p>
        </w:tc>
        <w:tc>
          <w:tcPr>
            <w:tcW w:type="dxa" w:w="1987"/>
          </w:tcPr>
          <w:p>
            <w:pPr>
              <w:jc w:val="right"/>
            </w:pPr>
            <w:r>
              <w:rPr>
                <w:rFonts w:ascii="Calibri" w:hAnsi="Calibri"/>
                <w:sz w:val="18"/>
              </w:rPr>
              <w:t>1,441</w:t>
            </w:r>
          </w:p>
        </w:tc>
      </w:tr>
      <w:tr>
        <w:tc>
          <w:tcPr>
            <w:tcW w:type="dxa" w:w="1987"/>
          </w:tcPr>
          <w:p>
            <w:r>
              <w:rPr>
                <w:rFonts w:ascii="Calibri" w:hAnsi="Calibri"/>
                <w:sz w:val="18"/>
              </w:rPr>
              <w:t>Medical appliances</w:t>
            </w:r>
          </w:p>
        </w:tc>
        <w:tc>
          <w:tcPr>
            <w:tcW w:type="dxa" w:w="1987"/>
          </w:tcPr>
          <w:p>
            <w:pPr>
              <w:jc w:val="right"/>
            </w:pPr>
            <w:r>
              <w:rPr>
                <w:rFonts w:ascii="Calibri" w:hAnsi="Calibri"/>
                <w:sz w:val="18"/>
              </w:rPr>
              <w:t>1,094</w:t>
            </w:r>
          </w:p>
        </w:tc>
        <w:tc>
          <w:tcPr>
            <w:tcW w:type="dxa" w:w="1987"/>
          </w:tcPr>
          <w:p>
            <w:pPr>
              <w:jc w:val="right"/>
            </w:pPr>
            <w:r>
              <w:rPr>
                <w:rFonts w:ascii="Calibri" w:hAnsi="Calibri"/>
                <w:sz w:val="18"/>
              </w:rPr>
              <w:t>2.7</w:t>
            </w:r>
          </w:p>
        </w:tc>
        <w:tc>
          <w:tcPr>
            <w:tcW w:type="dxa" w:w="1987"/>
          </w:tcPr>
          <w:p>
            <w:pPr>
              <w:jc w:val="right"/>
            </w:pPr>
            <w:r>
              <w:rPr>
                <w:rFonts w:ascii="Calibri" w:hAnsi="Calibri"/>
                <w:sz w:val="18"/>
              </w:rPr>
              <w:t>0.144</w:t>
            </w:r>
          </w:p>
        </w:tc>
        <w:tc>
          <w:tcPr>
            <w:tcW w:type="dxa" w:w="1987"/>
          </w:tcPr>
          <w:p>
            <w:pPr>
              <w:jc w:val="right"/>
            </w:pPr>
            <w:r>
              <w:rPr>
                <w:rFonts w:ascii="Calibri" w:hAnsi="Calibri"/>
                <w:sz w:val="18"/>
              </w:rPr>
              <w:t>157</w:t>
            </w:r>
          </w:p>
        </w:tc>
      </w:tr>
    </w:tbl>
    <w:p>
      <w:r>
        <w:rPr>
          <w:color w:val="253331"/>
          <w:sz w:val="18"/>
        </w:rPr>
        <w:t>Note. Five functions carry only three distinct intensities, because EXIOBASE has a single health and social work industry and the split is made by an output-prorated concordance after Malik et al. (2018). The services, pharmaceuticals and appliances distinction is a genuine intensity finding; the ordering within the three service functions carries no supply-chain information and should not be quoted as though it did. Genuine per-function recipes need the Danish 117-industry table.</w:t>
      </w:r>
    </w:p>
    <w:p>
      <w:r>
        <w:rPr>
          <w:color w:val="6B7F7B"/>
          <w:sz w:val="17"/>
        </w:rPr>
        <w:t>Source. 17_health_subsectors/footprint_by_health_function.csv</w:t>
      </w:r>
    </w:p>
    <w:p/>
    <w:p>
      <w:r>
        <w:rPr>
          <w:rFonts w:ascii="Cambria" w:hAnsi="Cambria"/>
          <w:b/>
          <w:color w:val="0B4F4A"/>
          <w:sz w:val="22"/>
        </w:rPr>
        <w:t>Table 10. Simulation and error propagation agree to within 0.05 percentage points</w:t>
      </w:r>
    </w:p>
    <w:tbl>
      <w:tblPr>
        <w:tblStyle w:val="TableGrid"/>
        <w:tblW w:type="auto" w:w="0"/>
        <w:jc w:val="lef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0B4F4A"/>
          </w:tcPr>
          <w:p>
            <w:r>
              <w:rPr>
                <w:rFonts w:ascii="Calibri" w:hAnsi="Calibri"/>
                <w:b/>
                <w:sz w:val="18"/>
                <w:color w:val="FFFFFF"/>
              </w:rPr>
              <w:t>Impact category</w:t>
            </w:r>
          </w:p>
        </w:tc>
        <w:tc>
          <w:tcPr>
            <w:tcW w:type="dxa" w:w="1419"/>
            <w:shd w:val="clear" w:fill="0B4F4A"/>
          </w:tcPr>
          <w:p>
            <w:r>
              <w:rPr>
                <w:rFonts w:ascii="Calibri" w:hAnsi="Calibri"/>
                <w:b/>
                <w:sz w:val="18"/>
                <w:color w:val="FFFFFF"/>
              </w:rPr>
              <w:t>Deterministic</w:t>
            </w:r>
          </w:p>
        </w:tc>
        <w:tc>
          <w:tcPr>
            <w:tcW w:type="dxa" w:w="1419"/>
            <w:shd w:val="clear" w:fill="0B4F4A"/>
          </w:tcPr>
          <w:p>
            <w:r>
              <w:rPr>
                <w:rFonts w:ascii="Calibri" w:hAnsi="Calibri"/>
                <w:b/>
                <w:sz w:val="18"/>
                <w:color w:val="FFFFFF"/>
              </w:rPr>
              <w:t>Median</w:t>
            </w:r>
          </w:p>
        </w:tc>
        <w:tc>
          <w:tcPr>
            <w:tcW w:type="dxa" w:w="1419"/>
            <w:shd w:val="clear" w:fill="0B4F4A"/>
          </w:tcPr>
          <w:p>
            <w:r>
              <w:rPr>
                <w:rFonts w:ascii="Calibri" w:hAnsi="Calibri"/>
                <w:b/>
                <w:sz w:val="18"/>
                <w:color w:val="FFFFFF"/>
              </w:rPr>
              <w:t>2.5th percentile</w:t>
            </w:r>
          </w:p>
        </w:tc>
        <w:tc>
          <w:tcPr>
            <w:tcW w:type="dxa" w:w="1419"/>
            <w:shd w:val="clear" w:fill="0B4F4A"/>
          </w:tcPr>
          <w:p>
            <w:r>
              <w:rPr>
                <w:rFonts w:ascii="Calibri" w:hAnsi="Calibri"/>
                <w:b/>
                <w:sz w:val="18"/>
                <w:color w:val="FFFFFF"/>
              </w:rPr>
              <w:t>97.5th percentile</w:t>
            </w:r>
          </w:p>
        </w:tc>
        <w:tc>
          <w:tcPr>
            <w:tcW w:type="dxa" w:w="1419"/>
            <w:shd w:val="clear" w:fill="0B4F4A"/>
          </w:tcPr>
          <w:p>
            <w:r>
              <w:rPr>
                <w:rFonts w:ascii="Calibri" w:hAnsi="Calibri"/>
                <w:b/>
                <w:sz w:val="18"/>
                <w:color w:val="FFFFFF"/>
              </w:rPr>
              <w:t>CV, Tier 2 (%)</w:t>
            </w:r>
          </w:p>
        </w:tc>
        <w:tc>
          <w:tcPr>
            <w:tcW w:type="dxa" w:w="1419"/>
            <w:shd w:val="clear" w:fill="0B4F4A"/>
          </w:tcPr>
          <w:p>
            <w:r>
              <w:rPr>
                <w:rFonts w:ascii="Calibri" w:hAnsi="Calibri"/>
                <w:b/>
                <w:sz w:val="18"/>
                <w:color w:val="FFFFFF"/>
              </w:rPr>
              <w:t>CV, Tier 1 (%)</w:t>
            </w:r>
          </w:p>
        </w:tc>
      </w:tr>
      <w:tr>
        <w:tc>
          <w:tcPr>
            <w:tcW w:type="dxa" w:w="1419"/>
          </w:tcPr>
          <w:p>
            <w:r>
              <w:rPr>
                <w:rFonts w:ascii="Calibri" w:hAnsi="Calibri"/>
                <w:sz w:val="18"/>
              </w:rPr>
              <w:t>Global warming (ktCO2eq)</w:t>
            </w:r>
          </w:p>
        </w:tc>
        <w:tc>
          <w:tcPr>
            <w:tcW w:type="dxa" w:w="1419"/>
          </w:tcPr>
          <w:p>
            <w:pPr>
              <w:jc w:val="right"/>
            </w:pPr>
            <w:r>
              <w:rPr>
                <w:rFonts w:ascii="Calibri" w:hAnsi="Calibri"/>
                <w:sz w:val="18"/>
              </w:rPr>
              <w:t>4,713.4</w:t>
            </w:r>
          </w:p>
        </w:tc>
        <w:tc>
          <w:tcPr>
            <w:tcW w:type="dxa" w:w="1419"/>
          </w:tcPr>
          <w:p>
            <w:pPr>
              <w:jc w:val="right"/>
            </w:pPr>
            <w:r>
              <w:rPr>
                <w:rFonts w:ascii="Calibri" w:hAnsi="Calibri"/>
                <w:sz w:val="18"/>
              </w:rPr>
              <w:t>4,734.7</w:t>
            </w:r>
          </w:p>
        </w:tc>
        <w:tc>
          <w:tcPr>
            <w:tcW w:type="dxa" w:w="1419"/>
          </w:tcPr>
          <w:p>
            <w:pPr>
              <w:jc w:val="right"/>
            </w:pPr>
            <w:r>
              <w:rPr>
                <w:rFonts w:ascii="Calibri" w:hAnsi="Calibri"/>
                <w:sz w:val="18"/>
              </w:rPr>
              <w:t>4,064.5</w:t>
            </w:r>
          </w:p>
        </w:tc>
        <w:tc>
          <w:tcPr>
            <w:tcW w:type="dxa" w:w="1419"/>
          </w:tcPr>
          <w:p>
            <w:pPr>
              <w:jc w:val="right"/>
            </w:pPr>
            <w:r>
              <w:rPr>
                <w:rFonts w:ascii="Calibri" w:hAnsi="Calibri"/>
                <w:sz w:val="18"/>
              </w:rPr>
              <w:t>5,532.2</w:t>
            </w:r>
          </w:p>
        </w:tc>
        <w:tc>
          <w:tcPr>
            <w:tcW w:type="dxa" w:w="1419"/>
          </w:tcPr>
          <w:p>
            <w:pPr>
              <w:jc w:val="right"/>
            </w:pPr>
            <w:r>
              <w:rPr>
                <w:rFonts w:ascii="Calibri" w:hAnsi="Calibri"/>
                <w:sz w:val="18"/>
              </w:rPr>
              <w:t>7.87</w:t>
            </w:r>
          </w:p>
        </w:tc>
        <w:tc>
          <w:tcPr>
            <w:tcW w:type="dxa" w:w="1419"/>
          </w:tcPr>
          <w:p>
            <w:pPr>
              <w:jc w:val="right"/>
            </w:pPr>
            <w:r>
              <w:rPr>
                <w:rFonts w:ascii="Calibri" w:hAnsi="Calibri"/>
                <w:sz w:val="18"/>
              </w:rPr>
              <w:t>7.84</w:t>
            </w:r>
          </w:p>
        </w:tc>
      </w:tr>
      <w:tr>
        <w:tc>
          <w:tcPr>
            <w:tcW w:type="dxa" w:w="1419"/>
          </w:tcPr>
          <w:p>
            <w:r>
              <w:rPr>
                <w:rFonts w:ascii="Calibri" w:hAnsi="Calibri"/>
                <w:sz w:val="18"/>
              </w:rPr>
              <w:t>Material extraction (kt)</w:t>
            </w:r>
          </w:p>
        </w:tc>
        <w:tc>
          <w:tcPr>
            <w:tcW w:type="dxa" w:w="1419"/>
          </w:tcPr>
          <w:p>
            <w:pPr>
              <w:jc w:val="right"/>
            </w:pPr>
            <w:r>
              <w:rPr>
                <w:rFonts w:ascii="Calibri" w:hAnsi="Calibri"/>
                <w:sz w:val="18"/>
              </w:rPr>
              <w:t>4,259.4</w:t>
            </w:r>
          </w:p>
        </w:tc>
        <w:tc>
          <w:tcPr>
            <w:tcW w:type="dxa" w:w="1419"/>
          </w:tcPr>
          <w:p>
            <w:pPr>
              <w:jc w:val="right"/>
            </w:pPr>
            <w:r>
              <w:rPr>
                <w:rFonts w:ascii="Calibri" w:hAnsi="Calibri"/>
                <w:sz w:val="18"/>
              </w:rPr>
              <w:t>4,257.1</w:t>
            </w:r>
          </w:p>
        </w:tc>
        <w:tc>
          <w:tcPr>
            <w:tcW w:type="dxa" w:w="1419"/>
          </w:tcPr>
          <w:p>
            <w:pPr>
              <w:jc w:val="right"/>
            </w:pPr>
            <w:r>
              <w:rPr>
                <w:rFonts w:ascii="Calibri" w:hAnsi="Calibri"/>
                <w:sz w:val="18"/>
              </w:rPr>
              <w:t>3,619.2</w:t>
            </w:r>
          </w:p>
        </w:tc>
        <w:tc>
          <w:tcPr>
            <w:tcW w:type="dxa" w:w="1419"/>
          </w:tcPr>
          <w:p>
            <w:pPr>
              <w:jc w:val="right"/>
            </w:pPr>
            <w:r>
              <w:rPr>
                <w:rFonts w:ascii="Calibri" w:hAnsi="Calibri"/>
                <w:sz w:val="18"/>
              </w:rPr>
              <w:t>5,015.6</w:t>
            </w:r>
          </w:p>
        </w:tc>
        <w:tc>
          <w:tcPr>
            <w:tcW w:type="dxa" w:w="1419"/>
          </w:tcPr>
          <w:p>
            <w:pPr>
              <w:jc w:val="right"/>
            </w:pPr>
            <w:r>
              <w:rPr>
                <w:rFonts w:ascii="Calibri" w:hAnsi="Calibri"/>
                <w:sz w:val="18"/>
              </w:rPr>
              <w:t>8.33</w:t>
            </w:r>
          </w:p>
        </w:tc>
        <w:tc>
          <w:tcPr>
            <w:tcW w:type="dxa" w:w="1419"/>
          </w:tcPr>
          <w:p>
            <w:pPr>
              <w:jc w:val="right"/>
            </w:pPr>
            <w:r>
              <w:rPr>
                <w:rFonts w:ascii="Calibri" w:hAnsi="Calibri"/>
                <w:sz w:val="18"/>
              </w:rPr>
              <w:t>8.30</w:t>
            </w:r>
          </w:p>
        </w:tc>
      </w:tr>
      <w:tr>
        <w:tc>
          <w:tcPr>
            <w:tcW w:type="dxa" w:w="1419"/>
          </w:tcPr>
          <w:p>
            <w:r>
              <w:rPr>
                <w:rFonts w:ascii="Calibri" w:hAnsi="Calibri"/>
                <w:sz w:val="18"/>
              </w:rPr>
              <w:t>Blue water consumption (Mm3)</w:t>
            </w:r>
          </w:p>
        </w:tc>
        <w:tc>
          <w:tcPr>
            <w:tcW w:type="dxa" w:w="1419"/>
          </w:tcPr>
          <w:p>
            <w:pPr>
              <w:jc w:val="right"/>
            </w:pPr>
            <w:r>
              <w:rPr>
                <w:rFonts w:ascii="Calibri" w:hAnsi="Calibri"/>
                <w:sz w:val="18"/>
              </w:rPr>
              <w:t>95.5</w:t>
            </w:r>
          </w:p>
        </w:tc>
        <w:tc>
          <w:tcPr>
            <w:tcW w:type="dxa" w:w="1419"/>
          </w:tcPr>
          <w:p>
            <w:pPr>
              <w:jc w:val="right"/>
            </w:pPr>
            <w:r>
              <w:rPr>
                <w:rFonts w:ascii="Calibri" w:hAnsi="Calibri"/>
                <w:sz w:val="18"/>
              </w:rPr>
              <w:t>95.4</w:t>
            </w:r>
          </w:p>
        </w:tc>
        <w:tc>
          <w:tcPr>
            <w:tcW w:type="dxa" w:w="1419"/>
          </w:tcPr>
          <w:p>
            <w:pPr>
              <w:jc w:val="right"/>
            </w:pPr>
            <w:r>
              <w:rPr>
                <w:rFonts w:ascii="Calibri" w:hAnsi="Calibri"/>
                <w:sz w:val="18"/>
              </w:rPr>
              <w:t>81.1</w:t>
            </w:r>
          </w:p>
        </w:tc>
        <w:tc>
          <w:tcPr>
            <w:tcW w:type="dxa" w:w="1419"/>
          </w:tcPr>
          <w:p>
            <w:pPr>
              <w:jc w:val="right"/>
            </w:pPr>
            <w:r>
              <w:rPr>
                <w:rFonts w:ascii="Calibri" w:hAnsi="Calibri"/>
                <w:sz w:val="18"/>
              </w:rPr>
              <w:t>112.5</w:t>
            </w:r>
          </w:p>
        </w:tc>
        <w:tc>
          <w:tcPr>
            <w:tcW w:type="dxa" w:w="1419"/>
          </w:tcPr>
          <w:p>
            <w:pPr>
              <w:jc w:val="right"/>
            </w:pPr>
            <w:r>
              <w:rPr>
                <w:rFonts w:ascii="Calibri" w:hAnsi="Calibri"/>
                <w:sz w:val="18"/>
              </w:rPr>
              <w:t>8.37</w:t>
            </w:r>
          </w:p>
        </w:tc>
        <w:tc>
          <w:tcPr>
            <w:tcW w:type="dxa" w:w="1419"/>
          </w:tcPr>
          <w:p>
            <w:pPr>
              <w:jc w:val="right"/>
            </w:pPr>
            <w:r>
              <w:rPr>
                <w:rFonts w:ascii="Calibri" w:hAnsi="Calibri"/>
                <w:sz w:val="18"/>
              </w:rPr>
              <w:t>8.33</w:t>
            </w:r>
          </w:p>
        </w:tc>
      </w:tr>
      <w:tr>
        <w:tc>
          <w:tcPr>
            <w:tcW w:type="dxa" w:w="1419"/>
          </w:tcPr>
          <w:p>
            <w:r>
              <w:rPr>
                <w:rFonts w:ascii="Calibri" w:hAnsi="Calibri"/>
                <w:sz w:val="18"/>
              </w:rPr>
              <w:t>Land use (km2)</w:t>
            </w:r>
          </w:p>
        </w:tc>
        <w:tc>
          <w:tcPr>
            <w:tcW w:type="dxa" w:w="1419"/>
          </w:tcPr>
          <w:p>
            <w:pPr>
              <w:jc w:val="right"/>
            </w:pPr>
            <w:r>
              <w:rPr>
                <w:rFonts w:ascii="Calibri" w:hAnsi="Calibri"/>
                <w:sz w:val="18"/>
              </w:rPr>
              <w:t>4,855.5</w:t>
            </w:r>
          </w:p>
        </w:tc>
        <w:tc>
          <w:tcPr>
            <w:tcW w:type="dxa" w:w="1419"/>
          </w:tcPr>
          <w:p>
            <w:pPr>
              <w:jc w:val="right"/>
            </w:pPr>
            <w:r>
              <w:rPr>
                <w:rFonts w:ascii="Calibri" w:hAnsi="Calibri"/>
                <w:sz w:val="18"/>
              </w:rPr>
              <w:t>4,851.8</w:t>
            </w:r>
          </w:p>
        </w:tc>
        <w:tc>
          <w:tcPr>
            <w:tcW w:type="dxa" w:w="1419"/>
          </w:tcPr>
          <w:p>
            <w:pPr>
              <w:jc w:val="right"/>
            </w:pPr>
            <w:r>
              <w:rPr>
                <w:rFonts w:ascii="Calibri" w:hAnsi="Calibri"/>
                <w:sz w:val="18"/>
              </w:rPr>
              <w:t>4,121.3</w:t>
            </w:r>
          </w:p>
        </w:tc>
        <w:tc>
          <w:tcPr>
            <w:tcW w:type="dxa" w:w="1419"/>
          </w:tcPr>
          <w:p>
            <w:pPr>
              <w:jc w:val="right"/>
            </w:pPr>
            <w:r>
              <w:rPr>
                <w:rFonts w:ascii="Calibri" w:hAnsi="Calibri"/>
                <w:sz w:val="18"/>
              </w:rPr>
              <w:t>5,721.5</w:t>
            </w:r>
          </w:p>
        </w:tc>
        <w:tc>
          <w:tcPr>
            <w:tcW w:type="dxa" w:w="1419"/>
          </w:tcPr>
          <w:p>
            <w:pPr>
              <w:jc w:val="right"/>
            </w:pPr>
            <w:r>
              <w:rPr>
                <w:rFonts w:ascii="Calibri" w:hAnsi="Calibri"/>
                <w:sz w:val="18"/>
              </w:rPr>
              <w:t>8.38</w:t>
            </w:r>
          </w:p>
        </w:tc>
        <w:tc>
          <w:tcPr>
            <w:tcW w:type="dxa" w:w="1419"/>
          </w:tcPr>
          <w:p>
            <w:pPr>
              <w:jc w:val="right"/>
            </w:pPr>
            <w:r>
              <w:rPr>
                <w:rFonts w:ascii="Calibri" w:hAnsi="Calibri"/>
                <w:sz w:val="18"/>
              </w:rPr>
              <w:t>8.35</w:t>
            </w:r>
          </w:p>
        </w:tc>
      </w:tr>
      <w:tr>
        <w:tc>
          <w:tcPr>
            <w:tcW w:type="dxa" w:w="1419"/>
          </w:tcPr>
          <w:p>
            <w:r>
              <w:rPr>
                <w:rFonts w:ascii="Calibri" w:hAnsi="Calibri"/>
                <w:sz w:val="18"/>
              </w:rPr>
              <w:t>Waste generation (kt)</w:t>
            </w:r>
          </w:p>
        </w:tc>
        <w:tc>
          <w:tcPr>
            <w:tcW w:type="dxa" w:w="1419"/>
          </w:tcPr>
          <w:p>
            <w:pPr>
              <w:jc w:val="right"/>
            </w:pPr>
            <w:r>
              <w:rPr>
                <w:rFonts w:ascii="Calibri" w:hAnsi="Calibri"/>
                <w:sz w:val="18"/>
              </w:rPr>
              <w:t>259.4</w:t>
            </w:r>
          </w:p>
        </w:tc>
        <w:tc>
          <w:tcPr>
            <w:tcW w:type="dxa" w:w="1419"/>
          </w:tcPr>
          <w:p>
            <w:pPr>
              <w:jc w:val="right"/>
            </w:pPr>
            <w:r>
              <w:rPr>
                <w:rFonts w:ascii="Calibri" w:hAnsi="Calibri"/>
                <w:sz w:val="18"/>
              </w:rPr>
              <w:t>259.6</w:t>
            </w:r>
          </w:p>
        </w:tc>
        <w:tc>
          <w:tcPr>
            <w:tcW w:type="dxa" w:w="1419"/>
          </w:tcPr>
          <w:p>
            <w:pPr>
              <w:jc w:val="right"/>
            </w:pPr>
            <w:r>
              <w:rPr>
                <w:rFonts w:ascii="Calibri" w:hAnsi="Calibri"/>
                <w:sz w:val="18"/>
              </w:rPr>
              <w:t>225.7</w:t>
            </w:r>
          </w:p>
        </w:tc>
        <w:tc>
          <w:tcPr>
            <w:tcW w:type="dxa" w:w="1419"/>
          </w:tcPr>
          <w:p>
            <w:pPr>
              <w:jc w:val="right"/>
            </w:pPr>
            <w:r>
              <w:rPr>
                <w:rFonts w:ascii="Calibri" w:hAnsi="Calibri"/>
                <w:sz w:val="18"/>
              </w:rPr>
              <w:t>299.1</w:t>
            </w:r>
          </w:p>
        </w:tc>
        <w:tc>
          <w:tcPr>
            <w:tcW w:type="dxa" w:w="1419"/>
          </w:tcPr>
          <w:p>
            <w:pPr>
              <w:jc w:val="right"/>
            </w:pPr>
            <w:r>
              <w:rPr>
                <w:rFonts w:ascii="Calibri" w:hAnsi="Calibri"/>
                <w:sz w:val="18"/>
              </w:rPr>
              <w:t>7.17</w:t>
            </w:r>
          </w:p>
        </w:tc>
        <w:tc>
          <w:tcPr>
            <w:tcW w:type="dxa" w:w="1419"/>
          </w:tcPr>
          <w:p>
            <w:pPr>
              <w:jc w:val="right"/>
            </w:pPr>
            <w:r>
              <w:rPr>
                <w:rFonts w:ascii="Calibri" w:hAnsi="Calibri"/>
                <w:sz w:val="18"/>
              </w:rPr>
              <w:t>7.15</w:t>
            </w:r>
          </w:p>
        </w:tc>
      </w:tr>
    </w:tbl>
    <w:p>
      <w:r>
        <w:rPr>
          <w:color w:val="253331"/>
          <w:sz w:val="18"/>
        </w:rPr>
        <w:t>Note. Tier 2 is the Monte Carlo at 100,000 draws; Tier 1 is the IPCC error-propagation formula, which the IPCC (2000) requires to be reported alongside it. They agree because the model is additive and every spread is well below the 30 % limit at which the Tier 1 formula degrades. The interval is parametric uncertainty conditional on one model, and should be reported with that sentence: the study's own structural scenario on the pharmaceutical mapping lands entirely outside it.</w:t>
      </w:r>
    </w:p>
    <w:p>
      <w:r>
        <w:rPr>
          <w:color w:val="6B7F7B"/>
          <w:sz w:val="17"/>
        </w:rPr>
        <w:t>Source. 04_uncertainty_lenzen_ieooc/uncertainty_totals.csv and uncertainty_tier1_error_propagation.csv</w:t>
      </w:r>
    </w:p>
    <w:p/>
    <w:p>
      <w:r>
        <w:rPr>
          <w:rFonts w:ascii="Cambria" w:hAnsi="Cambria"/>
          <w:b/>
          <w:color w:val="0B4F4A"/>
          <w:sz w:val="22"/>
        </w:rPr>
        <w:t>Table 11. The uncertainty is the input-output model, not the bottom-up proxies the reviewers questioned</w:t>
      </w:r>
    </w:p>
    <w:tbl>
      <w:tblPr>
        <w:tblStyle w:val="TableGrid"/>
        <w:tblW w:type="auto" w:w="0"/>
        <w:jc w:val="left"/>
        <w:tblLook w:firstColumn="1" w:firstRow="1" w:lastColumn="0" w:lastRow="0" w:noHBand="0" w:noVBand="1" w:val="04A0"/>
      </w:tblPr>
      <w:tblGrid>
        <w:gridCol w:w="4968"/>
        <w:gridCol w:w="4968"/>
      </w:tblGrid>
      <w:tr>
        <w:tc>
          <w:tcPr>
            <w:tcW w:type="dxa" w:w="4968"/>
            <w:shd w:val="clear" w:fill="0B4F4A"/>
          </w:tcPr>
          <w:p>
            <w:r>
              <w:rPr>
                <w:rFonts w:ascii="Calibri" w:hAnsi="Calibri"/>
                <w:b/>
                <w:sz w:val="18"/>
                <w:color w:val="FFFFFF"/>
              </w:rPr>
              <w:t>Contributor</w:t>
            </w:r>
          </w:p>
        </w:tc>
        <w:tc>
          <w:tcPr>
            <w:tcW w:type="dxa" w:w="4968"/>
            <w:shd w:val="clear" w:fill="0B4F4A"/>
          </w:tcPr>
          <w:p>
            <w:r>
              <w:rPr>
                <w:rFonts w:ascii="Calibri" w:hAnsi="Calibri"/>
                <w:b/>
                <w:sz w:val="18"/>
                <w:color w:val="FFFFFF"/>
              </w:rPr>
              <w:t>Share of variance (%)</w:t>
            </w:r>
          </w:p>
        </w:tc>
      </w:tr>
      <w:tr>
        <w:tc>
          <w:tcPr>
            <w:tcW w:type="dxa" w:w="4968"/>
          </w:tcPr>
          <w:p>
            <w:r>
              <w:rPr>
                <w:rFonts w:ascii="Calibri" w:hAnsi="Calibri"/>
                <w:sz w:val="18"/>
              </w:rPr>
              <w:t>Input-output model</w:t>
            </w:r>
          </w:p>
        </w:tc>
        <w:tc>
          <w:tcPr>
            <w:tcW w:type="dxa" w:w="4968"/>
          </w:tcPr>
          <w:p>
            <w:pPr>
              <w:jc w:val="right"/>
            </w:pPr>
            <w:r>
              <w:rPr>
                <w:rFonts w:ascii="Calibri" w:hAnsi="Calibri"/>
                <w:sz w:val="18"/>
              </w:rPr>
              <w:t>78.758</w:t>
            </w:r>
          </w:p>
        </w:tc>
      </w:tr>
      <w:tr>
        <w:tc>
          <w:tcPr>
            <w:tcW w:type="dxa" w:w="4968"/>
          </w:tcPr>
          <w:p>
            <w:r>
              <w:rPr>
                <w:rFonts w:ascii="Calibri" w:hAnsi="Calibri"/>
                <w:sz w:val="18"/>
              </w:rPr>
              <w:t>Covariance of the travel pair</w:t>
            </w:r>
          </w:p>
        </w:tc>
        <w:tc>
          <w:tcPr>
            <w:tcW w:type="dxa" w:w="4968"/>
          </w:tcPr>
          <w:p>
            <w:pPr>
              <w:jc w:val="right"/>
            </w:pPr>
            <w:r>
              <w:rPr>
                <w:rFonts w:ascii="Calibri" w:hAnsi="Calibri"/>
                <w:sz w:val="18"/>
              </w:rPr>
              <w:t>9.289</w:t>
            </w:r>
          </w:p>
        </w:tc>
      </w:tr>
      <w:tr>
        <w:tc>
          <w:tcPr>
            <w:tcW w:type="dxa" w:w="4968"/>
          </w:tcPr>
          <w:p>
            <w:r>
              <w:rPr>
                <w:rFonts w:ascii="Calibri" w:hAnsi="Calibri"/>
                <w:sz w:val="18"/>
              </w:rPr>
              <w:t>Patient and visitor travel</w:t>
            </w:r>
          </w:p>
        </w:tc>
        <w:tc>
          <w:tcPr>
            <w:tcW w:type="dxa" w:w="4968"/>
          </w:tcPr>
          <w:p>
            <w:pPr>
              <w:jc w:val="right"/>
            </w:pPr>
            <w:r>
              <w:rPr>
                <w:rFonts w:ascii="Calibri" w:hAnsi="Calibri"/>
                <w:sz w:val="18"/>
              </w:rPr>
              <w:t>6.727</w:t>
            </w:r>
          </w:p>
        </w:tc>
      </w:tr>
      <w:tr>
        <w:tc>
          <w:tcPr>
            <w:tcW w:type="dxa" w:w="4968"/>
          </w:tcPr>
          <w:p>
            <w:r>
              <w:rPr>
                <w:rFonts w:ascii="Calibri" w:hAnsi="Calibri"/>
                <w:sz w:val="18"/>
              </w:rPr>
              <w:t>Employee commuting</w:t>
            </w:r>
          </w:p>
        </w:tc>
        <w:tc>
          <w:tcPr>
            <w:tcW w:type="dxa" w:w="4968"/>
          </w:tcPr>
          <w:p>
            <w:pPr>
              <w:jc w:val="right"/>
            </w:pPr>
            <w:r>
              <w:rPr>
                <w:rFonts w:ascii="Calibri" w:hAnsi="Calibri"/>
                <w:sz w:val="18"/>
              </w:rPr>
              <w:t>5.121</w:t>
            </w:r>
          </w:p>
        </w:tc>
      </w:tr>
      <w:tr>
        <w:tc>
          <w:tcPr>
            <w:tcW w:type="dxa" w:w="4968"/>
          </w:tcPr>
          <w:p>
            <w:r>
              <w:rPr>
                <w:rFonts w:ascii="Calibri" w:hAnsi="Calibri"/>
                <w:sz w:val="18"/>
              </w:rPr>
              <w:t>Direct operations</w:t>
            </w:r>
          </w:p>
        </w:tc>
        <w:tc>
          <w:tcPr>
            <w:tcW w:type="dxa" w:w="4968"/>
          </w:tcPr>
          <w:p>
            <w:pPr>
              <w:jc w:val="right"/>
            </w:pPr>
            <w:r>
              <w:rPr>
                <w:rFonts w:ascii="Calibri" w:hAnsi="Calibri"/>
                <w:sz w:val="18"/>
              </w:rPr>
              <w:t>0.093</w:t>
            </w:r>
          </w:p>
        </w:tc>
      </w:tr>
      <w:tr>
        <w:tc>
          <w:tcPr>
            <w:tcW w:type="dxa" w:w="4968"/>
          </w:tcPr>
          <w:p>
            <w:r>
              <w:rPr>
                <w:rFonts w:ascii="Calibri" w:hAnsi="Calibri"/>
                <w:sz w:val="18"/>
              </w:rPr>
              <w:t>Anaesthetic gases</w:t>
            </w:r>
          </w:p>
        </w:tc>
        <w:tc>
          <w:tcPr>
            <w:tcW w:type="dxa" w:w="4968"/>
          </w:tcPr>
          <w:p>
            <w:pPr>
              <w:jc w:val="right"/>
            </w:pPr>
            <w:r>
              <w:rPr>
                <w:rFonts w:ascii="Calibri" w:hAnsi="Calibri"/>
                <w:sz w:val="18"/>
              </w:rPr>
              <w:t>0.009</w:t>
            </w:r>
          </w:p>
        </w:tc>
      </w:tr>
      <w:tr>
        <w:tc>
          <w:tcPr>
            <w:tcW w:type="dxa" w:w="4968"/>
          </w:tcPr>
          <w:p>
            <w:r>
              <w:rPr>
                <w:rFonts w:ascii="Calibri" w:hAnsi="Calibri"/>
                <w:sz w:val="18"/>
              </w:rPr>
              <w:t>Inhaler propellants</w:t>
            </w:r>
          </w:p>
        </w:tc>
        <w:tc>
          <w:tcPr>
            <w:tcW w:type="dxa" w:w="4968"/>
          </w:tcPr>
          <w:p>
            <w:pPr>
              <w:jc w:val="right"/>
            </w:pPr>
            <w:r>
              <w:rPr>
                <w:rFonts w:ascii="Calibri" w:hAnsi="Calibri"/>
                <w:sz w:val="18"/>
              </w:rPr>
              <w:t>0.002</w:t>
            </w:r>
          </w:p>
        </w:tc>
      </w:tr>
    </w:tbl>
    <w:p>
      <w:r>
        <w:rPr>
          <w:color w:val="253331"/>
          <w:sz w:val="18"/>
        </w:rPr>
        <w:t>Note. Computed in closed form rather than estimated from the draws, so the shares sum to 100 % exactly. The covariance row is what commuting and patient travel add by sharing a derivation method; without it the remaining shares would sum to 90.7 % and would not be a decomposition. The input-output share is stable between 78.6 % and 78.9 % across every correlation assumption tested, so it is a property of the calibration rather than of the correlation choice.</w:t>
      </w:r>
    </w:p>
    <w:p>
      <w:r>
        <w:rPr>
          <w:color w:val="6B7F7B"/>
          <w:sz w:val="17"/>
        </w:rPr>
        <w:t>Source. 04_uncertainty_lenzen_ieooc/uncertainty_variance_shares.csv</w:t>
      </w:r>
    </w:p>
    <w:p/>
    <w:p>
      <w:r>
        <w:rPr>
          <w:rFonts w:ascii="Cambria" w:hAnsi="Cambria"/>
          <w:b/>
          <w:color w:val="0B4F4A"/>
          <w:sz w:val="22"/>
        </w:rPr>
        <w:t>Table 12. Every quantified lever, plus a decarbonising grid, leaves the 2035 footprint above today's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0B4F4A"/>
          </w:tcPr>
          <w:p>
            <w:r>
              <w:rPr>
                <w:rFonts w:ascii="Calibri" w:hAnsi="Calibri"/>
                <w:b/>
                <w:sz w:val="18"/>
                <w:color w:val="FFFFFF"/>
              </w:rPr>
              <w:t>Quantity</w:t>
            </w:r>
          </w:p>
        </w:tc>
        <w:tc>
          <w:tcPr>
            <w:tcW w:type="dxa" w:w="3312"/>
            <w:shd w:val="clear" w:fill="0B4F4A"/>
          </w:tcPr>
          <w:p>
            <w:r>
              <w:rPr>
                <w:rFonts w:ascii="Calibri" w:hAnsi="Calibri"/>
                <w:b/>
                <w:sz w:val="18"/>
                <w:color w:val="FFFFFF"/>
              </w:rPr>
              <w:t>Value</w:t>
            </w:r>
          </w:p>
        </w:tc>
        <w:tc>
          <w:tcPr>
            <w:tcW w:type="dxa" w:w="3312"/>
            <w:shd w:val="clear" w:fill="0B4F4A"/>
          </w:tcPr>
          <w:p>
            <w:r>
              <w:rPr>
                <w:rFonts w:ascii="Calibri" w:hAnsi="Calibri"/>
                <w:b/>
                <w:sz w:val="18"/>
                <w:color w:val="FFFFFF"/>
              </w:rPr>
              <w:t>Unit</w:t>
            </w:r>
          </w:p>
        </w:tc>
      </w:tr>
      <w:tr>
        <w:tc>
          <w:tcPr>
            <w:tcW w:type="dxa" w:w="3312"/>
          </w:tcPr>
          <w:p>
            <w:r>
              <w:rPr>
                <w:rFonts w:ascii="Calibri" w:hAnsi="Calibri"/>
                <w:sz w:val="18"/>
              </w:rPr>
              <w:t>baseline climate footprint</w:t>
            </w:r>
          </w:p>
        </w:tc>
        <w:tc>
          <w:tcPr>
            <w:tcW w:type="dxa" w:w="3312"/>
          </w:tcPr>
          <w:p>
            <w:pPr>
              <w:jc w:val="right"/>
            </w:pPr>
            <w:r>
              <w:rPr>
                <w:rFonts w:ascii="Calibri" w:hAnsi="Calibri"/>
                <w:sz w:val="18"/>
              </w:rPr>
              <w:t>4,713.4</w:t>
            </w:r>
          </w:p>
        </w:tc>
        <w:tc>
          <w:tcPr>
            <w:tcW w:type="dxa" w:w="3312"/>
          </w:tcPr>
          <w:p>
            <w:r>
              <w:rPr>
                <w:rFonts w:ascii="Calibri" w:hAnsi="Calibri"/>
                <w:sz w:val="18"/>
              </w:rPr>
              <w:t>kt CO₂-eq</w:t>
            </w:r>
          </w:p>
        </w:tc>
      </w:tr>
      <w:tr>
        <w:tc>
          <w:tcPr>
            <w:tcW w:type="dxa" w:w="3312"/>
          </w:tcPr>
          <w:p>
            <w:r>
              <w:rPr>
                <w:rFonts w:ascii="Calibri" w:hAnsi="Calibri"/>
                <w:sz w:val="18"/>
              </w:rPr>
              <w:t>required reduction for the regional target</w:t>
            </w:r>
          </w:p>
        </w:tc>
        <w:tc>
          <w:tcPr>
            <w:tcW w:type="dxa" w:w="3312"/>
          </w:tcPr>
          <w:p>
            <w:pPr>
              <w:jc w:val="right"/>
            </w:pPr>
            <w:r>
              <w:rPr>
                <w:rFonts w:ascii="Calibri" w:hAnsi="Calibri"/>
                <w:sz w:val="18"/>
              </w:rPr>
              <w:t>-2,356.7</w:t>
            </w:r>
          </w:p>
        </w:tc>
        <w:tc>
          <w:tcPr>
            <w:tcW w:type="dxa" w:w="3312"/>
          </w:tcPr>
          <w:p>
            <w:r>
              <w:rPr>
                <w:rFonts w:ascii="Calibri" w:hAnsi="Calibri"/>
                <w:sz w:val="18"/>
              </w:rPr>
              <w:t>kt CO₂-eq</w:t>
            </w:r>
          </w:p>
        </w:tc>
      </w:tr>
      <w:tr>
        <w:tc>
          <w:tcPr>
            <w:tcW w:type="dxa" w:w="3312"/>
          </w:tcPr>
          <w:p>
            <w:r>
              <w:rPr>
                <w:rFonts w:ascii="Calibri" w:hAnsi="Calibri"/>
                <w:sz w:val="18"/>
              </w:rPr>
              <w:t>all interventions, solved simultaneously (C1)</w:t>
            </w:r>
          </w:p>
        </w:tc>
        <w:tc>
          <w:tcPr>
            <w:tcW w:type="dxa" w:w="3312"/>
          </w:tcPr>
          <w:p>
            <w:pPr>
              <w:jc w:val="right"/>
            </w:pPr>
            <w:r>
              <w:rPr>
                <w:rFonts w:ascii="Calibri" w:hAnsi="Calibri"/>
                <w:sz w:val="18"/>
              </w:rPr>
              <w:t>-361.4</w:t>
            </w:r>
          </w:p>
        </w:tc>
        <w:tc>
          <w:tcPr>
            <w:tcW w:type="dxa" w:w="3312"/>
          </w:tcPr>
          <w:p>
            <w:r>
              <w:rPr>
                <w:rFonts w:ascii="Calibri" w:hAnsi="Calibri"/>
                <w:sz w:val="18"/>
              </w:rPr>
              <w:t>kt CO₂-eq</w:t>
            </w:r>
          </w:p>
        </w:tc>
      </w:tr>
      <w:tr>
        <w:tc>
          <w:tcPr>
            <w:tcW w:type="dxa" w:w="3312"/>
          </w:tcPr>
          <w:p>
            <w:r>
              <w:rPr>
                <w:rFonts w:ascii="Calibri" w:hAnsi="Calibri"/>
                <w:sz w:val="18"/>
              </w:rPr>
              <w:t>the same levers summed separately</w:t>
            </w:r>
          </w:p>
        </w:tc>
        <w:tc>
          <w:tcPr>
            <w:tcW w:type="dxa" w:w="3312"/>
          </w:tcPr>
          <w:p>
            <w:pPr>
              <w:jc w:val="right"/>
            </w:pPr>
            <w:r>
              <w:rPr>
                <w:rFonts w:ascii="Calibri" w:hAnsi="Calibri"/>
                <w:sz w:val="18"/>
              </w:rPr>
              <w:t>-361.6</w:t>
            </w:r>
          </w:p>
        </w:tc>
        <w:tc>
          <w:tcPr>
            <w:tcW w:type="dxa" w:w="3312"/>
          </w:tcPr>
          <w:p>
            <w:r>
              <w:rPr>
                <w:rFonts w:ascii="Calibri" w:hAnsi="Calibri"/>
                <w:sz w:val="18"/>
              </w:rPr>
              <w:t>kt CO₂-eq</w:t>
            </w:r>
          </w:p>
        </w:tc>
      </w:tr>
      <w:tr>
        <w:tc>
          <w:tcPr>
            <w:tcW w:type="dxa" w:w="3312"/>
          </w:tcPr>
          <w:p>
            <w:r>
              <w:rPr>
                <w:rFonts w:ascii="Calibri" w:hAnsi="Calibri"/>
                <w:sz w:val="18"/>
              </w:rPr>
              <w:t>interaction, i.e. what summing would overstate</w:t>
            </w:r>
          </w:p>
        </w:tc>
        <w:tc>
          <w:tcPr>
            <w:tcW w:type="dxa" w:w="3312"/>
          </w:tcPr>
          <w:p>
            <w:pPr>
              <w:jc w:val="right"/>
            </w:pPr>
            <w:r>
              <w:rPr>
                <w:rFonts w:ascii="Calibri" w:hAnsi="Calibri"/>
                <w:sz w:val="18"/>
              </w:rPr>
              <w:t>-0.2</w:t>
            </w:r>
          </w:p>
        </w:tc>
        <w:tc>
          <w:tcPr>
            <w:tcW w:type="dxa" w:w="3312"/>
          </w:tcPr>
          <w:p>
            <w:r>
              <w:rPr>
                <w:rFonts w:ascii="Calibri" w:hAnsi="Calibri"/>
                <w:sz w:val="18"/>
              </w:rPr>
              <w:t>kt CO₂-eq</w:t>
            </w:r>
          </w:p>
        </w:tc>
      </w:tr>
      <w:tr>
        <w:tc>
          <w:tcPr>
            <w:tcW w:type="dxa" w:w="3312"/>
          </w:tcPr>
          <w:p>
            <w:r>
              <w:rPr>
                <w:rFonts w:ascii="Calibri" w:hAnsi="Calibri"/>
                <w:sz w:val="18"/>
              </w:rPr>
              <w:t>share of the target the interventions alone reach</w:t>
            </w:r>
          </w:p>
        </w:tc>
        <w:tc>
          <w:tcPr>
            <w:tcW w:type="dxa" w:w="3312"/>
          </w:tcPr>
          <w:p>
            <w:pPr>
              <w:jc w:val="right"/>
            </w:pPr>
            <w:r>
              <w:rPr>
                <w:rFonts w:ascii="Calibri" w:hAnsi="Calibri"/>
                <w:sz w:val="18"/>
              </w:rPr>
              <w:t>15.3</w:t>
            </w:r>
          </w:p>
        </w:tc>
        <w:tc>
          <w:tcPr>
            <w:tcW w:type="dxa" w:w="3312"/>
          </w:tcPr>
          <w:p>
            <w:r>
              <w:rPr>
                <w:rFonts w:ascii="Calibri" w:hAnsi="Calibri"/>
                <w:sz w:val="18"/>
              </w:rPr>
              <w:t>%</w:t>
            </w:r>
          </w:p>
        </w:tc>
      </w:tr>
      <w:tr>
        <w:tc>
          <w:tcPr>
            <w:tcW w:type="dxa" w:w="3312"/>
          </w:tcPr>
          <w:p>
            <w:r>
              <w:rPr>
                <w:rFonts w:ascii="Calibri" w:hAnsi="Calibri"/>
                <w:sz w:val="18"/>
              </w:rPr>
              <w:t>interventions with the grid pathway (C3)</w:t>
            </w:r>
          </w:p>
        </w:tc>
        <w:tc>
          <w:tcPr>
            <w:tcW w:type="dxa" w:w="3312"/>
          </w:tcPr>
          <w:p>
            <w:pPr>
              <w:jc w:val="right"/>
            </w:pPr>
            <w:r>
              <w:rPr>
                <w:rFonts w:ascii="Calibri" w:hAnsi="Calibri"/>
                <w:sz w:val="18"/>
              </w:rPr>
              <w:t>-633.9</w:t>
            </w:r>
          </w:p>
        </w:tc>
        <w:tc>
          <w:tcPr>
            <w:tcW w:type="dxa" w:w="3312"/>
          </w:tcPr>
          <w:p>
            <w:r>
              <w:rPr>
                <w:rFonts w:ascii="Calibri" w:hAnsi="Calibri"/>
                <w:sz w:val="18"/>
              </w:rPr>
              <w:t>kt CO₂-eq</w:t>
            </w:r>
          </w:p>
        </w:tc>
      </w:tr>
      <w:tr>
        <w:tc>
          <w:tcPr>
            <w:tcW w:type="dxa" w:w="3312"/>
          </w:tcPr>
          <w:p>
            <w:r>
              <w:rPr>
                <w:rFonts w:ascii="Calibri" w:hAnsi="Calibri"/>
                <w:sz w:val="18"/>
              </w:rPr>
              <w:t>share of the target with the grid pathway</w:t>
            </w:r>
          </w:p>
        </w:tc>
        <w:tc>
          <w:tcPr>
            <w:tcW w:type="dxa" w:w="3312"/>
          </w:tcPr>
          <w:p>
            <w:pPr>
              <w:jc w:val="right"/>
            </w:pPr>
            <w:r>
              <w:rPr>
                <w:rFonts w:ascii="Calibri" w:hAnsi="Calibri"/>
                <w:sz w:val="18"/>
              </w:rPr>
              <w:t>26.9</w:t>
            </w:r>
          </w:p>
        </w:tc>
        <w:tc>
          <w:tcPr>
            <w:tcW w:type="dxa" w:w="3312"/>
          </w:tcPr>
          <w:p>
            <w:r>
              <w:rPr>
                <w:rFonts w:ascii="Calibri" w:hAnsi="Calibri"/>
                <w:sz w:val="18"/>
              </w:rPr>
              <w:t>%</w:t>
            </w:r>
          </w:p>
        </w:tc>
      </w:tr>
      <w:tr>
        <w:tc>
          <w:tcPr>
            <w:tcW w:type="dxa" w:w="3312"/>
          </w:tcPr>
          <w:p>
            <w:r>
              <w:rPr>
                <w:rFonts w:ascii="Calibri" w:hAnsi="Calibri"/>
                <w:sz w:val="18"/>
              </w:rPr>
              <w:t>interventions with expenditure held constant (C2)</w:t>
            </w:r>
          </w:p>
        </w:tc>
        <w:tc>
          <w:tcPr>
            <w:tcW w:type="dxa" w:w="3312"/>
          </w:tcPr>
          <w:p>
            <w:pPr>
              <w:jc w:val="right"/>
            </w:pPr>
            <w:r>
              <w:rPr>
                <w:rFonts w:ascii="Calibri" w:hAnsi="Calibri"/>
                <w:sz w:val="18"/>
              </w:rPr>
              <w:t>-284.6</w:t>
            </w:r>
          </w:p>
        </w:tc>
        <w:tc>
          <w:tcPr>
            <w:tcW w:type="dxa" w:w="3312"/>
          </w:tcPr>
          <w:p>
            <w:r>
              <w:rPr>
                <w:rFonts w:ascii="Calibri" w:hAnsi="Calibri"/>
                <w:sz w:val="18"/>
              </w:rPr>
              <w:t>kt CO₂-eq</w:t>
            </w:r>
          </w:p>
        </w:tc>
      </w:tr>
      <w:tr>
        <w:tc>
          <w:tcPr>
            <w:tcW w:type="dxa" w:w="3312"/>
          </w:tcPr>
          <w:p>
            <w:r>
              <w:rPr>
                <w:rFonts w:ascii="Calibri" w:hAnsi="Calibri"/>
                <w:sz w:val="18"/>
              </w:rPr>
              <w:t>rebound, i.e. the saving respending removes</w:t>
            </w:r>
          </w:p>
        </w:tc>
        <w:tc>
          <w:tcPr>
            <w:tcW w:type="dxa" w:w="3312"/>
          </w:tcPr>
          <w:p>
            <w:pPr>
              <w:jc w:val="right"/>
            </w:pPr>
            <w:r>
              <w:rPr>
                <w:rFonts w:ascii="Calibri" w:hAnsi="Calibri"/>
                <w:sz w:val="18"/>
              </w:rPr>
              <w:t>76.8</w:t>
            </w:r>
          </w:p>
        </w:tc>
        <w:tc>
          <w:tcPr>
            <w:tcW w:type="dxa" w:w="3312"/>
          </w:tcPr>
          <w:p>
            <w:r>
              <w:rPr>
                <w:rFonts w:ascii="Calibri" w:hAnsi="Calibri"/>
                <w:sz w:val="18"/>
              </w:rPr>
              <w:t>kt CO₂-eq</w:t>
            </w:r>
          </w:p>
        </w:tc>
      </w:tr>
      <w:tr>
        <w:tc>
          <w:tcPr>
            <w:tcW w:type="dxa" w:w="3312"/>
          </w:tcPr>
          <w:p>
            <w:r>
              <w:rPr>
                <w:rFonts w:ascii="Calibri" w:hAnsi="Calibri"/>
                <w:sz w:val="18"/>
              </w:rPr>
              <w:t>demand growth offset (business as usual)</w:t>
            </w:r>
          </w:p>
        </w:tc>
        <w:tc>
          <w:tcPr>
            <w:tcW w:type="dxa" w:w="3312"/>
          </w:tcPr>
          <w:p>
            <w:pPr>
              <w:jc w:val="right"/>
            </w:pPr>
            <w:r>
              <w:rPr>
                <w:rFonts w:ascii="Calibri" w:hAnsi="Calibri"/>
                <w:sz w:val="18"/>
              </w:rPr>
              <w:t>848.4</w:t>
            </w:r>
          </w:p>
        </w:tc>
        <w:tc>
          <w:tcPr>
            <w:tcW w:type="dxa" w:w="3312"/>
          </w:tcPr>
          <w:p>
            <w:r>
              <w:rPr>
                <w:rFonts w:ascii="Calibri" w:hAnsi="Calibri"/>
                <w:sz w:val="18"/>
              </w:rPr>
              <w:t>kt CO₂-eq</w:t>
            </w:r>
          </w:p>
        </w:tc>
      </w:tr>
      <w:tr>
        <w:tc>
          <w:tcPr>
            <w:tcW w:type="dxa" w:w="3312"/>
          </w:tcPr>
          <w:p>
            <w:r>
              <w:rPr>
                <w:rFonts w:ascii="Calibri" w:hAnsi="Calibri"/>
                <w:sz w:val="18"/>
              </w:rPr>
              <w:t>net position, grid pathway included</w:t>
            </w:r>
          </w:p>
        </w:tc>
        <w:tc>
          <w:tcPr>
            <w:tcW w:type="dxa" w:w="3312"/>
          </w:tcPr>
          <w:p>
            <w:pPr>
              <w:jc w:val="right"/>
            </w:pPr>
            <w:r>
              <w:rPr>
                <w:rFonts w:ascii="Calibri" w:hAnsi="Calibri"/>
                <w:sz w:val="18"/>
              </w:rPr>
              <w:t>214.5</w:t>
            </w:r>
          </w:p>
        </w:tc>
        <w:tc>
          <w:tcPr>
            <w:tcW w:type="dxa" w:w="3312"/>
          </w:tcPr>
          <w:p>
            <w:r>
              <w:rPr>
                <w:rFonts w:ascii="Calibri" w:hAnsi="Calibri"/>
                <w:sz w:val="18"/>
              </w:rPr>
              <w:t>kt CO₂-eq</w:t>
            </w:r>
          </w:p>
        </w:tc>
      </w:tr>
    </w:tbl>
    <w:p>
      <w:r>
        <w:rPr>
          <w:color w:val="253331"/>
          <w:sz w:val="18"/>
        </w:rPr>
        <w:t>Note. Levers are applied simultaneously and the Leontief system is re-solved, so the combined figure is not a sum. The regional target covers hospitals while this baseline covers health and eldercare, so the comparison indicates scale rather than compliance. Counterfactual tables are not rebalanced: rebalancing would partly undo the intervention and would require an assumption about what an industry does with money it stops spending, which the model does not have. The resulting imbalance is measured and reported per scenario, and the largest across the whole set is 0.7 % of total output.</w:t>
      </w:r>
    </w:p>
    <w:p>
      <w:r>
        <w:rPr>
          <w:i/>
          <w:color w:val="C1502E"/>
          <w:sz w:val="18"/>
        </w:rPr>
        <w:t>Supersedes. An earlier figure of 31 % of the target came from summing climate-only levers with the grid pathway folded in unannounced. The like-for-like value is 27 %; the interventions alone reach 15 %.</w:t>
      </w:r>
    </w:p>
    <w:p>
      <w:r>
        <w:rPr>
          <w:color w:val="6B7F7B"/>
          <w:sz w:val="17"/>
        </w:rPr>
        <w:t>Source. 18_mitigation_scenarios/target_consistency.csv</w:t>
      </w:r>
    </w:p>
    <w:p/>
    <w:p>
      <w:r>
        <w:rPr>
          <w:rFonts w:ascii="Cambria" w:hAnsi="Cambria"/>
          <w:b/>
          <w:color w:val="0B4F4A"/>
          <w:sz w:val="22"/>
        </w:rPr>
        <w:t>Table 13. Two scenarios improve climate while worsening another pressure</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fill="0B4F4A"/>
          </w:tcPr>
          <w:p>
            <w:r>
              <w:rPr>
                <w:rFonts w:ascii="Calibri" w:hAnsi="Calibri"/>
                <w:b/>
                <w:sz w:val="18"/>
                <w:color w:val="FFFFFF"/>
              </w:rPr>
              <w:t>Scenario</w:t>
            </w:r>
          </w:p>
        </w:tc>
        <w:tc>
          <w:tcPr>
            <w:tcW w:type="dxa" w:w="1656"/>
            <w:shd w:val="clear" w:fill="0B4F4A"/>
          </w:tcPr>
          <w:p>
            <w:r>
              <w:rPr>
                <w:rFonts w:ascii="Calibri" w:hAnsi="Calibri"/>
                <w:b/>
                <w:sz w:val="18"/>
                <w:color w:val="FFFFFF"/>
              </w:rPr>
              <w:t>Climate (%)</w:t>
            </w:r>
          </w:p>
        </w:tc>
        <w:tc>
          <w:tcPr>
            <w:tcW w:type="dxa" w:w="1656"/>
            <w:shd w:val="clear" w:fill="0B4F4A"/>
          </w:tcPr>
          <w:p>
            <w:r>
              <w:rPr>
                <w:rFonts w:ascii="Calibri" w:hAnsi="Calibri"/>
                <w:b/>
                <w:sz w:val="18"/>
                <w:color w:val="FFFFFF"/>
              </w:rPr>
              <w:t>Material (%)</w:t>
            </w:r>
          </w:p>
        </w:tc>
        <w:tc>
          <w:tcPr>
            <w:tcW w:type="dxa" w:w="1656"/>
            <w:shd w:val="clear" w:fill="0B4F4A"/>
          </w:tcPr>
          <w:p>
            <w:r>
              <w:rPr>
                <w:rFonts w:ascii="Calibri" w:hAnsi="Calibri"/>
                <w:b/>
                <w:sz w:val="18"/>
                <w:color w:val="FFFFFF"/>
              </w:rPr>
              <w:t>Blue water (%)</w:t>
            </w:r>
          </w:p>
        </w:tc>
        <w:tc>
          <w:tcPr>
            <w:tcW w:type="dxa" w:w="1656"/>
            <w:shd w:val="clear" w:fill="0B4F4A"/>
          </w:tcPr>
          <w:p>
            <w:r>
              <w:rPr>
                <w:rFonts w:ascii="Calibri" w:hAnsi="Calibri"/>
                <w:b/>
                <w:sz w:val="18"/>
                <w:color w:val="FFFFFF"/>
              </w:rPr>
              <w:t>Land (%)</w:t>
            </w:r>
          </w:p>
        </w:tc>
        <w:tc>
          <w:tcPr>
            <w:tcW w:type="dxa" w:w="1656"/>
            <w:shd w:val="clear" w:fill="0B4F4A"/>
          </w:tcPr>
          <w:p>
            <w:r>
              <w:rPr>
                <w:rFonts w:ascii="Calibri" w:hAnsi="Calibri"/>
                <w:b/>
                <w:sz w:val="18"/>
                <w:color w:val="FFFFFF"/>
              </w:rPr>
              <w:t>Waste (%)</w:t>
            </w:r>
          </w:p>
        </w:tc>
      </w:tr>
      <w:tr>
        <w:tc>
          <w:tcPr>
            <w:tcW w:type="dxa" w:w="1656"/>
          </w:tcPr>
          <w:p>
            <w:r>
              <w:rPr>
                <w:rFonts w:ascii="Calibri" w:hAnsi="Calibri"/>
                <w:sz w:val="18"/>
              </w:rPr>
              <w:t>C3  maximum modelled, KF22 to 2035</w:t>
            </w:r>
          </w:p>
        </w:tc>
        <w:tc>
          <w:tcPr>
            <w:tcW w:type="dxa" w:w="1656"/>
          </w:tcPr>
          <w:p>
            <w:pPr>
              <w:jc w:val="right"/>
            </w:pPr>
            <w:r>
              <w:rPr>
                <w:rFonts w:ascii="Calibri" w:hAnsi="Calibri"/>
                <w:sz w:val="18"/>
              </w:rPr>
              <w:t>-13.45</w:t>
            </w:r>
          </w:p>
        </w:tc>
        <w:tc>
          <w:tcPr>
            <w:tcW w:type="dxa" w:w="1656"/>
          </w:tcPr>
          <w:p>
            <w:pPr>
              <w:jc w:val="right"/>
            </w:pPr>
            <w:r>
              <w:rPr>
                <w:rFonts w:ascii="Calibri" w:hAnsi="Calibri"/>
                <w:sz w:val="18"/>
              </w:rPr>
              <w:t>-4.78</w:t>
            </w:r>
          </w:p>
        </w:tc>
        <w:tc>
          <w:tcPr>
            <w:tcW w:type="dxa" w:w="1656"/>
          </w:tcPr>
          <w:p>
            <w:pPr>
              <w:jc w:val="right"/>
            </w:pPr>
            <w:r>
              <w:rPr>
                <w:rFonts w:ascii="Calibri" w:hAnsi="Calibri"/>
                <w:sz w:val="18"/>
              </w:rPr>
              <w:t>-1.37</w:t>
            </w:r>
          </w:p>
        </w:tc>
        <w:tc>
          <w:tcPr>
            <w:tcW w:type="dxa" w:w="1656"/>
          </w:tcPr>
          <w:p>
            <w:pPr>
              <w:jc w:val="right"/>
            </w:pPr>
            <w:r>
              <w:rPr>
                <w:rFonts w:ascii="Calibri" w:hAnsi="Calibri"/>
                <w:sz w:val="18"/>
              </w:rPr>
              <w:t>-1.44</w:t>
            </w:r>
          </w:p>
        </w:tc>
        <w:tc>
          <w:tcPr>
            <w:tcW w:type="dxa" w:w="1656"/>
          </w:tcPr>
          <w:p>
            <w:pPr>
              <w:jc w:val="right"/>
            </w:pPr>
            <w:r>
              <w:rPr>
                <w:rFonts w:ascii="Calibri" w:hAnsi="Calibri"/>
                <w:sz w:val="18"/>
              </w:rPr>
              <w:t>-3.41</w:t>
            </w:r>
          </w:p>
        </w:tc>
      </w:tr>
      <w:tr>
        <w:tc>
          <w:tcPr>
            <w:tcW w:type="dxa" w:w="1656"/>
          </w:tcPr>
          <w:p>
            <w:r>
              <w:rPr>
                <w:rFonts w:ascii="Calibri" w:hAnsi="Calibri"/>
                <w:sz w:val="18"/>
              </w:rPr>
              <w:t>C1  maximum modelled</w:t>
            </w:r>
          </w:p>
        </w:tc>
        <w:tc>
          <w:tcPr>
            <w:tcW w:type="dxa" w:w="1656"/>
          </w:tcPr>
          <w:p>
            <w:pPr>
              <w:jc w:val="right"/>
            </w:pPr>
            <w:r>
              <w:rPr>
                <w:rFonts w:ascii="Calibri" w:hAnsi="Calibri"/>
                <w:sz w:val="18"/>
              </w:rPr>
              <w:t>-7.67</w:t>
            </w:r>
          </w:p>
        </w:tc>
        <w:tc>
          <w:tcPr>
            <w:tcW w:type="dxa" w:w="1656"/>
          </w:tcPr>
          <w:p>
            <w:pPr>
              <w:jc w:val="right"/>
            </w:pPr>
            <w:r>
              <w:rPr>
                <w:rFonts w:ascii="Calibri" w:hAnsi="Calibri"/>
                <w:sz w:val="18"/>
              </w:rPr>
              <w:t>-4.56</w:t>
            </w:r>
          </w:p>
        </w:tc>
        <w:tc>
          <w:tcPr>
            <w:tcW w:type="dxa" w:w="1656"/>
          </w:tcPr>
          <w:p>
            <w:pPr>
              <w:jc w:val="right"/>
            </w:pPr>
            <w:r>
              <w:rPr>
                <w:rFonts w:ascii="Calibri" w:hAnsi="Calibri"/>
                <w:sz w:val="18"/>
              </w:rPr>
              <w:t>-1.37</w:t>
            </w:r>
          </w:p>
        </w:tc>
        <w:tc>
          <w:tcPr>
            <w:tcW w:type="dxa" w:w="1656"/>
          </w:tcPr>
          <w:p>
            <w:pPr>
              <w:jc w:val="right"/>
            </w:pPr>
            <w:r>
              <w:rPr>
                <w:rFonts w:ascii="Calibri" w:hAnsi="Calibri"/>
                <w:sz w:val="18"/>
              </w:rPr>
              <w:t>-1.42</w:t>
            </w:r>
          </w:p>
        </w:tc>
        <w:tc>
          <w:tcPr>
            <w:tcW w:type="dxa" w:w="1656"/>
          </w:tcPr>
          <w:p>
            <w:pPr>
              <w:jc w:val="right"/>
            </w:pPr>
            <w:r>
              <w:rPr>
                <w:rFonts w:ascii="Calibri" w:hAnsi="Calibri"/>
                <w:sz w:val="18"/>
              </w:rPr>
              <w:t>-1.40</w:t>
            </w:r>
          </w:p>
        </w:tc>
      </w:tr>
      <w:tr>
        <w:tc>
          <w:tcPr>
            <w:tcW w:type="dxa" w:w="1656"/>
          </w:tcPr>
          <w:p>
            <w:r>
              <w:rPr>
                <w:rFonts w:ascii="Calibri" w:hAnsi="Calibri"/>
                <w:sz w:val="18"/>
              </w:rPr>
              <w:t>B1  KF22 to 2035</w:t>
            </w:r>
          </w:p>
        </w:tc>
        <w:tc>
          <w:tcPr>
            <w:tcW w:type="dxa" w:w="1656"/>
          </w:tcPr>
          <w:p>
            <w:pPr>
              <w:jc w:val="right"/>
            </w:pPr>
            <w:r>
              <w:rPr>
                <w:rFonts w:ascii="Calibri" w:hAnsi="Calibri"/>
                <w:sz w:val="18"/>
              </w:rPr>
              <w:t>-6.81</w:t>
            </w:r>
          </w:p>
        </w:tc>
        <w:tc>
          <w:tcPr>
            <w:tcW w:type="dxa" w:w="1656"/>
          </w:tcPr>
          <w:p>
            <w:pPr>
              <w:jc w:val="right"/>
            </w:pPr>
            <w:r>
              <w:rPr>
                <w:rFonts w:ascii="Calibri" w:hAnsi="Calibri"/>
                <w:sz w:val="18"/>
              </w:rPr>
              <w:t>-0.23</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-2.14</w:t>
            </w:r>
          </w:p>
        </w:tc>
      </w:tr>
      <w:tr>
        <w:tc>
          <w:tcPr>
            <w:tcW w:type="dxa" w:w="1656"/>
          </w:tcPr>
          <w:p>
            <w:r>
              <w:rPr>
                <w:rFonts w:ascii="Calibri" w:hAnsi="Calibri"/>
                <w:sz w:val="18"/>
              </w:rPr>
              <w:t>B1  KF22 to 2030</w:t>
            </w:r>
          </w:p>
        </w:tc>
        <w:tc>
          <w:tcPr>
            <w:tcW w:type="dxa" w:w="1656"/>
          </w:tcPr>
          <w:p>
            <w:pPr>
              <w:jc w:val="right"/>
            </w:pPr>
            <w:r>
              <w:rPr>
                <w:rFonts w:ascii="Calibri" w:hAnsi="Calibri"/>
                <w:sz w:val="18"/>
              </w:rPr>
              <w:t>-6.72</w:t>
            </w:r>
          </w:p>
        </w:tc>
        <w:tc>
          <w:tcPr>
            <w:tcW w:type="dxa" w:w="1656"/>
          </w:tcPr>
          <w:p>
            <w:pPr>
              <w:jc w:val="right"/>
            </w:pPr>
            <w:r>
              <w:rPr>
                <w:rFonts w:ascii="Calibri" w:hAnsi="Calibri"/>
                <w:sz w:val="18"/>
              </w:rPr>
              <w:t>-0.23</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-2.12</w:t>
            </w:r>
          </w:p>
        </w:tc>
      </w:tr>
      <w:tr>
        <w:tc>
          <w:tcPr>
            <w:tcW w:type="dxa" w:w="1656"/>
          </w:tcPr>
          <w:p>
            <w:r>
              <w:rPr>
                <w:rFonts w:ascii="Calibri" w:hAnsi="Calibri"/>
                <w:sz w:val="18"/>
              </w:rPr>
              <w:t>C2  maximum modelled, with rebound</w:t>
            </w:r>
          </w:p>
        </w:tc>
        <w:tc>
          <w:tcPr>
            <w:tcW w:type="dxa" w:w="1656"/>
          </w:tcPr>
          <w:p>
            <w:pPr>
              <w:jc w:val="right"/>
            </w:pPr>
            <w:r>
              <w:rPr>
                <w:rFonts w:ascii="Calibri" w:hAnsi="Calibri"/>
                <w:sz w:val="18"/>
              </w:rPr>
              <w:t>-6.04</w:t>
            </w:r>
          </w:p>
        </w:tc>
        <w:tc>
          <w:tcPr>
            <w:tcW w:type="dxa" w:w="1656"/>
          </w:tcPr>
          <w:p>
            <w:pPr>
              <w:jc w:val="right"/>
            </w:pPr>
            <w:r>
              <w:rPr>
                <w:rFonts w:ascii="Calibri" w:hAnsi="Calibri"/>
                <w:sz w:val="18"/>
              </w:rPr>
              <w:t>-2.63</w:t>
            </w:r>
          </w:p>
        </w:tc>
        <w:tc>
          <w:tcPr>
            <w:tcW w:type="dxa" w:w="1656"/>
          </w:tcPr>
          <w:p>
            <w:pPr>
              <w:jc w:val="right"/>
            </w:pPr>
            <w:r>
              <w:rPr>
                <w:rFonts w:ascii="Calibri" w:hAnsi="Calibri"/>
                <w:sz w:val="18"/>
              </w:rPr>
              <w:t>0.63</w:t>
            </w:r>
          </w:p>
        </w:tc>
        <w:tc>
          <w:tcPr>
            <w:tcW w:type="dxa" w:w="1656"/>
          </w:tcPr>
          <w:p>
            <w:pPr>
              <w:jc w:val="right"/>
            </w:pPr>
            <w:r>
              <w:rPr>
                <w:rFonts w:ascii="Calibri" w:hAnsi="Calibri"/>
                <w:sz w:val="18"/>
              </w:rPr>
              <w:t>0.58</w:t>
            </w:r>
          </w:p>
        </w:tc>
        <w:tc>
          <w:tcPr>
            <w:tcW w:type="dxa" w:w="1656"/>
          </w:tcPr>
          <w:p>
            <w:pPr>
              <w:jc w:val="right"/>
            </w:pPr>
            <w:r>
              <w:rPr>
                <w:rFonts w:ascii="Calibri" w:hAnsi="Calibri"/>
                <w:sz w:val="18"/>
              </w:rPr>
              <w:t>0.27</w:t>
            </w:r>
          </w:p>
        </w:tc>
      </w:tr>
      <w:tr>
        <w:tc>
          <w:tcPr>
            <w:tcW w:type="dxa" w:w="1656"/>
          </w:tcPr>
          <w:p>
            <w:r>
              <w:rPr>
                <w:rFonts w:ascii="Calibri" w:hAnsi="Calibri"/>
                <w:sz w:val="18"/>
              </w:rPr>
              <w:t>B1  KF25 to 2035</w:t>
            </w:r>
          </w:p>
        </w:tc>
        <w:tc>
          <w:tcPr>
            <w:tcW w:type="dxa" w:w="1656"/>
          </w:tcPr>
          <w:p>
            <w:pPr>
              <w:jc w:val="right"/>
            </w:pPr>
            <w:r>
              <w:rPr>
                <w:rFonts w:ascii="Calibri" w:hAnsi="Calibri"/>
                <w:sz w:val="18"/>
              </w:rPr>
              <w:t>-5.99</w:t>
            </w:r>
          </w:p>
        </w:tc>
        <w:tc>
          <w:tcPr>
            <w:tcW w:type="dxa" w:w="1656"/>
          </w:tcPr>
          <w:p>
            <w:pPr>
              <w:jc w:val="right"/>
            </w:pPr>
            <w:r>
              <w:rPr>
                <w:rFonts w:ascii="Calibri" w:hAnsi="Calibri"/>
                <w:sz w:val="18"/>
              </w:rPr>
              <w:t>-0.20</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-1.89</w:t>
            </w:r>
          </w:p>
        </w:tc>
      </w:tr>
      <w:tr>
        <w:tc>
          <w:tcPr>
            <w:tcW w:type="dxa" w:w="1656"/>
          </w:tcPr>
          <w:p>
            <w:r>
              <w:rPr>
                <w:rFonts w:ascii="Calibri" w:hAnsi="Calibri"/>
                <w:sz w:val="18"/>
              </w:rPr>
              <w:t>B1  KF25 to 2030</w:t>
            </w:r>
          </w:p>
        </w:tc>
        <w:tc>
          <w:tcPr>
            <w:tcW w:type="dxa" w:w="1656"/>
          </w:tcPr>
          <w:p>
            <w:pPr>
              <w:jc w:val="right"/>
            </w:pPr>
            <w:r>
              <w:rPr>
                <w:rFonts w:ascii="Calibri" w:hAnsi="Calibri"/>
                <w:sz w:val="18"/>
              </w:rPr>
              <w:t>-5.74</w:t>
            </w:r>
          </w:p>
        </w:tc>
        <w:tc>
          <w:tcPr>
            <w:tcW w:type="dxa" w:w="1656"/>
          </w:tcPr>
          <w:p>
            <w:pPr>
              <w:jc w:val="right"/>
            </w:pPr>
            <w:r>
              <w:rPr>
                <w:rFonts w:ascii="Calibri" w:hAnsi="Calibri"/>
                <w:sz w:val="18"/>
              </w:rPr>
              <w:t>-0.19</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-1.81</w:t>
            </w:r>
          </w:p>
        </w:tc>
      </w:tr>
      <w:tr>
        <w:tc>
          <w:tcPr>
            <w:tcW w:type="dxa" w:w="1656"/>
          </w:tcPr>
          <w:p>
            <w:r>
              <w:rPr>
                <w:rFonts w:ascii="Calibri" w:hAnsi="Calibri"/>
                <w:sz w:val="18"/>
              </w:rPr>
              <w:t>P5  -30%</w:t>
            </w:r>
          </w:p>
        </w:tc>
        <w:tc>
          <w:tcPr>
            <w:tcW w:type="dxa" w:w="1656"/>
          </w:tcPr>
          <w:p>
            <w:pPr>
              <w:jc w:val="right"/>
            </w:pPr>
            <w:r>
              <w:rPr>
                <w:rFonts w:ascii="Calibri" w:hAnsi="Calibri"/>
                <w:sz w:val="18"/>
              </w:rPr>
              <w:t>-3.99</w:t>
            </w:r>
          </w:p>
        </w:tc>
        <w:tc>
          <w:tcPr>
            <w:tcW w:type="dxa" w:w="1656"/>
          </w:tcPr>
          <w:p>
            <w:pPr>
              <w:jc w:val="right"/>
            </w:pPr>
            <w:r>
              <w:rPr>
                <w:rFonts w:ascii="Calibri" w:hAnsi="Calibri"/>
                <w:sz w:val="18"/>
              </w:rPr>
              <w:t>-0.18</w:t>
            </w:r>
          </w:p>
        </w:tc>
        <w:tc>
          <w:tcPr>
            <w:tcW w:type="dxa" w:w="1656"/>
          </w:tcPr>
          <w:p>
            <w:pPr>
              <w:jc w:val="right"/>
            </w:pPr>
            <w:r>
              <w:rPr>
                <w:rFonts w:ascii="Calibri" w:hAnsi="Calibri"/>
                <w:sz w:val="18"/>
              </w:rPr>
              <w:t>-0.06</w:t>
            </w:r>
          </w:p>
        </w:tc>
        <w:tc>
          <w:tcPr>
            <w:tcW w:type="dxa" w:w="1656"/>
          </w:tcPr>
          <w:p>
            <w:pPr>
              <w:jc w:val="right"/>
            </w:pPr>
            <w:r>
              <w:rPr>
                <w:rFonts w:ascii="Calibri" w:hAnsi="Calibri"/>
                <w:sz w:val="18"/>
              </w:rPr>
              <w:t>-0.01</w:t>
            </w:r>
          </w:p>
        </w:tc>
        <w:tc>
          <w:tcPr>
            <w:tcW w:type="dxa" w:w="1656"/>
          </w:tcPr>
          <w:p>
            <w:pPr>
              <w:jc w:val="right"/>
            </w:pPr>
            <w:r>
              <w:rPr>
                <w:rFonts w:ascii="Calibri" w:hAnsi="Calibri"/>
                <w:sz w:val="18"/>
              </w:rPr>
              <w:t>0.00</w:t>
            </w:r>
          </w:p>
        </w:tc>
      </w:tr>
      <w:tr>
        <w:tc>
          <w:tcPr>
            <w:tcW w:type="dxa" w:w="1656"/>
          </w:tcPr>
          <w:p>
            <w:r>
              <w:rPr>
                <w:rFonts w:ascii="Calibri" w:hAnsi="Calibri"/>
                <w:sz w:val="18"/>
              </w:rPr>
              <w:t>P5  -20%</w:t>
            </w:r>
          </w:p>
        </w:tc>
        <w:tc>
          <w:tcPr>
            <w:tcW w:type="dxa" w:w="1656"/>
          </w:tcPr>
          <w:p>
            <w:pPr>
              <w:jc w:val="right"/>
            </w:pPr>
            <w:r>
              <w:rPr>
                <w:rFonts w:ascii="Calibri" w:hAnsi="Calibri"/>
                <w:sz w:val="18"/>
              </w:rPr>
              <w:t>-2.66</w:t>
            </w:r>
          </w:p>
        </w:tc>
        <w:tc>
          <w:tcPr>
            <w:tcW w:type="dxa" w:w="1656"/>
          </w:tcPr>
          <w:p>
            <w:pPr>
              <w:jc w:val="right"/>
            </w:pPr>
            <w:r>
              <w:rPr>
                <w:rFonts w:ascii="Calibri" w:hAnsi="Calibri"/>
                <w:sz w:val="18"/>
              </w:rPr>
              <w:t>-0.12</w:t>
            </w:r>
          </w:p>
        </w:tc>
        <w:tc>
          <w:tcPr>
            <w:tcW w:type="dxa" w:w="1656"/>
          </w:tcPr>
          <w:p>
            <w:pPr>
              <w:jc w:val="right"/>
            </w:pPr>
            <w:r>
              <w:rPr>
                <w:rFonts w:ascii="Calibri" w:hAnsi="Calibri"/>
                <w:sz w:val="18"/>
              </w:rPr>
              <w:t>-0.04</w:t>
            </w:r>
          </w:p>
        </w:tc>
        <w:tc>
          <w:tcPr>
            <w:tcW w:type="dxa" w:w="1656"/>
          </w:tcPr>
          <w:p>
            <w:pPr>
              <w:jc w:val="right"/>
            </w:pPr>
            <w:r>
              <w:rPr>
                <w:rFonts w:ascii="Calibri" w:hAnsi="Calibri"/>
                <w:sz w:val="18"/>
              </w:rPr>
              <w:t>-0.01</w:t>
            </w:r>
          </w:p>
        </w:tc>
        <w:tc>
          <w:tcPr>
            <w:tcW w:type="dxa" w:w="1656"/>
          </w:tcPr>
          <w:p>
            <w:pPr>
              <w:jc w:val="right"/>
            </w:pPr>
            <w:r>
              <w:rPr>
                <w:rFonts w:ascii="Calibri" w:hAnsi="Calibri"/>
                <w:sz w:val="18"/>
              </w:rPr>
              <w:t>0.00</w:t>
            </w:r>
          </w:p>
        </w:tc>
      </w:tr>
      <w:tr>
        <w:tc>
          <w:tcPr>
            <w:tcW w:type="dxa" w:w="1656"/>
          </w:tcPr>
          <w:p>
            <w:r>
              <w:rPr>
                <w:rFonts w:ascii="Calibri" w:hAnsi="Calibri"/>
                <w:sz w:val="18"/>
              </w:rPr>
              <w:t>P2  -15 % inputs, 100% of Danish production</w:t>
            </w:r>
          </w:p>
        </w:tc>
        <w:tc>
          <w:tcPr>
            <w:tcW w:type="dxa" w:w="1656"/>
          </w:tcPr>
          <w:p>
            <w:pPr>
              <w:jc w:val="right"/>
            </w:pPr>
            <w:r>
              <w:rPr>
                <w:rFonts w:ascii="Calibri" w:hAnsi="Calibri"/>
                <w:sz w:val="18"/>
              </w:rPr>
              <w:t>-1.61</w:t>
            </w:r>
          </w:p>
        </w:tc>
        <w:tc>
          <w:tcPr>
            <w:tcW w:type="dxa" w:w="1656"/>
          </w:tcPr>
          <w:p>
            <w:pPr>
              <w:jc w:val="right"/>
            </w:pPr>
            <w:r>
              <w:rPr>
                <w:rFonts w:ascii="Calibri" w:hAnsi="Calibri"/>
                <w:sz w:val="18"/>
              </w:rPr>
              <w:t>-3.26</w:t>
            </w:r>
          </w:p>
        </w:tc>
        <w:tc>
          <w:tcPr>
            <w:tcW w:type="dxa" w:w="1656"/>
          </w:tcPr>
          <w:p>
            <w:pPr>
              <w:jc w:val="right"/>
            </w:pPr>
            <w:r>
              <w:rPr>
                <w:rFonts w:ascii="Calibri" w:hAnsi="Calibri"/>
                <w:sz w:val="18"/>
              </w:rPr>
              <w:t>-0.80</w:t>
            </w:r>
          </w:p>
        </w:tc>
        <w:tc>
          <w:tcPr>
            <w:tcW w:type="dxa" w:w="1656"/>
          </w:tcPr>
          <w:p>
            <w:pPr>
              <w:jc w:val="right"/>
            </w:pPr>
            <w:r>
              <w:rPr>
                <w:rFonts w:ascii="Calibri" w:hAnsi="Calibri"/>
                <w:sz w:val="18"/>
              </w:rPr>
              <w:t>-0.91</w:t>
            </w:r>
          </w:p>
        </w:tc>
        <w:tc>
          <w:tcPr>
            <w:tcW w:type="dxa" w:w="1656"/>
          </w:tcPr>
          <w:p>
            <w:pPr>
              <w:jc w:val="right"/>
            </w:pPr>
            <w:r>
              <w:rPr>
                <w:rFonts w:ascii="Calibri" w:hAnsi="Calibri"/>
                <w:sz w:val="18"/>
              </w:rPr>
              <w:t>-0.75</w:t>
            </w:r>
          </w:p>
        </w:tc>
      </w:tr>
      <w:tr>
        <w:tc>
          <w:tcPr>
            <w:tcW w:type="dxa" w:w="1656"/>
          </w:tcPr>
          <w:p>
            <w:r>
              <w:rPr>
                <w:rFonts w:ascii="Calibri" w:hAnsi="Calibri"/>
                <w:sz w:val="18"/>
              </w:rPr>
              <w:t>P5  -10%</w:t>
            </w:r>
          </w:p>
        </w:tc>
        <w:tc>
          <w:tcPr>
            <w:tcW w:type="dxa" w:w="1656"/>
          </w:tcPr>
          <w:p>
            <w:pPr>
              <w:jc w:val="right"/>
            </w:pPr>
            <w:r>
              <w:rPr>
                <w:rFonts w:ascii="Calibri" w:hAnsi="Calibri"/>
                <w:sz w:val="18"/>
              </w:rPr>
              <w:t>-1.33</w:t>
            </w:r>
          </w:p>
        </w:tc>
        <w:tc>
          <w:tcPr>
            <w:tcW w:type="dxa" w:w="1656"/>
          </w:tcPr>
          <w:p>
            <w:pPr>
              <w:jc w:val="right"/>
            </w:pPr>
            <w:r>
              <w:rPr>
                <w:rFonts w:ascii="Calibri" w:hAnsi="Calibri"/>
                <w:sz w:val="18"/>
              </w:rPr>
              <w:t>-0.06</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0.00</w:t>
            </w:r>
          </w:p>
        </w:tc>
      </w:tr>
      <w:tr>
        <w:tc>
          <w:tcPr>
            <w:tcW w:type="dxa" w:w="1656"/>
          </w:tcPr>
          <w:p>
            <w:r>
              <w:rPr>
                <w:rFonts w:ascii="Calibri" w:hAnsi="Calibri"/>
                <w:sz w:val="18"/>
              </w:rPr>
              <w:t>P1  -75 % by 2030, 100% of the target met</w:t>
            </w:r>
          </w:p>
        </w:tc>
        <w:tc>
          <w:tcPr>
            <w:tcW w:type="dxa" w:w="1656"/>
          </w:tcPr>
          <w:p>
            <w:pPr>
              <w:jc w:val="right"/>
            </w:pPr>
            <w:r>
              <w:rPr>
                <w:rFonts w:ascii="Calibri" w:hAnsi="Calibri"/>
                <w:sz w:val="18"/>
              </w:rPr>
              <w:t>-1.13</w:t>
            </w:r>
          </w:p>
        </w:tc>
        <w:tc>
          <w:tcPr>
            <w:tcW w:type="dxa" w:w="1656"/>
          </w:tcPr>
          <w:p>
            <w:pPr>
              <w:jc w:val="right"/>
            </w:pPr>
            <w:r>
              <w:rPr>
                <w:rFonts w:ascii="Calibri" w:hAnsi="Calibri"/>
                <w:sz w:val="18"/>
              </w:rPr>
              <w:t>-0.51</w:t>
            </w:r>
          </w:p>
        </w:tc>
        <w:tc>
          <w:tcPr>
            <w:tcW w:type="dxa" w:w="1656"/>
          </w:tcPr>
          <w:p>
            <w:pPr>
              <w:jc w:val="right"/>
            </w:pPr>
            <w:r>
              <w:rPr>
                <w:rFonts w:ascii="Calibri" w:hAnsi="Calibri"/>
                <w:sz w:val="18"/>
              </w:rPr>
              <w:t>-0.18</w:t>
            </w:r>
          </w:p>
        </w:tc>
        <w:tc>
          <w:tcPr>
            <w:tcW w:type="dxa" w:w="1656"/>
          </w:tcPr>
          <w:p>
            <w:pPr>
              <w:jc w:val="right"/>
            </w:pPr>
            <w:r>
              <w:rPr>
                <w:rFonts w:ascii="Calibri" w:hAnsi="Calibri"/>
                <w:sz w:val="18"/>
              </w:rPr>
              <w:t>-0.21</w:t>
            </w:r>
          </w:p>
        </w:tc>
        <w:tc>
          <w:tcPr>
            <w:tcW w:type="dxa" w:w="1656"/>
          </w:tcPr>
          <w:p>
            <w:pPr>
              <w:jc w:val="right"/>
            </w:pPr>
            <w:r>
              <w:rPr>
                <w:rFonts w:ascii="Calibri" w:hAnsi="Calibri"/>
                <w:sz w:val="18"/>
              </w:rPr>
              <w:t>-0.20</w:t>
            </w:r>
          </w:p>
        </w:tc>
      </w:tr>
      <w:tr>
        <w:tc>
          <w:tcPr>
            <w:tcW w:type="dxa" w:w="1656"/>
          </w:tcPr>
          <w:p>
            <w:r>
              <w:rPr>
                <w:rFonts w:ascii="Calibri" w:hAnsi="Calibri"/>
                <w:sz w:val="18"/>
              </w:rPr>
              <w:t>P2  -15 % inputs, 50% of Danish production</w:t>
            </w:r>
          </w:p>
        </w:tc>
        <w:tc>
          <w:tcPr>
            <w:tcW w:type="dxa" w:w="1656"/>
          </w:tcPr>
          <w:p>
            <w:pPr>
              <w:jc w:val="right"/>
            </w:pPr>
            <w:r>
              <w:rPr>
                <w:rFonts w:ascii="Calibri" w:hAnsi="Calibri"/>
                <w:sz w:val="18"/>
              </w:rPr>
              <w:t>-0.80</w:t>
            </w:r>
          </w:p>
        </w:tc>
        <w:tc>
          <w:tcPr>
            <w:tcW w:type="dxa" w:w="1656"/>
          </w:tcPr>
          <w:p>
            <w:pPr>
              <w:jc w:val="right"/>
            </w:pPr>
            <w:r>
              <w:rPr>
                <w:rFonts w:ascii="Calibri" w:hAnsi="Calibri"/>
                <w:sz w:val="18"/>
              </w:rPr>
              <w:t>-1.63</w:t>
            </w:r>
          </w:p>
        </w:tc>
        <w:tc>
          <w:tcPr>
            <w:tcW w:type="dxa" w:w="1656"/>
          </w:tcPr>
          <w:p>
            <w:pPr>
              <w:jc w:val="right"/>
            </w:pPr>
            <w:r>
              <w:rPr>
                <w:rFonts w:ascii="Calibri" w:hAnsi="Calibri"/>
                <w:sz w:val="18"/>
              </w:rPr>
              <w:t>-0.40</w:t>
            </w:r>
          </w:p>
        </w:tc>
        <w:tc>
          <w:tcPr>
            <w:tcW w:type="dxa" w:w="1656"/>
          </w:tcPr>
          <w:p>
            <w:pPr>
              <w:jc w:val="right"/>
            </w:pPr>
            <w:r>
              <w:rPr>
                <w:rFonts w:ascii="Calibri" w:hAnsi="Calibri"/>
                <w:sz w:val="18"/>
              </w:rPr>
              <w:t>-0.45</w:t>
            </w:r>
          </w:p>
        </w:tc>
        <w:tc>
          <w:tcPr>
            <w:tcW w:type="dxa" w:w="1656"/>
          </w:tcPr>
          <w:p>
            <w:pPr>
              <w:jc w:val="right"/>
            </w:pPr>
            <w:r>
              <w:rPr>
                <w:rFonts w:ascii="Calibri" w:hAnsi="Calibri"/>
                <w:sz w:val="18"/>
              </w:rPr>
              <w:t>-0.37</w:t>
            </w:r>
          </w:p>
        </w:tc>
      </w:tr>
      <w:tr>
        <w:tc>
          <w:tcPr>
            <w:tcW w:type="dxa" w:w="1656"/>
          </w:tcPr>
          <w:p>
            <w:r>
              <w:rPr>
                <w:rFonts w:ascii="Calibri" w:hAnsi="Calibri"/>
                <w:sz w:val="18"/>
              </w:rPr>
              <w:t>P4  -20% device purchases</w:t>
            </w:r>
          </w:p>
        </w:tc>
        <w:tc>
          <w:tcPr>
            <w:tcW w:type="dxa" w:w="1656"/>
          </w:tcPr>
          <w:p>
            <w:pPr>
              <w:jc w:val="right"/>
            </w:pPr>
            <w:r>
              <w:rPr>
                <w:rFonts w:ascii="Calibri" w:hAnsi="Calibri"/>
                <w:sz w:val="18"/>
              </w:rPr>
              <w:t>-0.58</w:t>
            </w:r>
          </w:p>
        </w:tc>
        <w:tc>
          <w:tcPr>
            <w:tcW w:type="dxa" w:w="1656"/>
          </w:tcPr>
          <w:p>
            <w:pPr>
              <w:jc w:val="right"/>
            </w:pPr>
            <w:r>
              <w:rPr>
                <w:rFonts w:ascii="Calibri" w:hAnsi="Calibri"/>
                <w:sz w:val="18"/>
              </w:rPr>
              <w:t>-0.59</w:t>
            </w:r>
          </w:p>
        </w:tc>
        <w:tc>
          <w:tcPr>
            <w:tcW w:type="dxa" w:w="1656"/>
          </w:tcPr>
          <w:p>
            <w:pPr>
              <w:jc w:val="right"/>
            </w:pPr>
            <w:r>
              <w:rPr>
                <w:rFonts w:ascii="Calibri" w:hAnsi="Calibri"/>
                <w:sz w:val="18"/>
              </w:rPr>
              <w:t>-0.32</w:t>
            </w:r>
          </w:p>
        </w:tc>
        <w:tc>
          <w:tcPr>
            <w:tcW w:type="dxa" w:w="1656"/>
          </w:tcPr>
          <w:p>
            <w:pPr>
              <w:jc w:val="right"/>
            </w:pPr>
            <w:r>
              <w:rPr>
                <w:rFonts w:ascii="Calibri" w:hAnsi="Calibri"/>
                <w:sz w:val="18"/>
              </w:rPr>
              <w:t>-0.28</w:t>
            </w:r>
          </w:p>
        </w:tc>
        <w:tc>
          <w:tcPr>
            <w:tcW w:type="dxa" w:w="1656"/>
          </w:tcPr>
          <w:p>
            <w:pPr>
              <w:jc w:val="right"/>
            </w:pPr>
            <w:r>
              <w:rPr>
                <w:rFonts w:ascii="Calibri" w:hAnsi="Calibri"/>
                <w:sz w:val="18"/>
              </w:rPr>
              <w:t>-0.38</w:t>
            </w:r>
          </w:p>
        </w:tc>
      </w:tr>
      <w:tr>
        <w:tc>
          <w:tcPr>
            <w:tcW w:type="dxa" w:w="1656"/>
          </w:tcPr>
          <w:p>
            <w:r>
              <w:rPr>
                <w:rFonts w:ascii="Calibri" w:hAnsi="Calibri"/>
                <w:sz w:val="18"/>
              </w:rPr>
              <w:t>P1  -75 % by 2030, 50% of the target met</w:t>
            </w:r>
          </w:p>
        </w:tc>
        <w:tc>
          <w:tcPr>
            <w:tcW w:type="dxa" w:w="1656"/>
          </w:tcPr>
          <w:p>
            <w:pPr>
              <w:jc w:val="right"/>
            </w:pPr>
            <w:r>
              <w:rPr>
                <w:rFonts w:ascii="Calibri" w:hAnsi="Calibri"/>
                <w:sz w:val="18"/>
              </w:rPr>
              <w:t>-0.56</w:t>
            </w:r>
          </w:p>
        </w:tc>
        <w:tc>
          <w:tcPr>
            <w:tcW w:type="dxa" w:w="1656"/>
          </w:tcPr>
          <w:p>
            <w:pPr>
              <w:jc w:val="right"/>
            </w:pPr>
            <w:r>
              <w:rPr>
                <w:rFonts w:ascii="Calibri" w:hAnsi="Calibri"/>
                <w:sz w:val="18"/>
              </w:rPr>
              <w:t>-0.26</w:t>
            </w:r>
          </w:p>
        </w:tc>
        <w:tc>
          <w:tcPr>
            <w:tcW w:type="dxa" w:w="1656"/>
          </w:tcPr>
          <w:p>
            <w:pPr>
              <w:jc w:val="right"/>
            </w:pPr>
            <w:r>
              <w:rPr>
                <w:rFonts w:ascii="Calibri" w:hAnsi="Calibri"/>
                <w:sz w:val="18"/>
              </w:rPr>
              <w:t>-0.09</w:t>
            </w:r>
          </w:p>
        </w:tc>
        <w:tc>
          <w:tcPr>
            <w:tcW w:type="dxa" w:w="1656"/>
          </w:tcPr>
          <w:p>
            <w:pPr>
              <w:jc w:val="right"/>
            </w:pPr>
            <w:r>
              <w:rPr>
                <w:rFonts w:ascii="Calibri" w:hAnsi="Calibri"/>
                <w:sz w:val="18"/>
              </w:rPr>
              <w:t>-0.10</w:t>
            </w:r>
          </w:p>
        </w:tc>
        <w:tc>
          <w:tcPr>
            <w:tcW w:type="dxa" w:w="1656"/>
          </w:tcPr>
          <w:p>
            <w:pPr>
              <w:jc w:val="right"/>
            </w:pPr>
            <w:r>
              <w:rPr>
                <w:rFonts w:ascii="Calibri" w:hAnsi="Calibri"/>
                <w:sz w:val="18"/>
              </w:rPr>
              <w:t>-0.10</w:t>
            </w:r>
          </w:p>
        </w:tc>
      </w:tr>
      <w:tr>
        <w:tc>
          <w:tcPr>
            <w:tcW w:type="dxa" w:w="1656"/>
          </w:tcPr>
          <w:p>
            <w:r>
              <w:rPr>
                <w:rFonts w:ascii="Calibri" w:hAnsi="Calibri"/>
                <w:sz w:val="18"/>
              </w:rPr>
              <w:t>P2  -15 % inputs, 25% of Danish production</w:t>
            </w:r>
          </w:p>
        </w:tc>
        <w:tc>
          <w:tcPr>
            <w:tcW w:type="dxa" w:w="1656"/>
          </w:tcPr>
          <w:p>
            <w:pPr>
              <w:jc w:val="right"/>
            </w:pPr>
            <w:r>
              <w:rPr>
                <w:rFonts w:ascii="Calibri" w:hAnsi="Calibri"/>
                <w:sz w:val="18"/>
              </w:rPr>
              <w:t>-0.40</w:t>
            </w:r>
          </w:p>
        </w:tc>
        <w:tc>
          <w:tcPr>
            <w:tcW w:type="dxa" w:w="1656"/>
          </w:tcPr>
          <w:p>
            <w:pPr>
              <w:jc w:val="right"/>
            </w:pPr>
            <w:r>
              <w:rPr>
                <w:rFonts w:ascii="Calibri" w:hAnsi="Calibri"/>
                <w:sz w:val="18"/>
              </w:rPr>
              <w:t>-0.82</w:t>
            </w:r>
          </w:p>
        </w:tc>
        <w:tc>
          <w:tcPr>
            <w:tcW w:type="dxa" w:w="1656"/>
          </w:tcPr>
          <w:p>
            <w:pPr>
              <w:jc w:val="right"/>
            </w:pPr>
            <w:r>
              <w:rPr>
                <w:rFonts w:ascii="Calibri" w:hAnsi="Calibri"/>
                <w:sz w:val="18"/>
              </w:rPr>
              <w:t>-0.20</w:t>
            </w:r>
          </w:p>
        </w:tc>
        <w:tc>
          <w:tcPr>
            <w:tcW w:type="dxa" w:w="1656"/>
          </w:tcPr>
          <w:p>
            <w:pPr>
              <w:jc w:val="right"/>
            </w:pPr>
            <w:r>
              <w:rPr>
                <w:rFonts w:ascii="Calibri" w:hAnsi="Calibri"/>
                <w:sz w:val="18"/>
              </w:rPr>
              <w:t>-0.23</w:t>
            </w:r>
          </w:p>
        </w:tc>
        <w:tc>
          <w:tcPr>
            <w:tcW w:type="dxa" w:w="1656"/>
          </w:tcPr>
          <w:p>
            <w:pPr>
              <w:jc w:val="right"/>
            </w:pPr>
            <w:r>
              <w:rPr>
                <w:rFonts w:ascii="Calibri" w:hAnsi="Calibri"/>
                <w:sz w:val="18"/>
              </w:rPr>
              <w:t>-0.19</w:t>
            </w:r>
          </w:p>
        </w:tc>
      </w:tr>
      <w:tr>
        <w:tc>
          <w:tcPr>
            <w:tcW w:type="dxa" w:w="1656"/>
          </w:tcPr>
          <w:p>
            <w:r>
              <w:rPr>
                <w:rFonts w:ascii="Calibri" w:hAnsi="Calibri"/>
                <w:sz w:val="18"/>
              </w:rPr>
              <w:t>P4  -10% device purchases</w:t>
            </w:r>
          </w:p>
        </w:tc>
        <w:tc>
          <w:tcPr>
            <w:tcW w:type="dxa" w:w="1656"/>
          </w:tcPr>
          <w:p>
            <w:pPr>
              <w:jc w:val="right"/>
            </w:pPr>
            <w:r>
              <w:rPr>
                <w:rFonts w:ascii="Calibri" w:hAnsi="Calibri"/>
                <w:sz w:val="18"/>
              </w:rPr>
              <w:t>-0.29</w:t>
            </w:r>
          </w:p>
        </w:tc>
        <w:tc>
          <w:tcPr>
            <w:tcW w:type="dxa" w:w="1656"/>
          </w:tcPr>
          <w:p>
            <w:pPr>
              <w:jc w:val="right"/>
            </w:pPr>
            <w:r>
              <w:rPr>
                <w:rFonts w:ascii="Calibri" w:hAnsi="Calibri"/>
                <w:sz w:val="18"/>
              </w:rPr>
              <w:t>-0.30</w:t>
            </w:r>
          </w:p>
        </w:tc>
        <w:tc>
          <w:tcPr>
            <w:tcW w:type="dxa" w:w="1656"/>
          </w:tcPr>
          <w:p>
            <w:pPr>
              <w:jc w:val="right"/>
            </w:pPr>
            <w:r>
              <w:rPr>
                <w:rFonts w:ascii="Calibri" w:hAnsi="Calibri"/>
                <w:sz w:val="18"/>
              </w:rPr>
              <w:t>-0.16</w:t>
            </w:r>
          </w:p>
        </w:tc>
        <w:tc>
          <w:tcPr>
            <w:tcW w:type="dxa" w:w="1656"/>
          </w:tcPr>
          <w:p>
            <w:pPr>
              <w:jc w:val="right"/>
            </w:pPr>
            <w:r>
              <w:rPr>
                <w:rFonts w:ascii="Calibri" w:hAnsi="Calibri"/>
                <w:sz w:val="18"/>
              </w:rPr>
              <w:t>-0.14</w:t>
            </w:r>
          </w:p>
        </w:tc>
        <w:tc>
          <w:tcPr>
            <w:tcW w:type="dxa" w:w="1656"/>
          </w:tcPr>
          <w:p>
            <w:pPr>
              <w:jc w:val="right"/>
            </w:pPr>
            <w:r>
              <w:rPr>
                <w:rFonts w:ascii="Calibri" w:hAnsi="Calibri"/>
                <w:sz w:val="18"/>
              </w:rPr>
              <w:t>-0.19</w:t>
            </w:r>
          </w:p>
        </w:tc>
      </w:tr>
      <w:tr>
        <w:tc>
          <w:tcPr>
            <w:tcW w:type="dxa" w:w="1656"/>
          </w:tcPr>
          <w:p>
            <w:r>
              <w:rPr>
                <w:rFonts w:ascii="Calibri" w:hAnsi="Calibri"/>
                <w:sz w:val="18"/>
              </w:rPr>
              <w:t>P6  -93% propellant GWP</w:t>
            </w:r>
          </w:p>
        </w:tc>
        <w:tc>
          <w:tcPr>
            <w:tcW w:type="dxa" w:w="1656"/>
          </w:tcPr>
          <w:p>
            <w:pPr>
              <w:jc w:val="right"/>
            </w:pPr>
            <w:r>
              <w:rPr>
                <w:rFonts w:ascii="Calibri" w:hAnsi="Calibri"/>
                <w:sz w:val="18"/>
              </w:rPr>
              <w:t>-0.23</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r>
      <w:tr>
        <w:tc>
          <w:tcPr>
            <w:tcW w:type="dxa" w:w="1656"/>
          </w:tcPr>
          <w:p>
            <w:r>
              <w:rPr>
                <w:rFonts w:ascii="Calibri" w:hAnsi="Calibri"/>
                <w:sz w:val="18"/>
              </w:rPr>
              <w:t>P7  75% substituted</w:t>
            </w:r>
          </w:p>
        </w:tc>
        <w:tc>
          <w:tcPr>
            <w:tcW w:type="dxa" w:w="1656"/>
          </w:tcPr>
          <w:p>
            <w:pPr>
              <w:jc w:val="right"/>
            </w:pPr>
            <w:r>
              <w:rPr>
                <w:rFonts w:ascii="Calibri" w:hAnsi="Calibri"/>
                <w:sz w:val="18"/>
              </w:rPr>
              <w:t>-0.18</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r>
      <w:tr>
        <w:tc>
          <w:tcPr>
            <w:tcW w:type="dxa" w:w="1656"/>
          </w:tcPr>
          <w:p>
            <w:r>
              <w:rPr>
                <w:rFonts w:ascii="Calibri" w:hAnsi="Calibri"/>
                <w:sz w:val="18"/>
              </w:rPr>
              <w:t>P6  -67% propellant GWP</w:t>
            </w:r>
          </w:p>
        </w:tc>
        <w:tc>
          <w:tcPr>
            <w:tcW w:type="dxa" w:w="1656"/>
          </w:tcPr>
          <w:p>
            <w:pPr>
              <w:jc w:val="right"/>
            </w:pPr>
            <w:r>
              <w:rPr>
                <w:rFonts w:ascii="Calibri" w:hAnsi="Calibri"/>
                <w:sz w:val="18"/>
              </w:rPr>
              <w:t>-0.16</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r>
      <w:tr>
        <w:tc>
          <w:tcPr>
            <w:tcW w:type="dxa" w:w="1656"/>
          </w:tcPr>
          <w:p>
            <w:r>
              <w:rPr>
                <w:rFonts w:ascii="Calibri" w:hAnsi="Calibri"/>
                <w:sz w:val="18"/>
              </w:rPr>
              <w:t>P7  50% substituted</w:t>
            </w:r>
          </w:p>
        </w:tc>
        <w:tc>
          <w:tcPr>
            <w:tcW w:type="dxa" w:w="1656"/>
          </w:tcPr>
          <w:p>
            <w:pPr>
              <w:jc w:val="right"/>
            </w:pPr>
            <w:r>
              <w:rPr>
                <w:rFonts w:ascii="Calibri" w:hAnsi="Calibri"/>
                <w:sz w:val="18"/>
              </w:rPr>
              <w:t>-0.12</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r>
      <w:tr>
        <w:tc>
          <w:tcPr>
            <w:tcW w:type="dxa" w:w="1656"/>
          </w:tcPr>
          <w:p>
            <w:r>
              <w:rPr>
                <w:rFonts w:ascii="Calibri" w:hAnsi="Calibri"/>
                <w:sz w:val="18"/>
              </w:rPr>
              <w:t>P8  75%</w:t>
            </w:r>
          </w:p>
        </w:tc>
        <w:tc>
          <w:tcPr>
            <w:tcW w:type="dxa" w:w="1656"/>
          </w:tcPr>
          <w:p>
            <w:pPr>
              <w:jc w:val="right"/>
            </w:pPr>
            <w:r>
              <w:rPr>
                <w:rFonts w:ascii="Calibri" w:hAnsi="Calibri"/>
                <w:sz w:val="18"/>
              </w:rPr>
              <w:t>-0.12</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r>
      <w:tr>
        <w:tc>
          <w:tcPr>
            <w:tcW w:type="dxa" w:w="1656"/>
          </w:tcPr>
          <w:p>
            <w:r>
              <w:rPr>
                <w:rFonts w:ascii="Calibri" w:hAnsi="Calibri"/>
                <w:sz w:val="18"/>
              </w:rPr>
              <w:t>P8  50%</w:t>
            </w:r>
          </w:p>
        </w:tc>
        <w:tc>
          <w:tcPr>
            <w:tcW w:type="dxa" w:w="1656"/>
          </w:tcPr>
          <w:p>
            <w:pPr>
              <w:jc w:val="right"/>
            </w:pPr>
            <w:r>
              <w:rPr>
                <w:rFonts w:ascii="Calibri" w:hAnsi="Calibri"/>
                <w:sz w:val="18"/>
              </w:rPr>
              <w:t>-0.08</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r>
      <w:tr>
        <w:tc>
          <w:tcPr>
            <w:tcW w:type="dxa" w:w="1656"/>
          </w:tcPr>
          <w:p>
            <w:r>
              <w:rPr>
                <w:rFonts w:ascii="Calibri" w:hAnsi="Calibri"/>
                <w:sz w:val="18"/>
              </w:rPr>
              <w:t>P7  25% substituted</w:t>
            </w:r>
          </w:p>
        </w:tc>
        <w:tc>
          <w:tcPr>
            <w:tcW w:type="dxa" w:w="1656"/>
          </w:tcPr>
          <w:p>
            <w:pPr>
              <w:jc w:val="right"/>
            </w:pPr>
            <w:r>
              <w:rPr>
                <w:rFonts w:ascii="Calibri" w:hAnsi="Calibri"/>
                <w:sz w:val="18"/>
              </w:rPr>
              <w:t>-0.06</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r>
      <w:tr>
        <w:tc>
          <w:tcPr>
            <w:tcW w:type="dxa" w:w="1656"/>
          </w:tcPr>
          <w:p>
            <w:r>
              <w:rPr>
                <w:rFonts w:ascii="Calibri" w:hAnsi="Calibri"/>
                <w:sz w:val="18"/>
              </w:rPr>
              <w:t>P8  25%</w:t>
            </w:r>
          </w:p>
        </w:tc>
        <w:tc>
          <w:tcPr>
            <w:tcW w:type="dxa" w:w="1656"/>
          </w:tcPr>
          <w:p>
            <w:pPr>
              <w:jc w:val="right"/>
            </w:pPr>
            <w:r>
              <w:rPr>
                <w:rFonts w:ascii="Calibri" w:hAnsi="Calibri"/>
                <w:sz w:val="18"/>
              </w:rPr>
              <w:t>-0.04</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c>
          <w:tcPr>
            <w:tcW w:type="dxa" w:w="1656"/>
          </w:tcPr>
          <w:p>
            <w:pPr>
              <w:jc w:val="right"/>
            </w:pPr>
            <w:r>
              <w:rPr>
                <w:rFonts w:ascii="Calibri" w:hAnsi="Calibri"/>
                <w:sz w:val="18"/>
              </w:rPr>
              <w:t>n.r.</w:t>
            </w:r>
          </w:p>
        </w:tc>
      </w:tr>
      <w:tr>
        <w:tc>
          <w:tcPr>
            <w:tcW w:type="dxa" w:w="1656"/>
          </w:tcPr>
          <w:p>
            <w:r>
              <w:rPr>
                <w:rFonts w:ascii="Calibri" w:hAnsi="Calibri"/>
                <w:sz w:val="18"/>
              </w:rPr>
              <w:t>P3  -23.5 % cradle-to-gate</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-0.03</w:t>
            </w:r>
          </w:p>
        </w:tc>
        <w:tc>
          <w:tcPr>
            <w:tcW w:type="dxa" w:w="1656"/>
          </w:tcPr>
          <w:p>
            <w:pPr>
              <w:jc w:val="right"/>
            </w:pPr>
            <w:r>
              <w:rPr>
                <w:rFonts w:ascii="Calibri" w:hAnsi="Calibri"/>
                <w:sz w:val="18"/>
              </w:rPr>
              <w:t>-0.04</w:t>
            </w:r>
          </w:p>
        </w:tc>
      </w:tr>
      <w:tr>
        <w:tc>
          <w:tcPr>
            <w:tcW w:type="dxa" w:w="1656"/>
          </w:tcPr>
          <w:p>
            <w:r>
              <w:rPr>
                <w:rFonts w:ascii="Calibri" w:hAnsi="Calibri"/>
                <w:sz w:val="18"/>
              </w:rPr>
              <w:t>P3  -12 % cradle-to-gate</w:t>
            </w:r>
          </w:p>
        </w:tc>
        <w:tc>
          <w:tcPr>
            <w:tcW w:type="dxa" w:w="1656"/>
          </w:tcPr>
          <w:p>
            <w:pPr>
              <w:jc w:val="right"/>
            </w:pPr>
            <w:r>
              <w:rPr>
                <w:rFonts w:ascii="Calibri" w:hAnsi="Calibri"/>
                <w:sz w:val="18"/>
              </w:rPr>
              <w:t>-0.01</w:t>
            </w:r>
          </w:p>
        </w:tc>
        <w:tc>
          <w:tcPr>
            <w:tcW w:type="dxa" w:w="1656"/>
          </w:tcPr>
          <w:p>
            <w:pPr>
              <w:jc w:val="right"/>
            </w:pPr>
            <w:r>
              <w:rPr>
                <w:rFonts w:ascii="Calibri" w:hAnsi="Calibri"/>
                <w:sz w:val="18"/>
              </w:rPr>
              <w:t>-0.01</w:t>
            </w:r>
          </w:p>
        </w:tc>
        <w:tc>
          <w:tcPr>
            <w:tcW w:type="dxa" w:w="1656"/>
          </w:tcPr>
          <w:p>
            <w:pPr>
              <w:jc w:val="right"/>
            </w:pPr>
            <w:r>
              <w:rPr>
                <w:rFonts w:ascii="Calibri" w:hAnsi="Calibri"/>
                <w:sz w:val="18"/>
              </w:rPr>
              <w:t>-0.01</w:t>
            </w:r>
          </w:p>
        </w:tc>
        <w:tc>
          <w:tcPr>
            <w:tcW w:type="dxa" w:w="1656"/>
          </w:tcPr>
          <w:p>
            <w:pPr>
              <w:jc w:val="right"/>
            </w:pPr>
            <w:r>
              <w:rPr>
                <w:rFonts w:ascii="Calibri" w:hAnsi="Calibri"/>
                <w:sz w:val="18"/>
              </w:rPr>
              <w:t>-0.02</w:t>
            </w:r>
          </w:p>
        </w:tc>
        <w:tc>
          <w:tcPr>
            <w:tcW w:type="dxa" w:w="1656"/>
          </w:tcPr>
          <w:p>
            <w:pPr>
              <w:jc w:val="right"/>
            </w:pPr>
            <w:r>
              <w:rPr>
                <w:rFonts w:ascii="Calibri" w:hAnsi="Calibri"/>
                <w:sz w:val="18"/>
              </w:rPr>
              <w:t>-0.02</w:t>
            </w:r>
          </w:p>
        </w:tc>
      </w:tr>
      <w:tr>
        <w:tc>
          <w:tcPr>
            <w:tcW w:type="dxa" w:w="1656"/>
          </w:tcPr>
          <w:p>
            <w:r>
              <w:rPr>
                <w:rFonts w:ascii="Calibri" w:hAnsi="Calibri"/>
                <w:sz w:val="18"/>
              </w:rPr>
              <w:t>P9  20% of incineration</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-0.02</w:t>
            </w:r>
          </w:p>
        </w:tc>
      </w:tr>
      <w:tr>
        <w:tc>
          <w:tcPr>
            <w:tcW w:type="dxa" w:w="1656"/>
          </w:tcPr>
          <w:p>
            <w:r>
              <w:rPr>
                <w:rFonts w:ascii="Calibri" w:hAnsi="Calibri"/>
                <w:sz w:val="18"/>
              </w:rPr>
              <w:t>P9  40% of incineration</w:t>
            </w:r>
          </w:p>
        </w:tc>
        <w:tc>
          <w:tcPr>
            <w:tcW w:type="dxa" w:w="1656"/>
          </w:tcPr>
          <w:p>
            <w:pPr>
              <w:jc w:val="right"/>
            </w:pPr>
            <w:r>
              <w:rPr>
                <w:rFonts w:ascii="Calibri" w:hAnsi="Calibri"/>
                <w:sz w:val="18"/>
              </w:rPr>
              <w:t>0.00</w:t>
            </w:r>
          </w:p>
        </w:tc>
        <w:tc>
          <w:tcPr>
            <w:tcW w:type="dxa" w:w="1656"/>
          </w:tcPr>
          <w:p>
            <w:pPr>
              <w:jc w:val="right"/>
            </w:pPr>
            <w:r>
              <w:rPr>
                <w:rFonts w:ascii="Calibri" w:hAnsi="Calibri"/>
                <w:sz w:val="18"/>
              </w:rPr>
              <w:t>0.01</w:t>
            </w:r>
          </w:p>
        </w:tc>
        <w:tc>
          <w:tcPr>
            <w:tcW w:type="dxa" w:w="1656"/>
          </w:tcPr>
          <w:p>
            <w:pPr>
              <w:jc w:val="right"/>
            </w:pPr>
            <w:r>
              <w:rPr>
                <w:rFonts w:ascii="Calibri" w:hAnsi="Calibri"/>
                <w:sz w:val="18"/>
              </w:rPr>
              <w:t>0.01</w:t>
            </w:r>
          </w:p>
        </w:tc>
        <w:tc>
          <w:tcPr>
            <w:tcW w:type="dxa" w:w="1656"/>
          </w:tcPr>
          <w:p>
            <w:pPr>
              <w:jc w:val="right"/>
            </w:pPr>
            <w:r>
              <w:rPr>
                <w:rFonts w:ascii="Calibri" w:hAnsi="Calibri"/>
                <w:sz w:val="18"/>
              </w:rPr>
              <w:t>0.01</w:t>
            </w:r>
          </w:p>
        </w:tc>
        <w:tc>
          <w:tcPr>
            <w:tcW w:type="dxa" w:w="1656"/>
          </w:tcPr>
          <w:p>
            <w:pPr>
              <w:jc w:val="right"/>
            </w:pPr>
            <w:r>
              <w:rPr>
                <w:rFonts w:ascii="Calibri" w:hAnsi="Calibri"/>
                <w:sz w:val="18"/>
              </w:rPr>
              <w:t>-0.04</w:t>
            </w:r>
          </w:p>
        </w:tc>
      </w:tr>
    </w:tbl>
    <w:p>
      <w:r>
        <w:rPr>
          <w:color w:val="253331"/>
          <w:sz w:val="18"/>
        </w:rPr>
        <w:t>Note. Reported for all five impact categories, which is what makes the trade-offs visible. Holding expenditure constant, so that money saved is respent, improves climate and materials while worsening blue water, land use and waste. Pharmaceutical raw-material efficiency does twice as much for material extraction as for climate. Cells marked n.r. are not resolved: the bottom-up inventory behind propellants and anaesthetic gases carries no non-climate columns, and plotting a zero there would read as a clean bill.</w:t>
      </w:r>
    </w:p>
    <w:p>
      <w:r>
        <w:rPr>
          <w:color w:val="6B7F7B"/>
          <w:sz w:val="17"/>
        </w:rPr>
        <w:t>Source. 18_mitigation_scenarios/burden_shifting.csv</w:t>
      </w:r>
    </w:p>
    <w:p/>
    <w:p>
      <w:r>
        <w:rPr>
          <w:rFonts w:ascii="Cambria" w:hAnsi="Cambria"/>
          <w:b/>
          <w:color w:val="0B4F4A"/>
          <w:sz w:val="22"/>
        </w:rPr>
        <w:t>Table 14. EXIOBASE v3.10.2 fails against the Danish national accounts from 2015 onward, and v3.8.2 does not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0B4F4A"/>
          </w:tcPr>
          <w:p>
            <w:r>
              <w:rPr>
                <w:rFonts w:ascii="Calibri" w:hAnsi="Calibri"/>
                <w:b/>
                <w:sz w:val="18"/>
                <w:color w:val="FFFFFF"/>
              </w:rPr>
              <w:t>Danish industry</w:t>
            </w:r>
          </w:p>
        </w:tc>
        <w:tc>
          <w:tcPr>
            <w:tcW w:type="dxa" w:w="2484"/>
            <w:shd w:val="clear" w:fill="0B4F4A"/>
          </w:tcPr>
          <w:p>
            <w:r>
              <w:rPr>
                <w:rFonts w:ascii="Calibri" w:hAnsi="Calibri"/>
                <w:b/>
                <w:sz w:val="18"/>
                <w:color w:val="FFFFFF"/>
              </w:rPr>
              <w:t>National accounts (M.EUR)</w:t>
            </w:r>
          </w:p>
        </w:tc>
        <w:tc>
          <w:tcPr>
            <w:tcW w:type="dxa" w:w="2484"/>
            <w:shd w:val="clear" w:fill="0B4F4A"/>
          </w:tcPr>
          <w:p>
            <w:r>
              <w:rPr>
                <w:rFonts w:ascii="Calibri" w:hAnsi="Calibri"/>
                <w:b/>
                <w:sz w:val="18"/>
                <w:color w:val="FFFFFF"/>
              </w:rPr>
              <w:t>EXIOBASE v3.8.2</w:t>
            </w:r>
          </w:p>
        </w:tc>
        <w:tc>
          <w:tcPr>
            <w:tcW w:type="dxa" w:w="2484"/>
            <w:shd w:val="clear" w:fill="0B4F4A"/>
          </w:tcPr>
          <w:p>
            <w:r>
              <w:rPr>
                <w:rFonts w:ascii="Calibri" w:hAnsi="Calibri"/>
                <w:b/>
                <w:sz w:val="18"/>
                <w:color w:val="FFFFFF"/>
              </w:rPr>
              <w:t>EXIOBASE v3.10.2</w:t>
            </w:r>
          </w:p>
        </w:tc>
      </w:tr>
      <w:tr>
        <w:tc>
          <w:tcPr>
            <w:tcW w:type="dxa" w:w="2484"/>
          </w:tcPr>
          <w:p>
            <w:r>
              <w:rPr>
                <w:rFonts w:ascii="Calibri" w:hAnsi="Calibri"/>
                <w:sz w:val="18"/>
              </w:rPr>
              <w:t>TOTAL (all 163 industries)</w:t>
            </w:r>
          </w:p>
        </w:tc>
        <w:tc>
          <w:tcPr>
            <w:tcW w:type="dxa" w:w="2484"/>
          </w:tcPr>
          <w:p>
            <w:pPr>
              <w:jc w:val="right"/>
            </w:pPr>
            <w:r>
              <w:rPr>
                <w:rFonts w:ascii="Calibri" w:hAnsi="Calibri"/>
                <w:sz w:val="18"/>
              </w:rPr>
              <w:t>706,281</w:t>
            </w:r>
          </w:p>
        </w:tc>
        <w:tc>
          <w:tcPr>
            <w:tcW w:type="dxa" w:w="2484"/>
          </w:tcPr>
          <w:p>
            <w:r>
              <w:rPr>
                <w:rFonts w:ascii="Calibri" w:hAnsi="Calibri"/>
                <w:sz w:val="18"/>
              </w:rPr>
              <w:t>592,645  (0.84x)</w:t>
            </w:r>
          </w:p>
        </w:tc>
        <w:tc>
          <w:tcPr>
            <w:tcW w:type="dxa" w:w="2484"/>
          </w:tcPr>
          <w:p>
            <w:r>
              <w:rPr>
                <w:rFonts w:ascii="Calibri" w:hAnsi="Calibri"/>
                <w:sz w:val="18"/>
              </w:rPr>
              <w:t>681,918  (0.97x)</w:t>
            </w:r>
          </w:p>
        </w:tc>
      </w:tr>
      <w:tr>
        <w:tc>
          <w:tcPr>
            <w:tcW w:type="dxa" w:w="2484"/>
          </w:tcPr>
          <w:p>
            <w:r>
              <w:rPr>
                <w:rFonts w:ascii="Calibri" w:hAnsi="Calibri"/>
                <w:sz w:val="18"/>
              </w:rPr>
              <w:t>Sea and coastal water transport</w:t>
            </w:r>
          </w:p>
        </w:tc>
        <w:tc>
          <w:tcPr>
            <w:tcW w:type="dxa" w:w="2484"/>
          </w:tcPr>
          <w:p>
            <w:pPr>
              <w:jc w:val="right"/>
            </w:pPr>
            <w:r>
              <w:rPr>
                <w:rFonts w:ascii="Calibri" w:hAnsi="Calibri"/>
                <w:sz w:val="18"/>
              </w:rPr>
              <w:t>78,950</w:t>
            </w:r>
          </w:p>
        </w:tc>
        <w:tc>
          <w:tcPr>
            <w:tcW w:type="dxa" w:w="2484"/>
          </w:tcPr>
          <w:p>
            <w:r>
              <w:rPr>
                <w:rFonts w:ascii="Calibri" w:hAnsi="Calibri"/>
                <w:sz w:val="18"/>
              </w:rPr>
              <w:t>17,805  (0.23x)</w:t>
            </w:r>
          </w:p>
        </w:tc>
        <w:tc>
          <w:tcPr>
            <w:tcW w:type="dxa" w:w="2484"/>
          </w:tcPr>
          <w:p>
            <w:r>
              <w:rPr>
                <w:rFonts w:ascii="Calibri" w:hAnsi="Calibri"/>
                <w:sz w:val="18"/>
              </w:rPr>
              <w:t>71,645  (0.91x)</w:t>
            </w:r>
          </w:p>
        </w:tc>
      </w:tr>
      <w:tr>
        <w:tc>
          <w:tcPr>
            <w:tcW w:type="dxa" w:w="2484"/>
          </w:tcPr>
          <w:p>
            <w:r>
              <w:rPr>
                <w:rFonts w:ascii="Calibri" w:hAnsi="Calibri"/>
                <w:sz w:val="18"/>
              </w:rPr>
              <w:t>Construction</w:t>
            </w:r>
          </w:p>
        </w:tc>
        <w:tc>
          <w:tcPr>
            <w:tcW w:type="dxa" w:w="2484"/>
          </w:tcPr>
          <w:p>
            <w:pPr>
              <w:jc w:val="right"/>
            </w:pPr>
            <w:r>
              <w:rPr>
                <w:rFonts w:ascii="Calibri" w:hAnsi="Calibri"/>
                <w:sz w:val="18"/>
              </w:rPr>
              <w:t>51,315</w:t>
            </w:r>
          </w:p>
        </w:tc>
        <w:tc>
          <w:tcPr>
            <w:tcW w:type="dxa" w:w="2484"/>
          </w:tcPr>
          <w:p>
            <w:r>
              <w:rPr>
                <w:rFonts w:ascii="Calibri" w:hAnsi="Calibri"/>
                <w:sz w:val="18"/>
              </w:rPr>
              <w:t>49,265  (0.96x)</w:t>
            </w:r>
          </w:p>
        </w:tc>
        <w:tc>
          <w:tcPr>
            <w:tcW w:type="dxa" w:w="2484"/>
          </w:tcPr>
          <w:p>
            <w:r>
              <w:rPr>
                <w:rFonts w:ascii="Calibri" w:hAnsi="Calibri"/>
                <w:sz w:val="18"/>
              </w:rPr>
              <w:t>36,440  (0.71x)</w:t>
            </w:r>
          </w:p>
        </w:tc>
      </w:tr>
      <w:tr>
        <w:tc>
          <w:tcPr>
            <w:tcW w:type="dxa" w:w="2484"/>
          </w:tcPr>
          <w:p>
            <w:r>
              <w:rPr>
                <w:rFonts w:ascii="Calibri" w:hAnsi="Calibri"/>
                <w:sz w:val="18"/>
              </w:rPr>
              <w:t>Real estate</w:t>
            </w:r>
          </w:p>
        </w:tc>
        <w:tc>
          <w:tcPr>
            <w:tcW w:type="dxa" w:w="2484"/>
          </w:tcPr>
          <w:p>
            <w:pPr>
              <w:jc w:val="right"/>
            </w:pPr>
            <w:r>
              <w:rPr>
                <w:rFonts w:ascii="Calibri" w:hAnsi="Calibri"/>
                <w:sz w:val="18"/>
              </w:rPr>
              <w:t>46,965</w:t>
            </w:r>
          </w:p>
        </w:tc>
        <w:tc>
          <w:tcPr>
            <w:tcW w:type="dxa" w:w="2484"/>
          </w:tcPr>
          <w:p>
            <w:r>
              <w:rPr>
                <w:rFonts w:ascii="Calibri" w:hAnsi="Calibri"/>
                <w:sz w:val="18"/>
              </w:rPr>
              <w:t>45,673  (0.97x)</w:t>
            </w:r>
          </w:p>
        </w:tc>
        <w:tc>
          <w:tcPr>
            <w:tcW w:type="dxa" w:w="2484"/>
          </w:tcPr>
          <w:p>
            <w:r>
              <w:rPr>
                <w:rFonts w:ascii="Calibri" w:hAnsi="Calibri"/>
                <w:sz w:val="18"/>
              </w:rPr>
              <w:t>9,915  (0.21x)</w:t>
            </w:r>
          </w:p>
        </w:tc>
      </w:tr>
      <w:tr>
        <w:tc>
          <w:tcPr>
            <w:tcW w:type="dxa" w:w="2484"/>
          </w:tcPr>
          <w:p>
            <w:r>
              <w:rPr>
                <w:rFonts w:ascii="Calibri" w:hAnsi="Calibri"/>
                <w:sz w:val="18"/>
              </w:rPr>
              <w:t>Health and social work</w:t>
            </w:r>
          </w:p>
        </w:tc>
        <w:tc>
          <w:tcPr>
            <w:tcW w:type="dxa" w:w="2484"/>
          </w:tcPr>
          <w:p>
            <w:pPr>
              <w:jc w:val="right"/>
            </w:pPr>
            <w:r>
              <w:rPr>
                <w:rFonts w:ascii="Calibri" w:hAnsi="Calibri"/>
                <w:sz w:val="18"/>
              </w:rPr>
              <w:t>45,321</w:t>
            </w:r>
          </w:p>
        </w:tc>
        <w:tc>
          <w:tcPr>
            <w:tcW w:type="dxa" w:w="2484"/>
          </w:tcPr>
          <w:p>
            <w:r>
              <w:rPr>
                <w:rFonts w:ascii="Calibri" w:hAnsi="Calibri"/>
                <w:sz w:val="18"/>
              </w:rPr>
              <w:t>43,955  (0.97x)</w:t>
            </w:r>
          </w:p>
        </w:tc>
        <w:tc>
          <w:tcPr>
            <w:tcW w:type="dxa" w:w="2484"/>
          </w:tcPr>
          <w:p>
            <w:r>
              <w:rPr>
                <w:rFonts w:ascii="Calibri" w:hAnsi="Calibri"/>
                <w:sz w:val="18"/>
              </w:rPr>
              <w:t>16,326  (0.36x)</w:t>
            </w:r>
          </w:p>
        </w:tc>
      </w:tr>
      <w:tr>
        <w:tc>
          <w:tcPr>
            <w:tcW w:type="dxa" w:w="2484"/>
          </w:tcPr>
          <w:p>
            <w:r>
              <w:rPr>
                <w:rFonts w:ascii="Calibri" w:hAnsi="Calibri"/>
                <w:sz w:val="18"/>
              </w:rPr>
              <w:t>Public administration</w:t>
            </w:r>
          </w:p>
        </w:tc>
        <w:tc>
          <w:tcPr>
            <w:tcW w:type="dxa" w:w="2484"/>
          </w:tcPr>
          <w:p>
            <w:pPr>
              <w:jc w:val="right"/>
            </w:pPr>
            <w:r>
              <w:rPr>
                <w:rFonts w:ascii="Calibri" w:hAnsi="Calibri"/>
                <w:sz w:val="18"/>
              </w:rPr>
              <w:t>24,681</w:t>
            </w:r>
          </w:p>
        </w:tc>
        <w:tc>
          <w:tcPr>
            <w:tcW w:type="dxa" w:w="2484"/>
          </w:tcPr>
          <w:p>
            <w:r>
              <w:rPr>
                <w:rFonts w:ascii="Calibri" w:hAnsi="Calibri"/>
                <w:sz w:val="18"/>
              </w:rPr>
              <w:t>26,657  (1.08x)</w:t>
            </w:r>
          </w:p>
        </w:tc>
        <w:tc>
          <w:tcPr>
            <w:tcW w:type="dxa" w:w="2484"/>
          </w:tcPr>
          <w:p>
            <w:r>
              <w:rPr>
                <w:rFonts w:ascii="Calibri" w:hAnsi="Calibri"/>
                <w:sz w:val="18"/>
              </w:rPr>
              <w:t>8,826  (0.36x)</w:t>
            </w:r>
          </w:p>
        </w:tc>
      </w:tr>
      <w:tr>
        <w:tc>
          <w:tcPr>
            <w:tcW w:type="dxa" w:w="2484"/>
          </w:tcPr>
          <w:p>
            <w:r>
              <w:rPr>
                <w:rFonts w:ascii="Calibri" w:hAnsi="Calibri"/>
                <w:sz w:val="18"/>
              </w:rPr>
              <w:t>Education</w:t>
            </w:r>
          </w:p>
        </w:tc>
        <w:tc>
          <w:tcPr>
            <w:tcW w:type="dxa" w:w="2484"/>
          </w:tcPr>
          <w:p>
            <w:pPr>
              <w:jc w:val="right"/>
            </w:pPr>
            <w:r>
              <w:rPr>
                <w:rFonts w:ascii="Calibri" w:hAnsi="Calibri"/>
                <w:sz w:val="18"/>
              </w:rPr>
              <w:t>22,935</w:t>
            </w:r>
          </w:p>
        </w:tc>
        <w:tc>
          <w:tcPr>
            <w:tcW w:type="dxa" w:w="2484"/>
          </w:tcPr>
          <w:p>
            <w:r>
              <w:rPr>
                <w:rFonts w:ascii="Calibri" w:hAnsi="Calibri"/>
                <w:sz w:val="18"/>
              </w:rPr>
              <w:t>20,241  (0.88x)</w:t>
            </w:r>
          </w:p>
        </w:tc>
        <w:tc>
          <w:tcPr>
            <w:tcW w:type="dxa" w:w="2484"/>
          </w:tcPr>
          <w:p>
            <w:r>
              <w:rPr>
                <w:rFonts w:ascii="Calibri" w:hAnsi="Calibri"/>
                <w:sz w:val="18"/>
              </w:rPr>
              <w:t>109,673  (4.78x)</w:t>
            </w:r>
          </w:p>
        </w:tc>
      </w:tr>
      <w:tr>
        <w:tc>
          <w:tcPr>
            <w:tcW w:type="dxa" w:w="2484"/>
          </w:tcPr>
          <w:p>
            <w:r>
              <w:rPr>
                <w:rFonts w:ascii="Calibri" w:hAnsi="Calibri"/>
                <w:sz w:val="18"/>
              </w:rPr>
              <w:t>Machinery n.e.c.</w:t>
            </w:r>
          </w:p>
        </w:tc>
        <w:tc>
          <w:tcPr>
            <w:tcW w:type="dxa" w:w="2484"/>
          </w:tcPr>
          <w:p>
            <w:pPr>
              <w:jc w:val="right"/>
            </w:pPr>
            <w:r>
              <w:rPr>
                <w:rFonts w:ascii="Calibri" w:hAnsi="Calibri"/>
                <w:sz w:val="18"/>
              </w:rPr>
              <w:t>21,150</w:t>
            </w:r>
          </w:p>
        </w:tc>
        <w:tc>
          <w:tcPr>
            <w:tcW w:type="dxa" w:w="2484"/>
          </w:tcPr>
          <w:p>
            <w:r>
              <w:rPr>
                <w:rFonts w:ascii="Calibri" w:hAnsi="Calibri"/>
                <w:sz w:val="18"/>
              </w:rPr>
              <w:t>18,700  (0.88x)</w:t>
            </w:r>
          </w:p>
        </w:tc>
        <w:tc>
          <w:tcPr>
            <w:tcW w:type="dxa" w:w="2484"/>
          </w:tcPr>
          <w:p>
            <w:r>
              <w:rPr>
                <w:rFonts w:ascii="Calibri" w:hAnsi="Calibri"/>
                <w:sz w:val="18"/>
              </w:rPr>
              <w:t>28  (0.00x)</w:t>
            </w:r>
          </w:p>
        </w:tc>
      </w:tr>
      <w:tr>
        <w:tc>
          <w:tcPr>
            <w:tcW w:type="dxa" w:w="2484"/>
          </w:tcPr>
          <w:p>
            <w:r>
              <w:rPr>
                <w:rFonts w:ascii="Calibri" w:hAnsi="Calibri"/>
                <w:sz w:val="18"/>
              </w:rPr>
              <w:t>Financial intermediation</w:t>
            </w:r>
          </w:p>
        </w:tc>
        <w:tc>
          <w:tcPr>
            <w:tcW w:type="dxa" w:w="2484"/>
          </w:tcPr>
          <w:p>
            <w:pPr>
              <w:jc w:val="right"/>
            </w:pPr>
            <w:r>
              <w:rPr>
                <w:rFonts w:ascii="Calibri" w:hAnsi="Calibri"/>
                <w:sz w:val="18"/>
              </w:rPr>
              <w:t>18,980</w:t>
            </w:r>
          </w:p>
        </w:tc>
        <w:tc>
          <w:tcPr>
            <w:tcW w:type="dxa" w:w="2484"/>
          </w:tcPr>
          <w:p>
            <w:r>
              <w:rPr>
                <w:rFonts w:ascii="Calibri" w:hAnsi="Calibri"/>
                <w:sz w:val="18"/>
              </w:rPr>
              <w:t>21,004  (1.11x)</w:t>
            </w:r>
          </w:p>
        </w:tc>
        <w:tc>
          <w:tcPr>
            <w:tcW w:type="dxa" w:w="2484"/>
          </w:tcPr>
          <w:p>
            <w:r>
              <w:rPr>
                <w:rFonts w:ascii="Calibri" w:hAnsi="Calibri"/>
                <w:sz w:val="18"/>
              </w:rPr>
              <w:t>76  (0.00x)</w:t>
            </w:r>
          </w:p>
        </w:tc>
      </w:tr>
      <w:tr>
        <w:tc>
          <w:tcPr>
            <w:tcW w:type="dxa" w:w="2484"/>
          </w:tcPr>
          <w:p>
            <w:r>
              <w:rPr>
                <w:rFonts w:ascii="Calibri" w:hAnsi="Calibri"/>
                <w:sz w:val="18"/>
              </w:rPr>
              <w:t>Post and telecommunications</w:t>
            </w:r>
          </w:p>
        </w:tc>
        <w:tc>
          <w:tcPr>
            <w:tcW w:type="dxa" w:w="2484"/>
          </w:tcPr>
          <w:p>
            <w:pPr>
              <w:jc w:val="right"/>
            </w:pPr>
            <w:r>
              <w:rPr>
                <w:rFonts w:ascii="Calibri" w:hAnsi="Calibri"/>
                <w:sz w:val="18"/>
              </w:rPr>
              <w:t>6,612</w:t>
            </w:r>
          </w:p>
        </w:tc>
        <w:tc>
          <w:tcPr>
            <w:tcW w:type="dxa" w:w="2484"/>
          </w:tcPr>
          <w:p>
            <w:r>
              <w:rPr>
                <w:rFonts w:ascii="Calibri" w:hAnsi="Calibri"/>
                <w:sz w:val="18"/>
              </w:rPr>
              <w:t>17,503  (2.65x)</w:t>
            </w:r>
          </w:p>
        </w:tc>
        <w:tc>
          <w:tcPr>
            <w:tcW w:type="dxa" w:w="2484"/>
          </w:tcPr>
          <w:p>
            <w:r>
              <w:rPr>
                <w:rFonts w:ascii="Calibri" w:hAnsi="Calibri"/>
                <w:sz w:val="18"/>
              </w:rPr>
              <w:t>3,476  (0.53x)</w:t>
            </w:r>
          </w:p>
        </w:tc>
      </w:tr>
      <w:tr>
        <w:tc>
          <w:tcPr>
            <w:tcW w:type="dxa" w:w="2484"/>
          </w:tcPr>
          <w:p>
            <w:r>
              <w:rPr>
                <w:rFonts w:ascii="Calibri" w:hAnsi="Calibri"/>
                <w:sz w:val="18"/>
              </w:rPr>
              <w:t>Insurance and pensions</w:t>
            </w:r>
          </w:p>
        </w:tc>
        <w:tc>
          <w:tcPr>
            <w:tcW w:type="dxa" w:w="2484"/>
          </w:tcPr>
          <w:p>
            <w:pPr>
              <w:jc w:val="right"/>
            </w:pPr>
            <w:r>
              <w:rPr>
                <w:rFonts w:ascii="Calibri" w:hAnsi="Calibri"/>
                <w:sz w:val="18"/>
              </w:rPr>
              <w:t>5,862</w:t>
            </w:r>
          </w:p>
        </w:tc>
        <w:tc>
          <w:tcPr>
            <w:tcW w:type="dxa" w:w="2484"/>
          </w:tcPr>
          <w:p>
            <w:r>
              <w:rPr>
                <w:rFonts w:ascii="Calibri" w:hAnsi="Calibri"/>
                <w:sz w:val="18"/>
              </w:rPr>
              <w:t>6,811  (1.16x)</w:t>
            </w:r>
          </w:p>
        </w:tc>
        <w:tc>
          <w:tcPr>
            <w:tcW w:type="dxa" w:w="2484"/>
          </w:tcPr>
          <w:p>
            <w:r>
              <w:rPr>
                <w:rFonts w:ascii="Calibri" w:hAnsi="Calibri"/>
                <w:sz w:val="18"/>
              </w:rPr>
              <w:t>1,490  (0.25x)</w:t>
            </w:r>
          </w:p>
        </w:tc>
      </w:tr>
      <w:tr>
        <w:tc>
          <w:tcPr>
            <w:tcW w:type="dxa" w:w="2484"/>
          </w:tcPr>
          <w:p>
            <w:r>
              <w:rPr>
                <w:rFonts w:ascii="Calibri" w:hAnsi="Calibri"/>
                <w:sz w:val="18"/>
              </w:rPr>
              <w:t>Medical/precision instruments</w:t>
            </w:r>
          </w:p>
        </w:tc>
        <w:tc>
          <w:tcPr>
            <w:tcW w:type="dxa" w:w="2484"/>
          </w:tcPr>
          <w:p>
            <w:pPr>
              <w:jc w:val="right"/>
            </w:pPr>
            <w:r>
              <w:rPr>
                <w:rFonts w:ascii="Calibri" w:hAnsi="Calibri"/>
                <w:sz w:val="18"/>
              </w:rPr>
              <w:t>5,831</w:t>
            </w:r>
          </w:p>
        </w:tc>
        <w:tc>
          <w:tcPr>
            <w:tcW w:type="dxa" w:w="2484"/>
          </w:tcPr>
          <w:p>
            <w:r>
              <w:rPr>
                <w:rFonts w:ascii="Calibri" w:hAnsi="Calibri"/>
                <w:sz w:val="18"/>
              </w:rPr>
              <w:t>6,276  (1.08x)</w:t>
            </w:r>
          </w:p>
        </w:tc>
        <w:tc>
          <w:tcPr>
            <w:tcW w:type="dxa" w:w="2484"/>
          </w:tcPr>
          <w:p>
            <w:r>
              <w:rPr>
                <w:rFonts w:ascii="Calibri" w:hAnsi="Calibri"/>
                <w:sz w:val="18"/>
              </w:rPr>
              <w:t>0  (0.00x)</w:t>
            </w:r>
          </w:p>
        </w:tc>
      </w:tr>
      <w:tr>
        <w:tc>
          <w:tcPr>
            <w:tcW w:type="dxa" w:w="2484"/>
          </w:tcPr>
          <w:p>
            <w:r>
              <w:rPr>
                <w:rFonts w:ascii="Calibri" w:hAnsi="Calibri"/>
                <w:sz w:val="18"/>
              </w:rPr>
              <w:t>Electrical machinery n.e.c.</w:t>
            </w:r>
          </w:p>
        </w:tc>
        <w:tc>
          <w:tcPr>
            <w:tcW w:type="dxa" w:w="2484"/>
          </w:tcPr>
          <w:p>
            <w:pPr>
              <w:jc w:val="right"/>
            </w:pPr>
            <w:r>
              <w:rPr>
                <w:rFonts w:ascii="Calibri" w:hAnsi="Calibri"/>
                <w:sz w:val="18"/>
              </w:rPr>
              <w:t>3,299</w:t>
            </w:r>
          </w:p>
        </w:tc>
        <w:tc>
          <w:tcPr>
            <w:tcW w:type="dxa" w:w="2484"/>
          </w:tcPr>
          <w:p>
            <w:r>
              <w:rPr>
                <w:rFonts w:ascii="Calibri" w:hAnsi="Calibri"/>
                <w:sz w:val="18"/>
              </w:rPr>
              <w:t>11,047  (3.35x)</w:t>
            </w:r>
          </w:p>
        </w:tc>
        <w:tc>
          <w:tcPr>
            <w:tcW w:type="dxa" w:w="2484"/>
          </w:tcPr>
          <w:p>
            <w:r>
              <w:rPr>
                <w:rFonts w:ascii="Calibri" w:hAnsi="Calibri"/>
                <w:sz w:val="18"/>
              </w:rPr>
              <w:t>0  (0.00x)</w:t>
            </w:r>
          </w:p>
        </w:tc>
      </w:tr>
    </w:tbl>
    <w:p>
      <w:r>
        <w:rPr>
          <w:color w:val="253331"/>
          <w:sz w:val="18"/>
        </w:rPr>
        <w:t>Note. This is the whole evidence for the model replacement, and the test needed no external source: Danish health final expenditure is 40,597 M.EUR, and a health industry with 16,326 M.EUR of total output cannot deliver it. Danish output still totals to within 3 % and the table still balances to 1e-11, because output was redistributed between industries rather than lost, which is why a routine balance check does not catch it. One row needs reading with care: Danish sea and coastal water transport shows v3.8.2 at 0.23 times the national accounts because this study's own sea-transport reallocation has already been applied to that model. Uncorrected, v3.8.2 matches the national accounts on that row as closely as it does on the others.</w:t>
      </w:r>
    </w:p>
    <w:p>
      <w:r>
        <w:rPr>
          <w:color w:val="6B7F7B"/>
          <w:sz w:val="17"/>
        </w:rPr>
        <w:t>Source. 09_vintage_diagnostics/dk_block_vs_national_accounts.csv</w:t>
      </w:r>
    </w:p>
    <w:p/>
    <w:p>
      <w:r>
        <w:rPr>
          <w:rFonts w:ascii="Cambria" w:hAnsi="Cambria"/>
          <w:b/>
          <w:color w:val="0B4F4A"/>
          <w:sz w:val="22"/>
        </w:rPr>
        <w:t>Table 15. Each parameter's spread follows from the kind of source it has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0B4F4A"/>
          </w:tcPr>
          <w:p>
            <w:r>
              <w:rPr>
                <w:rFonts w:ascii="Calibri" w:hAnsi="Calibri"/>
                <w:b/>
                <w:sz w:val="18"/>
                <w:color w:val="FFFFFF"/>
              </w:rPr>
              <w:t>Parameter</w:t>
            </w:r>
          </w:p>
        </w:tc>
        <w:tc>
          <w:tcPr>
            <w:tcW w:type="dxa" w:w="2484"/>
            <w:shd w:val="clear" w:fill="0B4F4A"/>
          </w:tcPr>
          <w:p>
            <w:r>
              <w:rPr>
                <w:rFonts w:ascii="Calibri" w:hAnsi="Calibri"/>
                <w:b/>
                <w:sz w:val="18"/>
                <w:color w:val="FFFFFF"/>
              </w:rPr>
              <w:t>GSD</w:t>
            </w:r>
          </w:p>
        </w:tc>
        <w:tc>
          <w:tcPr>
            <w:tcW w:type="dxa" w:w="2484"/>
            <w:shd w:val="clear" w:fill="0B4F4A"/>
          </w:tcPr>
          <w:p>
            <w:r>
              <w:rPr>
                <w:rFonts w:ascii="Calibri" w:hAnsi="Calibri"/>
                <w:b/>
                <w:sz w:val="18"/>
                <w:color w:val="FFFFFF"/>
              </w:rPr>
              <w:t>95 % factor range</w:t>
            </w:r>
          </w:p>
        </w:tc>
        <w:tc>
          <w:tcPr>
            <w:tcW w:type="dxa" w:w="2484"/>
            <w:shd w:val="clear" w:fill="0B4F4A"/>
          </w:tcPr>
          <w:p>
            <w:r>
              <w:rPr>
                <w:rFonts w:ascii="Calibri" w:hAnsi="Calibri"/>
                <w:b/>
                <w:sz w:val="18"/>
                <w:color w:val="FFFFFF"/>
              </w:rPr>
              <w:t>Basis</w:t>
            </w:r>
          </w:p>
        </w:tc>
      </w:tr>
      <w:tr>
        <w:tc>
          <w:tcPr>
            <w:tcW w:type="dxa" w:w="2484"/>
          </w:tcPr>
          <w:p>
            <w:r>
              <w:rPr>
                <w:rFonts w:ascii="Calibri" w:hAnsi="Calibri"/>
                <w:sz w:val="18"/>
              </w:rPr>
              <w:t>Input-output model</w:t>
            </w:r>
          </w:p>
        </w:tc>
        <w:tc>
          <w:tcPr>
            <w:tcW w:type="dxa" w:w="2484"/>
          </w:tcPr>
          <w:p>
            <w:pPr>
              <w:jc w:val="right"/>
            </w:pPr>
            <w:r>
              <w:rPr>
                <w:rFonts w:ascii="Calibri" w:hAnsi="Calibri"/>
                <w:sz w:val="18"/>
              </w:rPr>
              <w:t>CV 8.35 %</w:t>
            </w:r>
          </w:p>
        </w:tc>
        <w:tc>
          <w:tcPr>
            <w:tcW w:type="dxa" w:w="2484"/>
          </w:tcPr>
          <w:p>
            <w:r>
              <w:rPr>
                <w:rFonts w:ascii="Calibri" w:hAnsi="Calibri"/>
                <w:sz w:val="18"/>
              </w:rPr>
              <w:t>0.85 to 1.18</w:t>
            </w:r>
          </w:p>
        </w:tc>
        <w:tc>
          <w:tcPr>
            <w:tcW w:type="dxa" w:w="2484"/>
          </w:tcPr>
          <w:p>
            <w:r>
              <w:rPr>
                <w:rFonts w:ascii="Calibri" w:hAnsi="Calibri"/>
                <w:sz w:val="18"/>
              </w:rPr>
              <w:t>Lenzen et al. 2020 SI Tab. SI 7.1: relative SD of the Danish health-care GHG footprint from a full MRIO Monte Carlo (Eora Q, T, y). Applied jointly to all MRIO components.</w:t>
            </w:r>
          </w:p>
        </w:tc>
      </w:tr>
      <w:tr>
        <w:tc>
          <w:tcPr>
            <w:tcW w:type="dxa" w:w="2484"/>
          </w:tcPr>
          <w:p>
            <w:r>
              <w:rPr>
                <w:rFonts w:ascii="Calibri" w:hAnsi="Calibri"/>
                <w:sz w:val="18"/>
              </w:rPr>
              <w:t>Direct operations</w:t>
            </w:r>
          </w:p>
        </w:tc>
        <w:tc>
          <w:tcPr>
            <w:tcW w:type="dxa" w:w="2484"/>
          </w:tcPr>
          <w:p>
            <w:pPr>
              <w:jc w:val="right"/>
            </w:pPr>
            <w:r>
              <w:rPr>
                <w:rFonts w:ascii="Calibri" w:hAnsi="Calibri"/>
                <w:sz w:val="18"/>
              </w:rPr>
              <w:t>1.10</w:t>
            </w:r>
          </w:p>
        </w:tc>
        <w:tc>
          <w:tcPr>
            <w:tcW w:type="dxa" w:w="2484"/>
          </w:tcPr>
          <w:p>
            <w:r>
              <w:rPr>
                <w:rFonts w:ascii="Calibri" w:hAnsi="Calibri"/>
                <w:sz w:val="18"/>
              </w:rPr>
              <w:t>0.83 to 1.21</w:t>
            </w:r>
          </w:p>
        </w:tc>
        <w:tc>
          <w:tcPr>
            <w:tcW w:type="dxa" w:w="2484"/>
          </w:tcPr>
          <w:p>
            <w:r>
              <w:rPr>
                <w:rFonts w:ascii="Calibri" w:hAnsi="Calibri"/>
                <w:sz w:val="18"/>
              </w:rPr>
              <w:t>Statistics Denmark DRIVHUS/AFFALD accounts; residual risk is the alpha-proration of industry 880000 and the medical-N2O netting</w:t>
            </w:r>
          </w:p>
        </w:tc>
      </w:tr>
      <w:tr>
        <w:tc>
          <w:tcPr>
            <w:tcW w:type="dxa" w:w="2484"/>
          </w:tcPr>
          <w:p>
            <w:r>
              <w:rPr>
                <w:rFonts w:ascii="Calibri" w:hAnsi="Calibri"/>
                <w:sz w:val="18"/>
              </w:rPr>
              <w:t>Anaesthetic gases</w:t>
            </w:r>
          </w:p>
        </w:tc>
        <w:tc>
          <w:tcPr>
            <w:tcW w:type="dxa" w:w="2484"/>
          </w:tcPr>
          <w:p>
            <w:pPr>
              <w:jc w:val="right"/>
            </w:pPr>
            <w:r>
              <w:rPr>
                <w:rFonts w:ascii="Calibri" w:hAnsi="Calibri"/>
                <w:sz w:val="18"/>
              </w:rPr>
              <w:t>1.30</w:t>
            </w:r>
          </w:p>
        </w:tc>
        <w:tc>
          <w:tcPr>
            <w:tcW w:type="dxa" w:w="2484"/>
          </w:tcPr>
          <w:p>
            <w:r>
              <w:rPr>
                <w:rFonts w:ascii="Calibri" w:hAnsi="Calibri"/>
                <w:sz w:val="18"/>
              </w:rPr>
              <w:t>0.60 to 1.67</w:t>
            </w:r>
          </w:p>
        </w:tc>
        <w:tc>
          <w:tcPr>
            <w:tcW w:type="dxa" w:w="2484"/>
          </w:tcPr>
          <w:p>
            <w:r>
              <w:rPr>
                <w:rFonts w:ascii="Calibri" w:hAnsi="Calibri"/>
                <w:sz w:val="18"/>
              </w:rPr>
              <w:t>Denmark NID 2.G.3.a activity +/-25 %, EF +/-20 % (DCE 2024); volatile agents are a transferred proxy</w:t>
            </w:r>
          </w:p>
        </w:tc>
      </w:tr>
      <w:tr>
        <w:tc>
          <w:tcPr>
            <w:tcW w:type="dxa" w:w="2484"/>
          </w:tcPr>
          <w:p>
            <w:r>
              <w:rPr>
                <w:rFonts w:ascii="Calibri" w:hAnsi="Calibri"/>
                <w:sz w:val="18"/>
              </w:rPr>
              <w:t>Inhaler propellants</w:t>
            </w:r>
          </w:p>
        </w:tc>
        <w:tc>
          <w:tcPr>
            <w:tcW w:type="dxa" w:w="2484"/>
          </w:tcPr>
          <w:p>
            <w:pPr>
              <w:jc w:val="right"/>
            </w:pPr>
            <w:r>
              <w:rPr>
                <w:rFonts w:ascii="Calibri" w:hAnsi="Calibri"/>
                <w:sz w:val="18"/>
              </w:rPr>
              <w:t>1.15</w:t>
            </w:r>
          </w:p>
        </w:tc>
        <w:tc>
          <w:tcPr>
            <w:tcW w:type="dxa" w:w="2484"/>
          </w:tcPr>
          <w:p>
            <w:r>
              <w:rPr>
                <w:rFonts w:ascii="Calibri" w:hAnsi="Calibri"/>
                <w:sz w:val="18"/>
              </w:rPr>
              <w:t>0.76 to 1.32</w:t>
            </w:r>
          </w:p>
        </w:tc>
        <w:tc>
          <w:tcPr>
            <w:tcW w:type="dxa" w:w="2484"/>
          </w:tcPr>
          <w:p>
            <w:r>
              <w:rPr>
                <w:rFonts w:ascii="Calibri" w:hAnsi="Calibri"/>
                <w:sz w:val="18"/>
              </w:rPr>
              <w:t>register dispensing x producer HFC content (Danish EPA F-gas inventory / Vestbo &amp; Press-Kristensen 2023)</w:t>
            </w:r>
          </w:p>
        </w:tc>
      </w:tr>
      <w:tr>
        <w:tc>
          <w:tcPr>
            <w:tcW w:type="dxa" w:w="2484"/>
          </w:tcPr>
          <w:p>
            <w:r>
              <w:rPr>
                <w:rFonts w:ascii="Calibri" w:hAnsi="Calibri"/>
                <w:sz w:val="18"/>
              </w:rPr>
              <w:t>Employee commuting</w:t>
            </w:r>
          </w:p>
        </w:tc>
        <w:tc>
          <w:tcPr>
            <w:tcW w:type="dxa" w:w="2484"/>
          </w:tcPr>
          <w:p>
            <w:pPr>
              <w:jc w:val="right"/>
            </w:pPr>
            <w:r>
              <w:rPr>
                <w:rFonts w:ascii="Calibri" w:hAnsi="Calibri"/>
                <w:sz w:val="18"/>
              </w:rPr>
              <w:t>1.25</w:t>
            </w:r>
          </w:p>
        </w:tc>
        <w:tc>
          <w:tcPr>
            <w:tcW w:type="dxa" w:w="2484"/>
          </w:tcPr>
          <w:p>
            <w:r>
              <w:rPr>
                <w:rFonts w:ascii="Calibri" w:hAnsi="Calibri"/>
                <w:sz w:val="18"/>
              </w:rPr>
              <w:t>0.65 to 1.55</w:t>
            </w:r>
          </w:p>
        </w:tc>
        <w:tc>
          <w:tcPr>
            <w:tcW w:type="dxa" w:w="2484"/>
          </w:tcPr>
          <w:p>
            <w:r>
              <w:rPr>
                <w:rFonts w:ascii="Calibri" w:hAnsi="Calibri"/>
                <w:sz w:val="18"/>
              </w:rPr>
              <w:t>ratio method on NL base values with DST employment and TU distances</w:t>
            </w:r>
          </w:p>
        </w:tc>
      </w:tr>
      <w:tr>
        <w:tc>
          <w:tcPr>
            <w:tcW w:type="dxa" w:w="2484"/>
          </w:tcPr>
          <w:p>
            <w:r>
              <w:rPr>
                <w:rFonts w:ascii="Calibri" w:hAnsi="Calibri"/>
                <w:sz w:val="18"/>
              </w:rPr>
              <w:t>Patient and visitor travel</w:t>
            </w:r>
          </w:p>
        </w:tc>
        <w:tc>
          <w:tcPr>
            <w:tcW w:type="dxa" w:w="2484"/>
          </w:tcPr>
          <w:p>
            <w:pPr>
              <w:jc w:val="right"/>
            </w:pPr>
            <w:r>
              <w:rPr>
                <w:rFonts w:ascii="Calibri" w:hAnsi="Calibri"/>
                <w:sz w:val="18"/>
              </w:rPr>
              <w:t>1.40</w:t>
            </w:r>
          </w:p>
        </w:tc>
        <w:tc>
          <w:tcPr>
            <w:tcW w:type="dxa" w:w="2484"/>
          </w:tcPr>
          <w:p>
            <w:r>
              <w:rPr>
                <w:rFonts w:ascii="Calibri" w:hAnsi="Calibri"/>
                <w:sz w:val="18"/>
              </w:rPr>
              <w:t>0.52 to 1.93</w:t>
            </w:r>
          </w:p>
        </w:tc>
        <w:tc>
          <w:tcPr>
            <w:tcW w:type="dxa" w:w="2484"/>
          </w:tcPr>
          <w:p>
            <w:r>
              <w:rPr>
                <w:rFonts w:ascii="Calibri" w:hAnsi="Calibri"/>
                <w:sz w:val="18"/>
              </w:rPr>
              <w:t>no Danish source; Dutch base is itself a transplanted English per-capita figure</w:t>
            </w:r>
          </w:p>
        </w:tc>
      </w:tr>
    </w:tbl>
    <w:p>
      <w:r>
        <w:rPr>
          <w:color w:val="253331"/>
          <w:sz w:val="18"/>
        </w:rPr>
        <w:t>Note. The ordering is the argument. The two quantities taken from a Danish national account are the tightest; the quantity with no Danish source at all, the visitor share of patient travel, is the loosest at roughly a factor of two either way. No parameter was given a range because the range looked reasonable. The four cross-country scaling factors all span at least the plus or minus 20 to 50 % the first reviewer proposed, and the two that do not are a national account and a published Monte Carlo estimate of this exact quantity.</w:t>
      </w:r>
    </w:p>
    <w:p>
      <w:r>
        <w:rPr>
          <w:color w:val="6B7F7B"/>
          <w:sz w:val="17"/>
        </w:rPr>
        <w:t>Source. 04_uncertainty_lenzen_ieooc/uncertainty_parameters.csv</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