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Ofir Eriksen</w:t>
      </w:r>
      <w:r>
        <w:br/>
      </w:r>
      <w:r>
        <w:t xml:space="preserve">Life Cycle Engineering, SDU Climate Cluster</w:t>
      </w:r>
      <w:r>
        <w:br/>
      </w:r>
      <w:r>
        <w:t xml:space="preserve">University of Southern Denmark</w:t>
      </w:r>
      <w:r>
        <w:br/>
      </w:r>
      <w:r>
        <w:t xml:space="preserve">ofe@igt.sdu.dk</w:t>
      </w:r>
    </w:p>
    <w:p>
      <w:pPr>
        <w:pStyle w:val="BodyText"/>
      </w:pPr>
      <w:r>
        <w:t xml:space="preserve">14 September 2026</w:t>
      </w:r>
    </w:p>
    <w:p>
      <w:pPr>
        <w:pStyle w:val="BodyText"/>
      </w:pPr>
      <w:r>
        <w:rPr>
          <w:b/>
          <w:bCs/>
        </w:rPr>
        <w:t xml:space="preserve">The Editors</w:t>
      </w:r>
      <w:r>
        <w:t xml:space="preserve"> </w:t>
      </w:r>
      <w:r>
        <w:rPr>
          <w:i/>
          <w:iCs/>
        </w:rPr>
        <w:t xml:space="preserve">Next Sustainability</w:t>
      </w:r>
    </w:p>
    <w:p>
      <w:pPr>
        <w:pStyle w:val="BodyText"/>
      </w:pPr>
      <w:r>
        <w:rPr>
          <w:b/>
          <w:bCs/>
        </w:rPr>
        <w:t xml:space="preserve">Re: NXSUST-D-26-01589, revised manuscript</w:t>
      </w:r>
    </w:p>
    <w:p>
      <w:pPr>
        <w:pStyle w:val="BodyText"/>
      </w:pPr>
      <w:r>
        <w:t xml:space="preserve">Dear Editors,</w:t>
      </w:r>
    </w:p>
    <w:p>
      <w:pPr>
        <w:pStyle w:val="BodyText"/>
      </w:pPr>
      <w:r>
        <w:t xml:space="preserve">We submit a revised version of NXSUST-D-26-01589, now titled</w:t>
      </w:r>
      <w:r>
        <w:t xml:space="preserve"> </w:t>
      </w:r>
      <w:r>
        <w:rPr>
          <w:i/>
          <w:iCs/>
        </w:rPr>
        <w:t xml:space="preserve">The environmental</w:t>
      </w:r>
      <w:r>
        <w:rPr>
          <w:i/>
          <w:iCs/>
        </w:rPr>
        <w:t xml:space="preserve"> </w:t>
      </w:r>
      <w:r>
        <w:rPr>
          <w:i/>
          <w:iCs/>
        </w:rPr>
        <w:t xml:space="preserve">footprint of the Danish health care system: supply-chain origins and geographical</w:t>
      </w:r>
      <w:r>
        <w:rPr>
          <w:i/>
          <w:iCs/>
        </w:rPr>
        <w:t xml:space="preserve"> </w:t>
      </w:r>
      <w:r>
        <w:rPr>
          <w:i/>
          <w:iCs/>
        </w:rPr>
        <w:t xml:space="preserve">displacement</w:t>
      </w:r>
      <w:r>
        <w:t xml:space="preserve">. The submitted version was titled</w:t>
      </w:r>
      <w:r>
        <w:t xml:space="preserve"> </w:t>
      </w:r>
      <w:r>
        <w:rPr>
          <w:i/>
          <w:iCs/>
        </w:rPr>
        <w:t xml:space="preserve">The environmental impacts of the</w:t>
      </w:r>
      <w:r>
        <w:rPr>
          <w:i/>
          <w:iCs/>
        </w:rPr>
        <w:t xml:space="preserve"> </w:t>
      </w:r>
      <w:r>
        <w:rPr>
          <w:i/>
          <w:iCs/>
        </w:rPr>
        <w:t xml:space="preserve">Danish health care system: supply-chain origins and geographical displacement of</w:t>
      </w:r>
      <w:r>
        <w:rPr>
          <w:i/>
          <w:iCs/>
        </w:rPr>
        <w:t xml:space="preserve"> </w:t>
      </w:r>
      <w:r>
        <w:rPr>
          <w:i/>
          <w:iCs/>
        </w:rPr>
        <w:t xml:space="preserve">impacts</w:t>
      </w:r>
      <w:r>
        <w:t xml:space="preserve">; the change removes a repetition rather than a claim.</w:t>
      </w:r>
    </w:p>
    <w:p>
      <w:pPr>
        <w:pStyle w:val="BodyText"/>
      </w:pPr>
      <w:r>
        <w:t xml:space="preserve">The revision is substantial, and we want to be direct with you about why. Both reviewers raised the absence of uncertainty quantification and the mismatch between the expenditure year and the model year. Addressing those two points properly required us to re-audit the whole computational chain, and that audit found defects in our background data which changed the headline results. One finding of the submitted paper does not hold after correction: we reported transport services as the largest contributor to the climate footprint, at 39% of the emissions derived from the input-output model, with the transport sector at 46% of emissions by producing sector. Both shares were inflated by how EXIOBASE allocates Danish sea-transport output, which the model places 74% inside Danish intermediate use against 6.5% in Statistics Denmark’s own input-output table. Corrected, transport services contribute 13.3% of the climate footprint and the transport sector 15.6%, and pharmaceutical and chemical supply chains lead four of the five impact categories. We would rather report this ourselves than have it found later, and the response letter sets out the audit in full. The same audit found that the commuting estimate had been scaled from a Dutch base that counts one trip per working day; commuting is now estimated directly from Danish travel-survey distances and hours worked.</w:t>
      </w:r>
    </w:p>
    <w:p>
      <w:pPr>
        <w:pStyle w:val="BodyText"/>
      </w:pPr>
      <w:r>
        <w:t xml:space="preserve">What the revised paper now does:</w:t>
      </w:r>
    </w:p>
    <w:p>
      <w:pPr>
        <w:pStyle w:val="Compact"/>
        <w:numPr>
          <w:ilvl w:val="0"/>
          <w:numId w:val="1001"/>
        </w:numPr>
      </w:pPr>
      <w:r>
        <w:t xml:space="preserve">quantifies the footprint for 2022 on EXIOBASE version 3.8.2, so that the</w:t>
      </w:r>
      <w:r>
        <w:t xml:space="preserve"> </w:t>
      </w:r>
      <w:r>
        <w:t xml:space="preserve">demand year and the model year coincide and no deflation is required;</w:t>
      </w:r>
    </w:p>
    <w:p>
      <w:pPr>
        <w:pStyle w:val="Compact"/>
        <w:numPr>
          <w:ilvl w:val="0"/>
          <w:numId w:val="1001"/>
        </w:numPr>
      </w:pPr>
      <w:r>
        <w:t xml:space="preserve">propagates parameter uncertainty by Monte Carlo simulation with 100,000 draws</w:t>
      </w:r>
      <w:r>
        <w:t xml:space="preserve"> </w:t>
      </w:r>
      <w:r>
        <w:t xml:space="preserve">and attributes the variance to its sources, which shows that the width of the</w:t>
      </w:r>
      <w:r>
        <w:t xml:space="preserve"> </w:t>
      </w:r>
      <w:r>
        <w:t xml:space="preserve">intervals is a property of the input-output data rather than of the Danish</w:t>
      </w:r>
      <w:r>
        <w:t xml:space="preserve"> </w:t>
      </w:r>
      <w:r>
        <w:t xml:space="preserve">primary data the reviewers questioned;</w:t>
      </w:r>
    </w:p>
    <w:p>
      <w:pPr>
        <w:pStyle w:val="Compact"/>
        <w:numPr>
          <w:ilvl w:val="0"/>
          <w:numId w:val="1001"/>
        </w:numPr>
      </w:pPr>
      <w:r>
        <w:t xml:space="preserve">replaces the scaled Dutch proxies for anaesthetic gases, inhaler propellants,</w:t>
      </w:r>
      <w:r>
        <w:t xml:space="preserve"> </w:t>
      </w:r>
      <w:r>
        <w:t xml:space="preserve">patient and visitor travel and employee commuting with Danish primary sources, and takes the sector’s own</w:t>
      </w:r>
      <w:r>
        <w:t xml:space="preserve"> </w:t>
      </w:r>
      <w:r>
        <w:t xml:space="preserve">operational emissions and waste from Statistics Denmark’s accounts rather than</w:t>
      </w:r>
      <w:r>
        <w:t xml:space="preserve"> </w:t>
      </w:r>
      <w:r>
        <w:t xml:space="preserve">inferring them from the model;</w:t>
      </w:r>
    </w:p>
    <w:p>
      <w:pPr>
        <w:pStyle w:val="Compact"/>
        <w:numPr>
          <w:ilvl w:val="0"/>
          <w:numId w:val="1001"/>
        </w:numPr>
      </w:pPr>
      <w:r>
        <w:t xml:space="preserve">values medicines and appliances as Statistics Denmark records them, with the distribution margins charged to the Danish trade industries that earn them rather than to the manufacturers;</w:t>
      </w:r>
    </w:p>
    <w:p>
      <w:pPr>
        <w:pStyle w:val="Compact"/>
        <w:numPr>
          <w:ilvl w:val="0"/>
          <w:numId w:val="1001"/>
        </w:numPr>
      </w:pPr>
      <w:r>
        <w:t xml:space="preserve">reports the footprint by activity, by producing sector, by producing region,</w:t>
      </w:r>
      <w:r>
        <w:t xml:space="preserve"> </w:t>
      </w:r>
      <w:r>
        <w:t xml:space="preserve">by producing region and industry jointly, and by GHG Protocol scope; and</w:t>
      </w:r>
    </w:p>
    <w:p>
      <w:pPr>
        <w:pStyle w:val="Compact"/>
        <w:numPr>
          <w:ilvl w:val="0"/>
          <w:numId w:val="1001"/>
        </w:numPr>
      </w:pPr>
      <w:r>
        <w:t xml:space="preserve">bounds the exclusion of fixed capital rather than leaving it unquantified.</w:t>
      </w:r>
    </w:p>
    <w:p>
      <w:pPr>
        <w:pStyle w:val="FirstParagraph"/>
      </w:pPr>
      <w:r>
        <w:t xml:space="preserve">The introduction has been rewritten. It now states one research question, treats</w:t>
      </w:r>
      <w:r>
        <w:t xml:space="preserve"> </w:t>
      </w:r>
      <w:r>
        <w:t xml:space="preserve">process life cycle assessment and input-output analysis as complementary rather</w:t>
      </w:r>
      <w:r>
        <w:t xml:space="preserve"> </w:t>
      </w:r>
      <w:r>
        <w:t xml:space="preserve">than ranked, describes the method as input-output analysis supplemented with</w:t>
      </w:r>
      <w:r>
        <w:t xml:space="preserve"> </w:t>
      </w:r>
      <w:r>
        <w:t xml:space="preserve">bottom-up estimates rather than as a hybrid life cycle assessment, and presents</w:t>
      </w:r>
      <w:r>
        <w:t xml:space="preserve"> </w:t>
      </w:r>
      <w:r>
        <w:t xml:space="preserve">the geographical result as the evidence a distributional question needs rather</w:t>
      </w:r>
      <w:r>
        <w:t xml:space="preserve"> </w:t>
      </w:r>
      <w:r>
        <w:t xml:space="preserve">than as a measurement of environmental injustice.</w:t>
      </w:r>
    </w:p>
    <w:p>
      <w:pPr>
        <w:pStyle w:val="BodyText"/>
      </w:pPr>
      <w:r>
        <w:t xml:space="preserve">Danish health care was associated with 4,267 kt CO₂e in 2022 (95% interval</w:t>
      </w:r>
      <w:r>
        <w:t xml:space="preserve"> </w:t>
      </w:r>
      <w:r>
        <w:t xml:space="preserve">3,675 to 5,029), 5.5% of the national consumption-based footprint, and with between 2.1% and 6.5% of the national</w:t>
      </w:r>
      <w:r>
        <w:t xml:space="preserve"> </w:t>
      </w:r>
      <w:r>
        <w:t xml:space="preserve">totals across the five impact categories. Most blue water consumption and land</w:t>
      </w:r>
      <w:r>
        <w:t xml:space="preserve"> </w:t>
      </w:r>
      <w:r>
        <w:t xml:space="preserve">use occur outside Denmark and Europe.</w:t>
      </w:r>
    </w:p>
    <w:p>
      <w:pPr>
        <w:pStyle w:val="BodyText"/>
      </w:pPr>
      <w:r>
        <w:t xml:space="preserve">The manuscript is approximately 5,500 words of main text with three figures, one table and 49 references.</w:t>
      </w:r>
      <w:r>
        <w:t xml:space="preserve"> </w:t>
      </w:r>
      <w:r>
        <w:t xml:space="preserve">A supplementary appendix carries the derivations, the validation against published</w:t>
      </w:r>
      <w:r>
        <w:t xml:space="preserve"> </w:t>
      </w:r>
      <w:r>
        <w:t xml:space="preserve">Danish footprints, the reference-year comparison and nineteen further figures, and Appendix B, a workbook, holds the travel calculations. All</w:t>
      </w:r>
      <w:r>
        <w:t xml:space="preserve"> </w:t>
      </w:r>
      <w:r>
        <w:t xml:space="preserve">data and code are available as described in the data availability statement, and</w:t>
      </w:r>
      <w:r>
        <w:t xml:space="preserve"> </w:t>
      </w:r>
      <w:r>
        <w:t xml:space="preserve">every result file carries a lineage record naming the script, the inputs and the</w:t>
      </w:r>
      <w:r>
        <w:t xml:space="preserve"> </w:t>
      </w:r>
      <w:r>
        <w:t xml:space="preserve">published method it implements.</w:t>
      </w:r>
    </w:p>
    <w:p>
      <w:pPr>
        <w:pStyle w:val="BodyText"/>
      </w:pPr>
      <w:r>
        <w:t xml:space="preserve">We have not previously published this work, it is not under consideration</w:t>
      </w:r>
      <w:r>
        <w:t xml:space="preserve"> </w:t>
      </w:r>
      <w:r>
        <w:t xml:space="preserve">elsewhere, and all authors have approved this submission. We thank both reviewers</w:t>
      </w:r>
      <w:r>
        <w:t xml:space="preserve"> </w:t>
      </w:r>
      <w:r>
        <w:t xml:space="preserve">for a reading careful enough to have led us to the defects, and we hope the</w:t>
      </w:r>
      <w:r>
        <w:t xml:space="preserve"> </w:t>
      </w:r>
      <w:r>
        <w:t xml:space="preserve">revision meets the standard you look for.</w:t>
      </w:r>
    </w:p>
    <w:p>
      <w:pPr>
        <w:pStyle w:val="BodyText"/>
      </w:pPr>
      <w:r>
        <w:t xml:space="preserve">Yours sincerely,</w:t>
      </w:r>
    </w:p>
    <w:p>
      <w:pPr>
        <w:pStyle w:val="BodyText"/>
      </w:pPr>
      <w:r>
        <w:t xml:space="preserve">Ofir Eriksen</w:t>
      </w:r>
      <w:r>
        <w:br/>
      </w:r>
      <w:r>
        <w:t xml:space="preserve">Lead author, on behalf of all authors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
  <dcterms:created xsi:type="dcterms:W3CDTF">2026-09-12T01:45:08Z</dcterms:created>
  <dcterms:modified xsi:type="dcterms:W3CDTF">2026-09-12T01:45:08Z</dcterms:modified>
</cp:coreProperties>
</file>

<file path=docProps/custom.xml><?xml version="1.0" encoding="utf-8"?>
<Properties xmlns="http://schemas.openxmlformats.org/officeDocument/2006/custom-properties" xmlns:vt="http://schemas.openxmlformats.org/officeDocument/2006/docPropsVTypes"/>
</file>